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247340">
      <w:pPr>
        <w:pStyle w:val="85"/>
        <w:shd w:val="clear"/>
        <w:spacing w:before="0"/>
        <w:jc w:val="center"/>
        <w:rPr>
          <w:rFonts w:ascii="Calibri" w:hAnsi="Calibri"/>
          <w:b/>
          <w:bCs/>
          <w:snapToGrid w:val="0"/>
          <w:color w:val="auto"/>
          <w:kern w:val="0"/>
          <w:sz w:val="24"/>
          <w:szCs w:val="24"/>
          <w:highlight w:val="none"/>
          <w:shd w:val="clear" w:color="auto" w:fill="auto"/>
        </w:rPr>
      </w:pPr>
      <w:r>
        <w:rPr>
          <w:color w:val="auto"/>
          <w:highlight w:val="none"/>
          <w:shd w:val="clear" w:color="auto" w:fill="auto"/>
          <w:lang w:val="zh-CN"/>
        </w:rPr>
        <w:t>目</w:t>
      </w:r>
      <w:r>
        <w:rPr>
          <w:rFonts w:hint="eastAsia"/>
          <w:color w:val="auto"/>
          <w:highlight w:val="none"/>
          <w:shd w:val="clear" w:color="auto" w:fill="auto"/>
          <w:lang w:val="zh-CN"/>
        </w:rPr>
        <w:t xml:space="preserve"> </w:t>
      </w:r>
      <w:r>
        <w:rPr>
          <w:color w:val="auto"/>
          <w:highlight w:val="none"/>
          <w:shd w:val="clear" w:color="auto" w:fill="auto"/>
          <w:lang w:val="zh-CN"/>
        </w:rPr>
        <w:t>录</w:t>
      </w:r>
    </w:p>
    <w:p w14:paraId="3E02CA8A">
      <w:pPr>
        <w:pStyle w:val="36"/>
        <w:shd w:val="clear"/>
        <w:tabs>
          <w:tab w:val="right" w:leader="dot" w:pos="8844"/>
        </w:tabs>
        <w:spacing w:line="360" w:lineRule="auto"/>
        <w:rPr>
          <w:color w:val="auto"/>
          <w:sz w:val="24"/>
          <w:szCs w:val="24"/>
          <w:highlight w:val="none"/>
          <w:shd w:val="clear" w:color="auto" w:fill="auto"/>
        </w:rPr>
      </w:pPr>
      <w:r>
        <w:rPr>
          <w:rFonts w:ascii="Calibri" w:hAnsi="Calibri"/>
          <w:b/>
          <w:bCs/>
          <w:snapToGrid w:val="0"/>
          <w:color w:val="auto"/>
          <w:kern w:val="0"/>
          <w:sz w:val="24"/>
          <w:szCs w:val="24"/>
          <w:highlight w:val="none"/>
          <w:shd w:val="clear" w:color="auto" w:fill="auto"/>
        </w:rPr>
        <w:fldChar w:fldCharType="begin"/>
      </w:r>
      <w:r>
        <w:rPr>
          <w:b/>
          <w:bCs/>
          <w:snapToGrid w:val="0"/>
          <w:color w:val="auto"/>
          <w:sz w:val="24"/>
          <w:szCs w:val="24"/>
          <w:highlight w:val="none"/>
          <w:shd w:val="clear" w:color="auto" w:fill="auto"/>
        </w:rPr>
        <w:instrText xml:space="preserve"> </w:instrText>
      </w:r>
      <w:r>
        <w:rPr>
          <w:rFonts w:hint="eastAsia"/>
          <w:b/>
          <w:bCs/>
          <w:snapToGrid w:val="0"/>
          <w:color w:val="auto"/>
          <w:sz w:val="24"/>
          <w:szCs w:val="24"/>
          <w:highlight w:val="none"/>
          <w:shd w:val="clear" w:color="auto" w:fill="auto"/>
        </w:rPr>
        <w:instrText xml:space="preserve">TOC \o "1-3" \h \z \u</w:instrText>
      </w:r>
      <w:r>
        <w:rPr>
          <w:b/>
          <w:bCs/>
          <w:snapToGrid w:val="0"/>
          <w:color w:val="auto"/>
          <w:sz w:val="24"/>
          <w:szCs w:val="24"/>
          <w:highlight w:val="none"/>
          <w:shd w:val="clear" w:color="auto" w:fill="auto"/>
        </w:rPr>
        <w:instrText xml:space="preserve"> </w:instrText>
      </w:r>
      <w:r>
        <w:rPr>
          <w:rFonts w:ascii="Calibri" w:hAnsi="Calibri"/>
          <w:b/>
          <w:bCs/>
          <w:snapToGrid w:val="0"/>
          <w:color w:val="auto"/>
          <w:kern w:val="0"/>
          <w:sz w:val="24"/>
          <w:szCs w:val="24"/>
          <w:highlight w:val="none"/>
          <w:shd w:val="clear" w:color="auto" w:fill="auto"/>
        </w:rPr>
        <w:fldChar w:fldCharType="separate"/>
      </w:r>
      <w:r>
        <w:rPr>
          <w:rFonts w:ascii="Calibri" w:hAnsi="Calibri"/>
          <w:bCs/>
          <w:snapToGrid w:val="0"/>
          <w:color w:val="auto"/>
          <w:kern w:val="0"/>
          <w:sz w:val="24"/>
          <w:szCs w:val="24"/>
          <w:highlight w:val="none"/>
          <w:shd w:val="clear" w:color="auto" w:fill="auto"/>
        </w:rPr>
        <w:fldChar w:fldCharType="begin"/>
      </w:r>
      <w:r>
        <w:rPr>
          <w:rFonts w:ascii="Calibri" w:hAnsi="Calibri"/>
          <w:bCs/>
          <w:snapToGrid w:val="0"/>
          <w:color w:val="auto"/>
          <w:kern w:val="0"/>
          <w:sz w:val="24"/>
          <w:szCs w:val="24"/>
          <w:highlight w:val="none"/>
          <w:shd w:val="clear" w:color="auto" w:fill="auto"/>
        </w:rPr>
        <w:instrText xml:space="preserve"> HYPERLINK \l _Toc8950 </w:instrText>
      </w:r>
      <w:r>
        <w:rPr>
          <w:rFonts w:ascii="Calibri" w:hAnsi="Calibri"/>
          <w:bCs/>
          <w:snapToGrid w:val="0"/>
          <w:color w:val="auto"/>
          <w:kern w:val="0"/>
          <w:sz w:val="24"/>
          <w:szCs w:val="24"/>
          <w:highlight w:val="none"/>
          <w:shd w:val="clear" w:color="auto" w:fill="auto"/>
        </w:rPr>
        <w:fldChar w:fldCharType="separate"/>
      </w:r>
      <w:r>
        <w:rPr>
          <w:rFonts w:hint="eastAsia" w:ascii="宋体" w:hAnsi="宋体" w:eastAsia="宋体" w:cs="宋体"/>
          <w:color w:val="auto"/>
          <w:sz w:val="24"/>
          <w:szCs w:val="24"/>
          <w:highlight w:val="none"/>
          <w:shd w:val="clear" w:color="auto" w:fill="auto"/>
        </w:rPr>
        <w:t>前 言</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_Toc8950 \h </w:instrText>
      </w:r>
      <w:r>
        <w:rPr>
          <w:color w:val="auto"/>
          <w:sz w:val="24"/>
          <w:szCs w:val="24"/>
          <w:highlight w:val="none"/>
          <w:shd w:val="clear" w:color="auto" w:fill="auto"/>
        </w:rPr>
        <w:fldChar w:fldCharType="separate"/>
      </w:r>
      <w:r>
        <w:rPr>
          <w:color w:val="auto"/>
          <w:sz w:val="24"/>
          <w:szCs w:val="24"/>
          <w:highlight w:val="none"/>
          <w:shd w:val="clear" w:color="auto" w:fill="auto"/>
        </w:rPr>
        <w:t>1</w:t>
      </w:r>
      <w:r>
        <w:rPr>
          <w:color w:val="auto"/>
          <w:sz w:val="24"/>
          <w:szCs w:val="24"/>
          <w:highlight w:val="none"/>
          <w:shd w:val="clear" w:color="auto" w:fill="auto"/>
        </w:rPr>
        <w:fldChar w:fldCharType="end"/>
      </w:r>
      <w:r>
        <w:rPr>
          <w:rFonts w:ascii="Calibri" w:hAnsi="Calibri"/>
          <w:bCs/>
          <w:snapToGrid w:val="0"/>
          <w:color w:val="auto"/>
          <w:kern w:val="0"/>
          <w:sz w:val="24"/>
          <w:szCs w:val="24"/>
          <w:highlight w:val="none"/>
          <w:shd w:val="clear" w:color="auto" w:fill="auto"/>
        </w:rPr>
        <w:fldChar w:fldCharType="end"/>
      </w:r>
    </w:p>
    <w:p w14:paraId="64D542D3">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_Toc21222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一、建设项目基本情况</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_Toc21222 \h </w:instrText>
      </w:r>
      <w:r>
        <w:rPr>
          <w:color w:val="auto"/>
          <w:sz w:val="24"/>
          <w:szCs w:val="24"/>
          <w:highlight w:val="none"/>
          <w:shd w:val="clear" w:color="auto" w:fill="auto"/>
        </w:rPr>
        <w:fldChar w:fldCharType="separate"/>
      </w:r>
      <w:r>
        <w:rPr>
          <w:color w:val="auto"/>
          <w:sz w:val="24"/>
          <w:szCs w:val="24"/>
          <w:highlight w:val="none"/>
          <w:shd w:val="clear" w:color="auto" w:fill="auto"/>
        </w:rPr>
        <w:t>3</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4FC3171D">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_Toc77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二、建设内容</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_Toc77 \h </w:instrText>
      </w:r>
      <w:r>
        <w:rPr>
          <w:color w:val="auto"/>
          <w:sz w:val="24"/>
          <w:szCs w:val="24"/>
          <w:highlight w:val="none"/>
          <w:shd w:val="clear" w:color="auto" w:fill="auto"/>
        </w:rPr>
        <w:fldChar w:fldCharType="separate"/>
      </w:r>
      <w:r>
        <w:rPr>
          <w:color w:val="auto"/>
          <w:sz w:val="24"/>
          <w:szCs w:val="24"/>
          <w:highlight w:val="none"/>
          <w:shd w:val="clear" w:color="auto" w:fill="auto"/>
        </w:rPr>
        <w:t>46</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601F48AE">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_Toc13664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三、生态环境现状、保护目标及评价标准</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_Toc13664 \h </w:instrText>
      </w:r>
      <w:r>
        <w:rPr>
          <w:color w:val="auto"/>
          <w:sz w:val="24"/>
          <w:szCs w:val="24"/>
          <w:highlight w:val="none"/>
          <w:shd w:val="clear" w:color="auto" w:fill="auto"/>
        </w:rPr>
        <w:fldChar w:fldCharType="separate"/>
      </w:r>
      <w:r>
        <w:rPr>
          <w:color w:val="auto"/>
          <w:sz w:val="24"/>
          <w:szCs w:val="24"/>
          <w:highlight w:val="none"/>
          <w:shd w:val="clear" w:color="auto" w:fill="auto"/>
        </w:rPr>
        <w:t>59</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787DE29D">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_Toc16260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四、生态环境影响分析</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_Toc16260 \h </w:instrText>
      </w:r>
      <w:r>
        <w:rPr>
          <w:color w:val="auto"/>
          <w:sz w:val="24"/>
          <w:szCs w:val="24"/>
          <w:highlight w:val="none"/>
          <w:shd w:val="clear" w:color="auto" w:fill="auto"/>
        </w:rPr>
        <w:fldChar w:fldCharType="separate"/>
      </w:r>
      <w:r>
        <w:rPr>
          <w:color w:val="auto"/>
          <w:sz w:val="24"/>
          <w:szCs w:val="24"/>
          <w:highlight w:val="none"/>
          <w:shd w:val="clear" w:color="auto" w:fill="auto"/>
        </w:rPr>
        <w:t>80</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63A8055E">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_Toc26551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五、主要生态环境保护措施</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_Toc26551 \h </w:instrText>
      </w:r>
      <w:r>
        <w:rPr>
          <w:color w:val="auto"/>
          <w:sz w:val="24"/>
          <w:szCs w:val="24"/>
          <w:highlight w:val="none"/>
          <w:shd w:val="clear" w:color="auto" w:fill="auto"/>
        </w:rPr>
        <w:fldChar w:fldCharType="separate"/>
      </w:r>
      <w:r>
        <w:rPr>
          <w:color w:val="auto"/>
          <w:sz w:val="24"/>
          <w:szCs w:val="24"/>
          <w:highlight w:val="none"/>
          <w:shd w:val="clear" w:color="auto" w:fill="auto"/>
        </w:rPr>
        <w:t>111</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502D16BB">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_Toc11521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六、生态环境保护措施监督检查清单</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_Toc11521 \h </w:instrText>
      </w:r>
      <w:r>
        <w:rPr>
          <w:color w:val="auto"/>
          <w:sz w:val="24"/>
          <w:szCs w:val="24"/>
          <w:highlight w:val="none"/>
          <w:shd w:val="clear" w:color="auto" w:fill="auto"/>
        </w:rPr>
        <w:fldChar w:fldCharType="separate"/>
      </w:r>
      <w:r>
        <w:rPr>
          <w:color w:val="auto"/>
          <w:sz w:val="24"/>
          <w:szCs w:val="24"/>
          <w:highlight w:val="none"/>
          <w:shd w:val="clear" w:color="auto" w:fill="auto"/>
        </w:rPr>
        <w:t>125</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248576CF">
      <w:pPr>
        <w:pStyle w:val="36"/>
        <w:shd w:val="clear"/>
        <w:tabs>
          <w:tab w:val="right" w:leader="dot" w:pos="8844"/>
        </w:tabs>
        <w:spacing w:line="360" w:lineRule="auto"/>
        <w:rPr>
          <w:color w:val="auto"/>
          <w:sz w:val="24"/>
          <w:szCs w:val="24"/>
          <w:highlight w:val="none"/>
          <w:shd w:val="clear" w:color="auto" w:fill="auto"/>
        </w:rPr>
      </w:pPr>
      <w:r>
        <w:rPr>
          <w:bCs/>
          <w:snapToGrid w:val="0"/>
          <w:color w:val="auto"/>
          <w:sz w:val="24"/>
          <w:szCs w:val="24"/>
          <w:highlight w:val="none"/>
          <w:shd w:val="clear" w:color="auto" w:fill="auto"/>
        </w:rPr>
        <w:fldChar w:fldCharType="begin"/>
      </w:r>
      <w:r>
        <w:rPr>
          <w:bCs/>
          <w:snapToGrid w:val="0"/>
          <w:color w:val="auto"/>
          <w:sz w:val="24"/>
          <w:szCs w:val="24"/>
          <w:highlight w:val="none"/>
          <w:shd w:val="clear" w:color="auto" w:fill="auto"/>
        </w:rPr>
        <w:instrText xml:space="preserve"> HYPERLINK \l _Toc24785 </w:instrText>
      </w:r>
      <w:r>
        <w:rPr>
          <w:bCs/>
          <w:snapToGrid w:val="0"/>
          <w:color w:val="auto"/>
          <w:sz w:val="24"/>
          <w:szCs w:val="24"/>
          <w:highlight w:val="none"/>
          <w:shd w:val="clear" w:color="auto" w:fill="auto"/>
        </w:rPr>
        <w:fldChar w:fldCharType="separate"/>
      </w:r>
      <w:r>
        <w:rPr>
          <w:bCs/>
          <w:snapToGrid w:val="0"/>
          <w:color w:val="auto"/>
          <w:sz w:val="24"/>
          <w:szCs w:val="24"/>
          <w:highlight w:val="none"/>
          <w:shd w:val="clear" w:color="auto" w:fill="auto"/>
        </w:rPr>
        <w:t>七、结论</w:t>
      </w:r>
      <w:r>
        <w:rPr>
          <w:color w:val="auto"/>
          <w:sz w:val="24"/>
          <w:szCs w:val="24"/>
          <w:highlight w:val="none"/>
          <w:shd w:val="clear" w:color="auto" w:fill="auto"/>
        </w:rPr>
        <w:tab/>
      </w:r>
      <w:r>
        <w:rPr>
          <w:color w:val="auto"/>
          <w:sz w:val="24"/>
          <w:szCs w:val="24"/>
          <w:highlight w:val="none"/>
          <w:shd w:val="clear" w:color="auto" w:fill="auto"/>
        </w:rPr>
        <w:fldChar w:fldCharType="begin"/>
      </w:r>
      <w:r>
        <w:rPr>
          <w:color w:val="auto"/>
          <w:sz w:val="24"/>
          <w:szCs w:val="24"/>
          <w:highlight w:val="none"/>
          <w:shd w:val="clear" w:color="auto" w:fill="auto"/>
        </w:rPr>
        <w:instrText xml:space="preserve"> PAGEREF _Toc24785 \h </w:instrText>
      </w:r>
      <w:r>
        <w:rPr>
          <w:color w:val="auto"/>
          <w:sz w:val="24"/>
          <w:szCs w:val="24"/>
          <w:highlight w:val="none"/>
          <w:shd w:val="clear" w:color="auto" w:fill="auto"/>
        </w:rPr>
        <w:fldChar w:fldCharType="separate"/>
      </w:r>
      <w:r>
        <w:rPr>
          <w:color w:val="auto"/>
          <w:sz w:val="24"/>
          <w:szCs w:val="24"/>
          <w:highlight w:val="none"/>
          <w:shd w:val="clear" w:color="auto" w:fill="auto"/>
        </w:rPr>
        <w:t>132</w:t>
      </w:r>
      <w:r>
        <w:rPr>
          <w:color w:val="auto"/>
          <w:sz w:val="24"/>
          <w:szCs w:val="24"/>
          <w:highlight w:val="none"/>
          <w:shd w:val="clear" w:color="auto" w:fill="auto"/>
        </w:rPr>
        <w:fldChar w:fldCharType="end"/>
      </w:r>
      <w:r>
        <w:rPr>
          <w:bCs/>
          <w:snapToGrid w:val="0"/>
          <w:color w:val="auto"/>
          <w:sz w:val="24"/>
          <w:szCs w:val="24"/>
          <w:highlight w:val="none"/>
          <w:shd w:val="clear" w:color="auto" w:fill="auto"/>
        </w:rPr>
        <w:fldChar w:fldCharType="end"/>
      </w:r>
    </w:p>
    <w:p w14:paraId="35C4CCA1">
      <w:pPr>
        <w:shd w:val="clear"/>
        <w:spacing w:line="360" w:lineRule="auto"/>
        <w:rPr>
          <w:b/>
          <w:snapToGrid w:val="0"/>
          <w:color w:val="auto"/>
          <w:sz w:val="24"/>
        </w:rPr>
      </w:pPr>
      <w:r>
        <w:rPr>
          <w:bCs/>
          <w:snapToGrid w:val="0"/>
          <w:color w:val="auto"/>
          <w:sz w:val="24"/>
          <w:szCs w:val="24"/>
          <w:highlight w:val="none"/>
          <w:shd w:val="clear" w:color="auto" w:fill="auto"/>
        </w:rPr>
        <w:fldChar w:fldCharType="end"/>
      </w:r>
      <w:bookmarkStart w:id="0" w:name="_Toc8950"/>
    </w:p>
    <w:p w14:paraId="1D7E1C77">
      <w:pPr>
        <w:spacing w:line="360" w:lineRule="auto"/>
        <w:rPr>
          <w:b/>
          <w:snapToGrid w:val="0"/>
          <w:color w:val="auto"/>
          <w:sz w:val="24"/>
        </w:rPr>
      </w:pPr>
      <w:r>
        <w:rPr>
          <w:b/>
          <w:snapToGrid w:val="0"/>
          <w:color w:val="auto"/>
          <w:sz w:val="24"/>
        </w:rPr>
        <w:t>附件：</w:t>
      </w:r>
    </w:p>
    <w:p w14:paraId="6E4CC910">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附件1：委托书</w:t>
      </w:r>
    </w:p>
    <w:p w14:paraId="0BBC2452">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附件2：营业执照</w:t>
      </w:r>
    </w:p>
    <w:p w14:paraId="46F1099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附件3：技术咨询合同</w:t>
      </w:r>
    </w:p>
    <w:p w14:paraId="1D0DE9B2">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附件4：白石岩光伏发电项目备案证</w:t>
      </w:r>
    </w:p>
    <w:p w14:paraId="00A0D830">
      <w:pPr>
        <w:spacing w:line="360" w:lineRule="auto"/>
        <w:rPr>
          <w:snapToGrid w:val="0"/>
          <w:color w:val="auto"/>
          <w:sz w:val="24"/>
        </w:rPr>
      </w:pPr>
      <w:r>
        <w:rPr>
          <w:rFonts w:hint="eastAsia" w:cs="Times New Roman"/>
          <w:snapToGrid w:val="0"/>
          <w:color w:val="auto"/>
          <w:sz w:val="24"/>
          <w:highlight w:val="none"/>
          <w:lang w:val="en-US" w:eastAsia="zh-CN"/>
        </w:rPr>
        <w:t>附件5：</w:t>
      </w:r>
      <w:r>
        <w:rPr>
          <w:rFonts w:hint="eastAsia"/>
          <w:snapToGrid w:val="0"/>
          <w:color w:val="auto"/>
          <w:sz w:val="24"/>
        </w:rPr>
        <w:t>寻甸白石岩光伏发电项目35kV送出线路工程</w:t>
      </w:r>
      <w:r>
        <w:rPr>
          <w:snapToGrid w:val="0"/>
          <w:color w:val="auto"/>
          <w:sz w:val="24"/>
        </w:rPr>
        <w:t>备案证</w:t>
      </w:r>
    </w:p>
    <w:p w14:paraId="31FF671A">
      <w:pPr>
        <w:spacing w:line="360" w:lineRule="auto"/>
        <w:rPr>
          <w:rFonts w:hint="eastAsia" w:cs="Times New Roman"/>
          <w:snapToGrid w:val="0"/>
          <w:color w:val="auto"/>
          <w:sz w:val="24"/>
          <w:highlight w:val="none"/>
          <w:lang w:val="en-US" w:eastAsia="zh-CN"/>
        </w:rPr>
      </w:pPr>
      <w:r>
        <w:rPr>
          <w:rFonts w:hint="eastAsia"/>
          <w:snapToGrid w:val="0"/>
          <w:color w:val="auto"/>
          <w:sz w:val="24"/>
          <w:highlight w:val="none"/>
        </w:rPr>
        <w:t>附件</w:t>
      </w:r>
      <w:r>
        <w:rPr>
          <w:rFonts w:hint="eastAsia"/>
          <w:snapToGrid w:val="0"/>
          <w:color w:val="auto"/>
          <w:sz w:val="24"/>
          <w:highlight w:val="none"/>
          <w:lang w:val="en-US" w:eastAsia="zh-CN"/>
        </w:rPr>
        <w:t>6</w:t>
      </w:r>
      <w:r>
        <w:rPr>
          <w:rFonts w:hint="eastAsia"/>
          <w:snapToGrid w:val="0"/>
          <w:color w:val="auto"/>
          <w:sz w:val="24"/>
          <w:highlight w:val="none"/>
        </w:rPr>
        <w:t>：</w:t>
      </w:r>
      <w:r>
        <w:rPr>
          <w:rFonts w:hint="eastAsia" w:cs="Times New Roman"/>
          <w:snapToGrid w:val="0"/>
          <w:color w:val="auto"/>
          <w:sz w:val="24"/>
          <w:highlight w:val="none"/>
          <w:lang w:val="en-US" w:eastAsia="zh-CN"/>
        </w:rPr>
        <w:t>寻甸回族彝族自治县林业和草原局关于委托维护和修建梳山、竹园沟、石崖、白石岩光伏发电项目周边道路工程的函（寻林函〔2024</w:t>
      </w:r>
      <w:r>
        <w:rPr>
          <w:rFonts w:hint="eastAsia"/>
          <w:snapToGrid w:val="0"/>
          <w:color w:val="auto"/>
          <w:sz w:val="24"/>
          <w:highlight w:val="none"/>
        </w:rPr>
        <w:t>〕</w:t>
      </w:r>
      <w:r>
        <w:rPr>
          <w:rFonts w:hint="eastAsia" w:cs="Times New Roman"/>
          <w:snapToGrid w:val="0"/>
          <w:color w:val="auto"/>
          <w:sz w:val="24"/>
          <w:highlight w:val="none"/>
          <w:lang w:val="en-US" w:eastAsia="zh-CN"/>
        </w:rPr>
        <w:t>12号）</w:t>
      </w:r>
    </w:p>
    <w:p w14:paraId="75163CCF">
      <w:pPr>
        <w:spacing w:line="360" w:lineRule="auto"/>
        <w:rPr>
          <w:rFonts w:hint="eastAsia"/>
          <w:snapToGrid w:val="0"/>
          <w:color w:val="auto"/>
          <w:sz w:val="24"/>
          <w:highlight w:val="none"/>
        </w:rPr>
      </w:pPr>
      <w:r>
        <w:rPr>
          <w:rFonts w:hint="eastAsia"/>
          <w:snapToGrid w:val="0"/>
          <w:color w:val="auto"/>
          <w:sz w:val="24"/>
          <w:highlight w:val="none"/>
          <w:lang w:val="en-US" w:eastAsia="zh-CN"/>
        </w:rPr>
        <w:t>附件7：各部门</w:t>
      </w:r>
      <w:r>
        <w:rPr>
          <w:rFonts w:hint="default"/>
          <w:snapToGrid w:val="0"/>
          <w:color w:val="auto"/>
          <w:sz w:val="24"/>
          <w:highlight w:val="none"/>
          <w:lang w:val="en-US" w:eastAsia="zh-CN"/>
        </w:rPr>
        <w:t>选址意见</w:t>
      </w:r>
      <w:r>
        <w:rPr>
          <w:rFonts w:hint="eastAsia"/>
          <w:snapToGrid w:val="0"/>
          <w:color w:val="auto"/>
          <w:sz w:val="24"/>
          <w:highlight w:val="none"/>
          <w:lang w:val="en-US" w:eastAsia="zh-CN"/>
        </w:rPr>
        <w:t>（寻甸回族彝族自治县自然资源局、寻甸回族彝族自治县林业和草原局、寻甸回族彝族自治县水务局、寻甸回族彝族自治县农业农村局、寻甸回族彝族自治县文化和旅游局）</w:t>
      </w:r>
    </w:p>
    <w:p w14:paraId="0C22F68E">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附件8：《云南省发展和改革委员会 云南省能源局关于印发云南省2023年第一批新能源建设方案的通知》（云能源水电〔2023〕170号）</w:t>
      </w:r>
    </w:p>
    <w:p w14:paraId="603E6809">
      <w:pPr>
        <w:spacing w:line="360" w:lineRule="auto"/>
        <w:rPr>
          <w:rFonts w:hint="eastAsia"/>
          <w:snapToGrid w:val="0"/>
          <w:color w:val="auto"/>
          <w:sz w:val="24"/>
          <w:highlight w:val="yellow"/>
          <w:lang w:val="en-US" w:eastAsia="zh-CN"/>
        </w:rPr>
      </w:pPr>
      <w:r>
        <w:rPr>
          <w:rFonts w:hint="eastAsia"/>
          <w:snapToGrid w:val="0"/>
          <w:color w:val="auto"/>
          <w:sz w:val="24"/>
          <w:highlight w:val="none"/>
        </w:rPr>
        <w:t>附</w:t>
      </w:r>
      <w:r>
        <w:rPr>
          <w:rFonts w:hint="eastAsia"/>
          <w:snapToGrid w:val="0"/>
          <w:color w:val="auto"/>
          <w:sz w:val="24"/>
          <w:szCs w:val="24"/>
          <w:highlight w:val="none"/>
        </w:rPr>
        <w:t>件</w:t>
      </w:r>
      <w:r>
        <w:rPr>
          <w:rFonts w:hint="eastAsia"/>
          <w:snapToGrid w:val="0"/>
          <w:color w:val="auto"/>
          <w:sz w:val="24"/>
          <w:szCs w:val="24"/>
          <w:highlight w:val="none"/>
          <w:lang w:val="en-US" w:eastAsia="zh-CN"/>
        </w:rPr>
        <w:t>9</w:t>
      </w:r>
      <w:r>
        <w:rPr>
          <w:rFonts w:hint="eastAsia"/>
          <w:snapToGrid w:val="0"/>
          <w:color w:val="auto"/>
          <w:sz w:val="24"/>
          <w:highlight w:val="none"/>
          <w:lang w:val="en-US" w:eastAsia="zh-CN"/>
        </w:rPr>
        <w:t>：</w:t>
      </w:r>
      <w:r>
        <w:rPr>
          <w:rFonts w:hint="eastAsia" w:cs="Times New Roman"/>
          <w:b w:val="0"/>
          <w:bCs w:val="0"/>
          <w:color w:val="auto"/>
          <w:sz w:val="24"/>
          <w:szCs w:val="24"/>
          <w:highlight w:val="none"/>
          <w:lang w:val="en-US" w:eastAsia="zh-CN"/>
        </w:rPr>
        <w:t>昆明市生态环境工程评估中心关于查询白石岩光伏发电项目涉及生态环境分区管控情况的复函（昆环评估复函〔2024〕120号）</w:t>
      </w:r>
    </w:p>
    <w:p w14:paraId="72960FC6">
      <w:pPr>
        <w:spacing w:line="360" w:lineRule="auto"/>
        <w:rPr>
          <w:snapToGrid w:val="0"/>
          <w:color w:val="auto"/>
          <w:sz w:val="24"/>
          <w:highlight w:val="none"/>
        </w:rPr>
      </w:pPr>
      <w:r>
        <w:rPr>
          <w:rFonts w:hint="eastAsia"/>
          <w:snapToGrid w:val="0"/>
          <w:color w:val="auto"/>
          <w:sz w:val="24"/>
          <w:highlight w:val="none"/>
        </w:rPr>
        <w:t>附</w:t>
      </w:r>
      <w:r>
        <w:rPr>
          <w:snapToGrid w:val="0"/>
          <w:color w:val="auto"/>
          <w:sz w:val="24"/>
          <w:highlight w:val="none"/>
        </w:rPr>
        <w:t>件</w:t>
      </w:r>
      <w:r>
        <w:rPr>
          <w:rFonts w:hint="eastAsia"/>
          <w:snapToGrid w:val="0"/>
          <w:color w:val="auto"/>
          <w:sz w:val="24"/>
          <w:highlight w:val="none"/>
          <w:lang w:val="en-US" w:eastAsia="zh-CN"/>
        </w:rPr>
        <w:t>10</w:t>
      </w:r>
      <w:r>
        <w:rPr>
          <w:rFonts w:hint="eastAsia"/>
          <w:snapToGrid w:val="0"/>
          <w:color w:val="auto"/>
          <w:sz w:val="24"/>
          <w:highlight w:val="none"/>
        </w:rPr>
        <w:t>：项目环境质量现状监测报告</w:t>
      </w:r>
    </w:p>
    <w:p w14:paraId="51A537A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附件11：项目现场踏勘基本情况记录表</w:t>
      </w:r>
    </w:p>
    <w:p w14:paraId="286043E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附件12：寻甸县乾润新能源有限公司关于《白石岩光伏发电项目环境影响报告表》全本信息公开</w:t>
      </w:r>
    </w:p>
    <w:p w14:paraId="380D7DF2">
      <w:pPr>
        <w:spacing w:line="360" w:lineRule="auto"/>
        <w:rPr>
          <w:rFonts w:hint="eastAsia"/>
          <w:snapToGrid w:val="0"/>
          <w:color w:val="auto"/>
          <w:sz w:val="24"/>
          <w:highlight w:val="none"/>
        </w:rPr>
      </w:pPr>
      <w:r>
        <w:rPr>
          <w:rFonts w:hint="eastAsia"/>
          <w:snapToGrid w:val="0"/>
          <w:color w:val="auto"/>
          <w:sz w:val="24"/>
          <w:highlight w:val="none"/>
          <w:lang w:val="en-US" w:eastAsia="zh-CN"/>
        </w:rPr>
        <w:t>附件13：</w:t>
      </w:r>
      <w:r>
        <w:rPr>
          <w:rFonts w:hint="eastAsia"/>
          <w:snapToGrid w:val="0"/>
          <w:color w:val="auto"/>
          <w:sz w:val="24"/>
          <w:highlight w:val="none"/>
        </w:rPr>
        <w:t>项目进度管理表+项目内部审核单</w:t>
      </w:r>
    </w:p>
    <w:p w14:paraId="3EE31F5F">
      <w:pPr>
        <w:shd w:val="clear"/>
        <w:spacing w:line="360" w:lineRule="auto"/>
        <w:rPr>
          <w:b/>
          <w:snapToGrid w:val="0"/>
          <w:color w:val="auto"/>
          <w:sz w:val="24"/>
          <w:highlight w:val="none"/>
          <w:shd w:val="clear" w:color="auto" w:fill="auto"/>
        </w:rPr>
      </w:pPr>
    </w:p>
    <w:p w14:paraId="3422BEBF">
      <w:pPr>
        <w:shd w:val="clear"/>
        <w:spacing w:line="360" w:lineRule="auto"/>
        <w:rPr>
          <w:b/>
          <w:bCs/>
          <w:snapToGrid w:val="0"/>
          <w:color w:val="auto"/>
          <w:sz w:val="24"/>
          <w:highlight w:val="none"/>
          <w:shd w:val="clear" w:color="auto" w:fill="auto"/>
        </w:rPr>
      </w:pPr>
      <w:r>
        <w:rPr>
          <w:b/>
          <w:snapToGrid w:val="0"/>
          <w:color w:val="auto"/>
          <w:sz w:val="24"/>
          <w:highlight w:val="none"/>
          <w:shd w:val="clear" w:color="auto" w:fill="auto"/>
        </w:rPr>
        <w:t>附图：</w:t>
      </w:r>
    </w:p>
    <w:p w14:paraId="158D5C8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附图1：项目地理位置图</w:t>
      </w:r>
    </w:p>
    <w:p w14:paraId="146347F8">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附图2：项目区域水系图</w:t>
      </w:r>
    </w:p>
    <w:p w14:paraId="71E77927">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附图3-1：东北片区总平面布置图</w:t>
      </w:r>
      <w:r>
        <w:rPr>
          <w:rFonts w:hint="eastAsia"/>
          <w:snapToGrid w:val="0"/>
          <w:color w:val="auto"/>
          <w:sz w:val="24"/>
          <w:highlight w:val="none"/>
          <w:lang w:val="en-US" w:eastAsia="zh-CN"/>
        </w:rPr>
        <w:tab/>
      </w:r>
    </w:p>
    <w:p w14:paraId="5488BF52">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附图3-2：西南片区总平面布置图</w:t>
      </w:r>
      <w:r>
        <w:rPr>
          <w:rFonts w:hint="eastAsia"/>
          <w:snapToGrid w:val="0"/>
          <w:color w:val="auto"/>
          <w:sz w:val="24"/>
          <w:highlight w:val="none"/>
          <w:lang w:val="en-US" w:eastAsia="zh-CN"/>
        </w:rPr>
        <w:tab/>
      </w:r>
    </w:p>
    <w:p w14:paraId="327B8F0D">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附图4：箱变基础平面图</w:t>
      </w:r>
    </w:p>
    <w:p w14:paraId="65FE4CCD">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附图5-1：项目东北片区生态环境保护目标分布及位置关系图</w:t>
      </w:r>
    </w:p>
    <w:p w14:paraId="2A3962D6">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附图5-2：项目西南片区生态环境保护目标分布及位置关系图</w:t>
      </w:r>
    </w:p>
    <w:p w14:paraId="0AB84755">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附图6-1：项目现状监测布点图</w:t>
      </w:r>
    </w:p>
    <w:p w14:paraId="37B08295">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附图6-2：项目监测计划布点图</w:t>
      </w:r>
    </w:p>
    <w:p w14:paraId="0BF5F8E7">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附图7-1：项目东北片区施工和防治措施布置图</w:t>
      </w:r>
    </w:p>
    <w:p w14:paraId="7615C91E">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附图7-2：项目西南片区施工和防治措施布置图</w:t>
      </w:r>
    </w:p>
    <w:p w14:paraId="3E5FF2DB">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附图7-3：项目施工场地防治措施布置图</w:t>
      </w:r>
    </w:p>
    <w:p w14:paraId="22071EC7">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附图7-4：排水沟及沉沙池典型设计图</w:t>
      </w:r>
    </w:p>
    <w:p w14:paraId="2B095724">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附图8-1：项目东北片区评价区土地利用现状图</w:t>
      </w:r>
    </w:p>
    <w:p w14:paraId="0ADE964C">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附图8-2：项目西南片区评价区土地利用现状图</w:t>
      </w:r>
    </w:p>
    <w:p w14:paraId="4980EB13">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附图9-1：项目东北片区评价区植被类型图</w:t>
      </w:r>
    </w:p>
    <w:p w14:paraId="7665B4D3">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附图9-2：项目西南片区评价区植被类型图</w:t>
      </w:r>
    </w:p>
    <w:p w14:paraId="576C2136">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附图10：项目与牛栏江（云南段）水环境保护分区位置关系图</w:t>
      </w:r>
    </w:p>
    <w:p w14:paraId="38FBBEC2">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附图11：项目与牛栏江（寻甸段）水环境保护分区位置关系图</w:t>
      </w:r>
    </w:p>
    <w:p w14:paraId="1F90BAC6">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附图12：项目与昆明市寻甸县河口镇化桃箐水库饮用水源地保护区位置关系图</w:t>
      </w:r>
    </w:p>
    <w:p w14:paraId="73BC5606">
      <w:pPr>
        <w:spacing w:line="360" w:lineRule="auto"/>
        <w:rPr>
          <w:rFonts w:hint="default"/>
          <w:snapToGrid w:val="0"/>
          <w:color w:val="auto"/>
          <w:sz w:val="24"/>
          <w:highlight w:val="none"/>
          <w:lang w:val="en-US" w:eastAsia="zh-CN"/>
        </w:rPr>
      </w:pPr>
      <w:r>
        <w:rPr>
          <w:rFonts w:hint="eastAsia"/>
          <w:snapToGrid w:val="0"/>
          <w:color w:val="auto"/>
          <w:sz w:val="24"/>
          <w:highlight w:val="none"/>
          <w:lang w:val="en-US" w:eastAsia="zh-CN"/>
        </w:rPr>
        <w:t>附图13：项目与寻甸县“三区三线”划定成果的位置关系图</w:t>
      </w:r>
    </w:p>
    <w:p w14:paraId="4514997C">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附图14：项目在云南省主体功能区划分总图中的位置图</w:t>
      </w:r>
    </w:p>
    <w:p w14:paraId="18DD520A">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附图15：项目在云南省生态功能类型区中的位置图</w:t>
      </w:r>
    </w:p>
    <w:p w14:paraId="49EE88E3">
      <w:pPr>
        <w:spacing w:line="360" w:lineRule="auto"/>
        <w:rPr>
          <w:rFonts w:hint="eastAsia"/>
          <w:snapToGrid w:val="0"/>
          <w:color w:val="auto"/>
          <w:sz w:val="24"/>
          <w:highlight w:val="none"/>
          <w:lang w:val="en-US" w:eastAsia="zh-CN"/>
        </w:rPr>
      </w:pPr>
      <w:r>
        <w:rPr>
          <w:rFonts w:hint="eastAsia"/>
          <w:snapToGrid w:val="0"/>
          <w:color w:val="auto"/>
          <w:sz w:val="24"/>
          <w:highlight w:val="none"/>
          <w:lang w:val="en-US" w:eastAsia="zh-CN"/>
        </w:rPr>
        <w:t>附图16：项目与云南省生物多样性保护优先区域位置关系图</w:t>
      </w:r>
    </w:p>
    <w:p w14:paraId="29DBAA99">
      <w:pPr>
        <w:pStyle w:val="4"/>
        <w:bidi w:val="0"/>
        <w:jc w:val="center"/>
        <w:rPr>
          <w:rFonts w:hint="eastAsia"/>
          <w:color w:val="auto"/>
        </w:rPr>
        <w:sectPr>
          <w:footerReference r:id="rId3" w:type="default"/>
          <w:pgSz w:w="11906" w:h="16838"/>
          <w:pgMar w:top="1701" w:right="1531" w:bottom="1701" w:left="1531" w:header="851" w:footer="1077" w:gutter="0"/>
          <w:pgNumType w:fmt="upperRoman" w:start="1"/>
          <w:cols w:space="720" w:num="1"/>
          <w:docGrid w:linePitch="312" w:charSpace="0"/>
        </w:sectPr>
      </w:pPr>
    </w:p>
    <w:p w14:paraId="7FCF70AA">
      <w:pPr>
        <w:pStyle w:val="4"/>
        <w:shd w:val="clear"/>
        <w:bidi w:val="0"/>
        <w:jc w:val="center"/>
        <w:rPr>
          <w:color w:val="auto"/>
        </w:rPr>
      </w:pPr>
      <w:r>
        <w:rPr>
          <w:rFonts w:hint="eastAsia" w:ascii="宋体" w:hAnsi="宋体" w:eastAsia="宋体" w:cs="宋体"/>
          <w:color w:val="auto"/>
          <w:highlight w:val="none"/>
          <w:shd w:val="clear" w:color="auto" w:fill="auto"/>
        </w:rPr>
        <w:t>前 言</w:t>
      </w:r>
      <w:bookmarkEnd w:id="0"/>
    </w:p>
    <w:p w14:paraId="621F919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lang w:val="en-US" w:eastAsia="zh-CN"/>
        </w:rPr>
        <w:t>为贯彻落实省委、省政府有关工作部署，全面实施“3815”战略发展目标，持续提高我省能源安全保障水平，支撑经济社会发展，云南省发展和改革委员会、云南省能源局下发了《云南省</w:t>
      </w:r>
      <w:r>
        <w:rPr>
          <w:rFonts w:hint="default"/>
          <w:color w:val="auto"/>
          <w:sz w:val="24"/>
          <w:szCs w:val="24"/>
          <w:highlight w:val="none"/>
          <w:shd w:val="clear" w:color="auto" w:fill="auto"/>
          <w:lang w:val="en-US" w:eastAsia="zh-CN"/>
        </w:rPr>
        <w:t>202</w:t>
      </w:r>
      <w:r>
        <w:rPr>
          <w:rFonts w:hint="eastAsia"/>
          <w:color w:val="auto"/>
          <w:sz w:val="24"/>
          <w:szCs w:val="24"/>
          <w:highlight w:val="none"/>
          <w:shd w:val="clear" w:color="auto" w:fill="auto"/>
          <w:lang w:val="en-US" w:eastAsia="zh-CN"/>
        </w:rPr>
        <w:t>3年第一批新能源项目开发建设方案》，要求组织实施新能源项目，本项目为实施方案内的工程。本项目的开发建设能有效的促进地方经济，带动光伏产业链的发展，落实国家实施碳达峰、碳中和的目标，具有良好的社会效益和经济效益，对于改善当地电网电源结构，推动云南省太阳能发电事业发展，开发可再生能源有着积极的意义。</w:t>
      </w:r>
    </w:p>
    <w:p w14:paraId="76FD4D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yellow"/>
          <w:shd w:val="clear" w:color="auto" w:fill="auto"/>
        </w:rPr>
      </w:pPr>
      <w:r>
        <w:rPr>
          <w:rFonts w:hint="default"/>
          <w:color w:val="auto"/>
          <w:sz w:val="24"/>
          <w:szCs w:val="24"/>
          <w:highlight w:val="none"/>
          <w:shd w:val="clear" w:color="auto" w:fill="auto"/>
          <w:lang w:val="en-US" w:eastAsia="zh-CN"/>
        </w:rPr>
        <w:t>202</w:t>
      </w:r>
      <w:r>
        <w:rPr>
          <w:rFonts w:hint="eastAsia"/>
          <w:color w:val="auto"/>
          <w:sz w:val="24"/>
          <w:szCs w:val="24"/>
          <w:highlight w:val="none"/>
          <w:shd w:val="clear" w:color="auto" w:fill="auto"/>
          <w:lang w:val="en-US" w:eastAsia="zh-CN"/>
        </w:rPr>
        <w:t>3年9月21日，</w:t>
      </w:r>
      <w:r>
        <w:rPr>
          <w:rFonts w:hint="eastAsia" w:ascii="Times New Roman" w:hAnsi="Times New Roman" w:cs="Times New Roman"/>
          <w:color w:val="auto"/>
          <w:sz w:val="24"/>
          <w:szCs w:val="24"/>
          <w:highlight w:val="none"/>
          <w:shd w:val="clear" w:color="auto" w:fill="auto"/>
          <w:lang w:val="en-US" w:eastAsia="zh-CN"/>
        </w:rPr>
        <w:t>寻甸县乾润新能源有限公司</w:t>
      </w:r>
      <w:r>
        <w:rPr>
          <w:rFonts w:hint="eastAsia"/>
          <w:color w:val="auto"/>
          <w:sz w:val="24"/>
          <w:szCs w:val="24"/>
          <w:highlight w:val="none"/>
          <w:shd w:val="clear" w:color="auto" w:fill="auto"/>
          <w:lang w:val="en-US" w:eastAsia="zh-CN"/>
        </w:rPr>
        <w:t>（以下简称“建设单位”）取得寻甸回族彝族自治县发展和改革局出具的投资备案证，白石岩光伏发电项目总投资19400万元，装机容量45MW，配套建设箱变、光伏阵列区。</w:t>
      </w:r>
    </w:p>
    <w:p w14:paraId="285205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shd w:val="clear" w:color="auto" w:fill="auto"/>
          <w:lang w:val="en-US" w:eastAsia="zh-CN"/>
        </w:rPr>
        <w:t>白石岩光伏发电项目位于昆明市寻甸回族彝族自治县河口镇</w:t>
      </w:r>
      <w:r>
        <w:rPr>
          <w:rFonts w:hint="eastAsia" w:ascii="宋体" w:hAnsi="宋体" w:cs="宋体"/>
          <w:color w:val="auto"/>
          <w:kern w:val="0"/>
          <w:sz w:val="24"/>
          <w:szCs w:val="24"/>
          <w:lang w:val="en-US" w:eastAsia="zh-CN" w:bidi="ar"/>
        </w:rPr>
        <w:t>、功山镇</w:t>
      </w:r>
      <w:r>
        <w:rPr>
          <w:rFonts w:hint="eastAsia" w:ascii="Times New Roman" w:hAnsi="Times New Roman" w:cs="Times New Roman"/>
          <w:color w:val="auto"/>
          <w:sz w:val="24"/>
          <w:szCs w:val="24"/>
          <w:highlight w:val="none"/>
          <w:shd w:val="clear" w:color="auto" w:fill="auto"/>
          <w:lang w:val="en-US" w:eastAsia="zh-CN"/>
        </w:rPr>
        <w:t>境内，项目</w:t>
      </w:r>
      <w:r>
        <w:rPr>
          <w:rFonts w:hint="eastAsia" w:cs="Times New Roman"/>
          <w:color w:val="auto"/>
          <w:sz w:val="24"/>
          <w:szCs w:val="24"/>
          <w:highlight w:val="none"/>
          <w:shd w:val="clear" w:color="auto" w:fill="auto"/>
          <w:lang w:val="en-US" w:eastAsia="zh-CN"/>
        </w:rPr>
        <w:t>分为东北和西南2个片区，东北片</w:t>
      </w:r>
      <w:r>
        <w:rPr>
          <w:rFonts w:hint="eastAsia" w:ascii="Times New Roman" w:hAnsi="Times New Roman" w:cs="Times New Roman"/>
          <w:color w:val="auto"/>
          <w:sz w:val="24"/>
          <w:szCs w:val="24"/>
          <w:highlight w:val="none"/>
          <w:shd w:val="clear" w:color="auto" w:fill="auto"/>
          <w:lang w:val="en-US" w:eastAsia="zh-CN"/>
        </w:rPr>
        <w:t>区中心坐标</w:t>
      </w:r>
      <w:r>
        <w:rPr>
          <w:rFonts w:hint="eastAsia"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103°28′</w:t>
      </w:r>
      <w:r>
        <w:rPr>
          <w:rFonts w:hint="eastAsia" w:ascii="Times New Roman" w:hAnsi="Times New Roman" w:cs="Times New Roman"/>
          <w:color w:val="auto"/>
          <w:sz w:val="24"/>
          <w:szCs w:val="24"/>
          <w:highlight w:val="none"/>
          <w:shd w:val="clear" w:color="auto" w:fill="auto"/>
          <w:lang w:val="en-US" w:eastAsia="zh-CN"/>
        </w:rPr>
        <w:t>49.10</w:t>
      </w:r>
      <w:r>
        <w:rPr>
          <w:rFonts w:hint="eastAsia" w:cs="Times New Roman"/>
          <w:color w:val="auto"/>
          <w:sz w:val="24"/>
          <w:szCs w:val="24"/>
          <w:highlight w:val="none"/>
          <w:shd w:val="clear" w:color="auto" w:fill="auto"/>
          <w:lang w:val="en-US" w:eastAsia="zh-CN"/>
        </w:rPr>
        <w:t>7</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25°43′</w:t>
      </w:r>
      <w:r>
        <w:rPr>
          <w:rFonts w:hint="eastAsia" w:ascii="Times New Roman" w:hAnsi="Times New Roman" w:cs="Times New Roman"/>
          <w:color w:val="auto"/>
          <w:sz w:val="24"/>
          <w:szCs w:val="24"/>
          <w:highlight w:val="none"/>
          <w:shd w:val="clear" w:color="auto" w:fill="auto"/>
          <w:lang w:val="en-US" w:eastAsia="zh-CN"/>
        </w:rPr>
        <w:t>50.69</w:t>
      </w:r>
      <w:r>
        <w:rPr>
          <w:rFonts w:hint="eastAsia" w:cs="Times New Roman"/>
          <w:color w:val="auto"/>
          <w:sz w:val="24"/>
          <w:szCs w:val="24"/>
          <w:highlight w:val="none"/>
          <w:shd w:val="clear" w:color="auto" w:fill="auto"/>
          <w:lang w:val="en-US" w:eastAsia="zh-CN"/>
        </w:rPr>
        <w:t>2</w:t>
      </w:r>
      <w:r>
        <w:rPr>
          <w:rFonts w:hint="eastAsia"/>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西南片区</w:t>
      </w:r>
      <w:r>
        <w:rPr>
          <w:rFonts w:hint="eastAsia" w:ascii="Times New Roman" w:hAnsi="Times New Roman" w:cs="Times New Roman"/>
          <w:color w:val="auto"/>
          <w:sz w:val="24"/>
          <w:szCs w:val="24"/>
          <w:highlight w:val="none"/>
          <w:shd w:val="clear" w:color="auto" w:fill="auto"/>
          <w:lang w:val="en-US" w:eastAsia="zh-CN"/>
        </w:rPr>
        <w:t>中心坐标</w:t>
      </w:r>
      <w:r>
        <w:rPr>
          <w:rFonts w:hint="eastAsia"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103°22′</w:t>
      </w:r>
      <w:r>
        <w:rPr>
          <w:rFonts w:hint="eastAsia" w:ascii="Times New Roman" w:hAnsi="Times New Roman" w:cs="Times New Roman"/>
          <w:color w:val="auto"/>
          <w:sz w:val="24"/>
          <w:szCs w:val="24"/>
          <w:highlight w:val="none"/>
          <w:shd w:val="clear" w:color="auto" w:fill="auto"/>
          <w:lang w:val="en-US" w:eastAsia="zh-CN"/>
        </w:rPr>
        <w:t>30.825</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25°48′</w:t>
      </w:r>
      <w:r>
        <w:rPr>
          <w:rFonts w:hint="eastAsia" w:ascii="Times New Roman" w:hAnsi="Times New Roman" w:cs="Times New Roman"/>
          <w:color w:val="auto"/>
          <w:sz w:val="24"/>
          <w:szCs w:val="24"/>
          <w:highlight w:val="none"/>
          <w:shd w:val="clear" w:color="auto" w:fill="auto"/>
          <w:lang w:val="en-US" w:eastAsia="zh-CN"/>
        </w:rPr>
        <w:t>22.44</w:t>
      </w:r>
      <w:r>
        <w:rPr>
          <w:rFonts w:hint="eastAsia" w:cs="Times New Roman"/>
          <w:color w:val="auto"/>
          <w:sz w:val="24"/>
          <w:szCs w:val="24"/>
          <w:highlight w:val="none"/>
          <w:shd w:val="clear" w:color="auto" w:fill="auto"/>
          <w:lang w:val="en-US" w:eastAsia="zh-CN"/>
        </w:rPr>
        <w:t>9</w:t>
      </w:r>
      <w:r>
        <w:rPr>
          <w:rFonts w:hint="eastAsia"/>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rPr>
        <w:t>工程额定容量45MW，实际直流侧安装容量57.72442MWp，</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rPr>
        <w:t>规划1/11/1/1个标称容量2600/3200/3600/3900kW的组串式逆变方阵，选用峰值功率为590Wp的N型单晶硅电池组件。每个方阵配置209/260~270/297/324个组串（每个组串由26块组件串联），8/10/11/12台额定功率320kW的组串式逆变器，1台容量为2600/3200/3600/3900kVA双绕组箱变。</w:t>
      </w:r>
    </w:p>
    <w:p w14:paraId="1B1D4A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bCs/>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本光伏电站每个光伏子方阵经逆变升压后输出电压为35kV。每回集电线路箱变高压侧采用首尾串接的方式并入一回集电线路，最终通过终端塔上塔，通过</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回35kV架空线路送至</w:t>
      </w:r>
      <w:r>
        <w:rPr>
          <w:rFonts w:hint="eastAsia" w:cs="Times New Roman"/>
          <w:color w:val="auto"/>
          <w:sz w:val="24"/>
          <w:szCs w:val="24"/>
          <w:highlight w:val="none"/>
          <w:lang w:val="en-US" w:eastAsia="zh-CN"/>
        </w:rPr>
        <w:t>依托的</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color w:val="auto"/>
          <w:sz w:val="24"/>
          <w:szCs w:val="24"/>
          <w:highlight w:val="none"/>
          <w:lang w:val="en-US" w:eastAsia="zh-CN"/>
        </w:rPr>
        <w:t>220</w:t>
      </w:r>
      <w:r>
        <w:rPr>
          <w:rFonts w:hint="default" w:ascii="Times New Roman" w:hAnsi="Times New Roman" w:eastAsia="宋体" w:cs="Times New Roman"/>
          <w:color w:val="auto"/>
          <w:sz w:val="24"/>
          <w:szCs w:val="24"/>
          <w:highlight w:val="none"/>
          <w:lang w:val="en-US" w:eastAsia="zh-CN"/>
        </w:rPr>
        <w:t>kV升压站。</w:t>
      </w:r>
      <w:r>
        <w:rPr>
          <w:rFonts w:hint="eastAsia" w:eastAsia="宋体"/>
          <w:b/>
          <w:bCs/>
          <w:color w:val="auto"/>
          <w:sz w:val="24"/>
          <w:szCs w:val="24"/>
          <w:lang w:val="en-US" w:eastAsia="zh-CN"/>
        </w:rPr>
        <w:t>因</w:t>
      </w:r>
      <w:r>
        <w:rPr>
          <w:rFonts w:hint="default" w:eastAsia="宋体"/>
          <w:b/>
          <w:bCs/>
          <w:color w:val="auto"/>
          <w:sz w:val="24"/>
          <w:szCs w:val="24"/>
          <w:lang w:val="en-US" w:eastAsia="zh-CN"/>
        </w:rPr>
        <w:t>35kV</w:t>
      </w:r>
      <w:r>
        <w:rPr>
          <w:rFonts w:hint="eastAsia"/>
          <w:b/>
          <w:bCs/>
          <w:color w:val="auto"/>
          <w:sz w:val="24"/>
          <w:szCs w:val="24"/>
          <w:lang w:val="en-US" w:eastAsia="zh-CN"/>
        </w:rPr>
        <w:t>集电线路按照</w:t>
      </w:r>
      <w:r>
        <w:rPr>
          <w:rFonts w:hint="eastAsia" w:eastAsia="宋体"/>
          <w:b/>
          <w:bCs/>
          <w:color w:val="auto"/>
          <w:sz w:val="24"/>
          <w:szCs w:val="24"/>
          <w:lang w:val="en-US" w:eastAsia="zh-CN"/>
        </w:rPr>
        <w:t>送出</w:t>
      </w:r>
      <w:r>
        <w:rPr>
          <w:rFonts w:hint="default" w:eastAsia="宋体"/>
          <w:b/>
          <w:bCs/>
          <w:color w:val="auto"/>
          <w:sz w:val="24"/>
          <w:szCs w:val="24"/>
          <w:lang w:val="en-US" w:eastAsia="zh-CN"/>
        </w:rPr>
        <w:t>线路</w:t>
      </w:r>
      <w:r>
        <w:rPr>
          <w:rFonts w:hint="eastAsia" w:eastAsia="宋体"/>
          <w:b/>
          <w:bCs/>
          <w:color w:val="auto"/>
          <w:sz w:val="24"/>
          <w:szCs w:val="24"/>
          <w:lang w:val="en-US" w:eastAsia="zh-CN"/>
        </w:rPr>
        <w:t>单独进行核准，</w:t>
      </w:r>
      <w:r>
        <w:rPr>
          <w:rFonts w:hint="eastAsia" w:eastAsia="宋体"/>
          <w:b/>
          <w:bCs/>
          <w:color w:val="auto"/>
          <w:sz w:val="24"/>
          <w:szCs w:val="24"/>
        </w:rPr>
        <w:t>本次评价不包含</w:t>
      </w:r>
      <w:r>
        <w:rPr>
          <w:rFonts w:hint="eastAsia" w:eastAsia="宋体"/>
          <w:b/>
          <w:bCs/>
          <w:color w:val="auto"/>
          <w:sz w:val="24"/>
          <w:szCs w:val="24"/>
          <w:lang w:val="en-US" w:eastAsia="zh-CN"/>
        </w:rPr>
        <w:t>35kV</w:t>
      </w:r>
      <w:r>
        <w:rPr>
          <w:rFonts w:hint="eastAsia"/>
          <w:b/>
          <w:bCs/>
          <w:color w:val="auto"/>
          <w:sz w:val="24"/>
          <w:szCs w:val="24"/>
        </w:rPr>
        <w:t>送出线路工程内容，建设单位在开展送出线路工程时另行办理相关环保手续</w:t>
      </w:r>
      <w:r>
        <w:rPr>
          <w:rFonts w:hint="eastAsia"/>
          <w:b/>
          <w:bCs/>
          <w:color w:val="auto"/>
          <w:sz w:val="24"/>
          <w:szCs w:val="24"/>
          <w:lang w:eastAsia="zh-CN"/>
        </w:rPr>
        <w:t>；</w:t>
      </w:r>
      <w:r>
        <w:rPr>
          <w:rFonts w:hint="default" w:ascii="Times New Roman" w:hAnsi="Times New Roman" w:eastAsia="宋体" w:cs="Times New Roman"/>
          <w:b/>
          <w:bCs/>
          <w:color w:val="auto"/>
          <w:sz w:val="24"/>
          <w:szCs w:val="24"/>
          <w:lang w:val="en-US" w:eastAsia="zh-CN"/>
        </w:rPr>
        <w:t>升压站已</w:t>
      </w:r>
      <w:r>
        <w:rPr>
          <w:rFonts w:hint="eastAsia" w:cs="Times New Roman"/>
          <w:b/>
          <w:bCs/>
          <w:color w:val="auto"/>
          <w:sz w:val="24"/>
          <w:szCs w:val="24"/>
          <w:lang w:val="en-US" w:eastAsia="zh-CN"/>
        </w:rPr>
        <w:t>包含在竹园沟</w:t>
      </w:r>
      <w:r>
        <w:rPr>
          <w:rFonts w:hint="default" w:ascii="Times New Roman" w:hAnsi="Times New Roman" w:eastAsia="宋体" w:cs="Times New Roman"/>
          <w:b/>
          <w:bCs/>
          <w:color w:val="auto"/>
          <w:sz w:val="24"/>
          <w:szCs w:val="24"/>
          <w:lang w:val="en-US" w:eastAsia="zh-CN"/>
        </w:rPr>
        <w:t>光伏发电项目</w:t>
      </w:r>
      <w:r>
        <w:rPr>
          <w:rFonts w:hint="eastAsia" w:cs="Times New Roman"/>
          <w:b/>
          <w:bCs/>
          <w:color w:val="auto"/>
          <w:sz w:val="24"/>
          <w:szCs w:val="24"/>
          <w:lang w:val="en-US" w:eastAsia="zh-CN"/>
        </w:rPr>
        <w:t>中</w:t>
      </w:r>
      <w:r>
        <w:rPr>
          <w:rFonts w:hint="default" w:ascii="Times New Roman" w:hAnsi="Times New Roman" w:eastAsia="宋体" w:cs="Times New Roman"/>
          <w:b/>
          <w:bCs/>
          <w:color w:val="auto"/>
          <w:sz w:val="24"/>
          <w:szCs w:val="24"/>
          <w:lang w:val="en-US" w:eastAsia="zh-CN"/>
        </w:rPr>
        <w:t>另行办理环评手续，本次不再做评价</w:t>
      </w:r>
      <w:r>
        <w:rPr>
          <w:rFonts w:hint="eastAsia" w:cs="Times New Roman"/>
          <w:b/>
          <w:bCs/>
          <w:color w:val="auto"/>
          <w:sz w:val="24"/>
          <w:szCs w:val="24"/>
          <w:lang w:val="en-US" w:eastAsia="zh-CN"/>
        </w:rPr>
        <w:t>。</w:t>
      </w:r>
    </w:p>
    <w:p w14:paraId="3F65AE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default" w:ascii="Times New Roman" w:hAnsi="Times New Roman" w:cs="Times New Roman"/>
          <w:color w:val="auto"/>
          <w:kern w:val="0"/>
          <w:sz w:val="24"/>
          <w:szCs w:val="24"/>
          <w:highlight w:val="none"/>
          <w:shd w:val="clear" w:color="auto" w:fill="auto"/>
          <w:lang w:val="en-US" w:eastAsia="zh-CN" w:bidi="ar"/>
        </w:rPr>
        <w:t>整个场区新建检修道路2.2km，改造道路1.7km。路面宽3.5m，路基宽度4.0m，道路转弯半径不小于15m，采用简易石渣路面。</w:t>
      </w:r>
      <w:r>
        <w:rPr>
          <w:rFonts w:hint="eastAsia" w:ascii="宋体" w:hAnsi="宋体" w:cs="宋体"/>
          <w:b/>
          <w:bCs/>
          <w:color w:val="auto"/>
          <w:kern w:val="0"/>
          <w:sz w:val="24"/>
          <w:szCs w:val="24"/>
          <w:highlight w:val="none"/>
          <w:shd w:val="clear" w:color="auto" w:fill="auto"/>
          <w:lang w:val="en-US" w:eastAsia="zh-CN" w:bidi="ar"/>
        </w:rPr>
        <w:t>新建及改建道路均作为防火通道单独立项建设，本项目仅依托使用，不属于本项目建设内容，</w:t>
      </w:r>
      <w:r>
        <w:rPr>
          <w:rFonts w:hint="eastAsia" w:ascii="宋体" w:hAnsi="宋体" w:eastAsia="宋体" w:cs="宋体"/>
          <w:b/>
          <w:bCs/>
          <w:color w:val="auto"/>
          <w:kern w:val="0"/>
          <w:sz w:val="24"/>
          <w:szCs w:val="24"/>
          <w:highlight w:val="none"/>
          <w:shd w:val="clear" w:color="auto" w:fill="auto"/>
          <w:lang w:val="en-US" w:eastAsia="zh-CN" w:bidi="ar"/>
        </w:rPr>
        <w:t>本次不进行评价</w:t>
      </w:r>
      <w:r>
        <w:rPr>
          <w:rFonts w:hint="eastAsia" w:ascii="宋体" w:hAnsi="宋体" w:cs="宋体"/>
          <w:color w:val="auto"/>
          <w:kern w:val="0"/>
          <w:sz w:val="24"/>
          <w:szCs w:val="24"/>
          <w:highlight w:val="none"/>
          <w:shd w:val="clear" w:color="auto" w:fill="auto"/>
          <w:lang w:val="en-US" w:eastAsia="zh-CN" w:bidi="ar"/>
        </w:rPr>
        <w:t>，</w:t>
      </w:r>
      <w:r>
        <w:rPr>
          <w:rFonts w:hint="eastAsia"/>
          <w:b w:val="0"/>
          <w:bCs w:val="0"/>
          <w:color w:val="auto"/>
          <w:sz w:val="24"/>
          <w:szCs w:val="24"/>
        </w:rPr>
        <w:t>建设单位在开展</w:t>
      </w:r>
      <w:r>
        <w:rPr>
          <w:rFonts w:hint="eastAsia"/>
          <w:b w:val="0"/>
          <w:bCs w:val="0"/>
          <w:color w:val="auto"/>
          <w:sz w:val="24"/>
          <w:szCs w:val="24"/>
          <w:lang w:val="en-US" w:eastAsia="zh-CN"/>
        </w:rPr>
        <w:t>道路</w:t>
      </w:r>
      <w:r>
        <w:rPr>
          <w:rFonts w:hint="eastAsia"/>
          <w:b w:val="0"/>
          <w:bCs w:val="0"/>
          <w:color w:val="auto"/>
          <w:sz w:val="24"/>
          <w:szCs w:val="24"/>
        </w:rPr>
        <w:t>工程时另行办理相关环保手续</w:t>
      </w:r>
      <w:r>
        <w:rPr>
          <w:rFonts w:hint="eastAsia" w:ascii="宋体" w:hAnsi="宋体" w:eastAsia="宋体" w:cs="宋体"/>
          <w:color w:val="auto"/>
          <w:kern w:val="0"/>
          <w:sz w:val="24"/>
          <w:szCs w:val="24"/>
          <w:highlight w:val="none"/>
          <w:shd w:val="clear" w:color="auto" w:fill="auto"/>
          <w:lang w:val="en-US" w:eastAsia="zh-CN" w:bidi="ar"/>
        </w:rPr>
        <w:t>。</w:t>
      </w:r>
      <w:r>
        <w:rPr>
          <w:rFonts w:hint="eastAsia" w:ascii="宋体" w:hAnsi="宋体" w:cs="宋体"/>
          <w:color w:val="auto"/>
          <w:kern w:val="0"/>
          <w:sz w:val="24"/>
          <w:szCs w:val="24"/>
          <w:highlight w:val="none"/>
          <w:shd w:val="clear" w:color="auto" w:fill="auto"/>
          <w:lang w:val="en-US" w:eastAsia="zh-CN" w:bidi="ar"/>
        </w:rPr>
        <w:t>此外</w:t>
      </w:r>
      <w:r>
        <w:rPr>
          <w:rFonts w:hint="eastAsia" w:ascii="宋体" w:hAnsi="宋体" w:eastAsia="宋体" w:cs="宋体"/>
          <w:color w:val="auto"/>
          <w:kern w:val="0"/>
          <w:sz w:val="24"/>
          <w:szCs w:val="24"/>
          <w:highlight w:val="none"/>
          <w:shd w:val="clear" w:color="auto" w:fill="auto"/>
          <w:lang w:val="en-US" w:eastAsia="zh-CN" w:bidi="ar"/>
        </w:rPr>
        <w:t>光伏电站</w:t>
      </w:r>
      <w:r>
        <w:rPr>
          <w:rFonts w:hint="eastAsia" w:ascii="宋体" w:hAnsi="宋体" w:cs="宋体"/>
          <w:color w:val="auto"/>
          <w:kern w:val="0"/>
          <w:sz w:val="24"/>
          <w:szCs w:val="24"/>
          <w:highlight w:val="none"/>
          <w:shd w:val="clear" w:color="auto" w:fill="auto"/>
          <w:lang w:val="en-US" w:eastAsia="zh-CN" w:bidi="ar"/>
        </w:rPr>
        <w:t>占用林地部分</w:t>
      </w:r>
      <w:r>
        <w:rPr>
          <w:rFonts w:hint="eastAsia" w:ascii="宋体" w:hAnsi="宋体" w:eastAsia="宋体" w:cs="宋体"/>
          <w:color w:val="auto"/>
          <w:kern w:val="0"/>
          <w:sz w:val="24"/>
          <w:szCs w:val="24"/>
          <w:highlight w:val="none"/>
          <w:shd w:val="clear" w:color="auto" w:fill="auto"/>
          <w:lang w:val="en-US" w:eastAsia="zh-CN" w:bidi="ar"/>
        </w:rPr>
        <w:t>还需实施林光互补工程，由于林业种植部分具体种植、经营、销售等实施方式还不确定，本次不进行评价。待林业种植方案确定后，建设单位依据《中华人民共和国环境影响评价法</w:t>
      </w:r>
      <w:r>
        <w:rPr>
          <w:rFonts w:hint="eastAsia" w:ascii="宋体" w:hAnsi="宋体"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建设项目环境保护管理条例</w:t>
      </w:r>
      <w:r>
        <w:rPr>
          <w:rFonts w:hint="eastAsia" w:ascii="宋体" w:hAnsi="宋体"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建设项目环境影响评价分类管理名录》的规定，另行办理环评手续。</w:t>
      </w:r>
    </w:p>
    <w:p w14:paraId="5CD2A91F">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根据《中华人民共和国环境影响评价法</w:t>
      </w:r>
      <w:r>
        <w:rPr>
          <w:rFonts w:hint="eastAsia" w:ascii="宋体" w:hAnsi="宋体"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建设项目环境保护管理条例》等有关法律和规定，本项目应开展环境影响评价工作。根据《建设项目环境影响评价分类管理名录》</w:t>
      </w:r>
      <w:r>
        <w:rPr>
          <w:rFonts w:hint="eastAsia"/>
          <w:color w:val="auto"/>
          <w:sz w:val="24"/>
          <w:highlight w:val="none"/>
          <w:shd w:val="clear" w:color="auto" w:fill="auto"/>
        </w:rPr>
        <w:t>（2021版</w:t>
      </w:r>
      <w:r>
        <w:rPr>
          <w:color w:val="auto"/>
          <w:sz w:val="24"/>
          <w:highlight w:val="none"/>
          <w:shd w:val="clear" w:color="auto" w:fill="auto"/>
        </w:rPr>
        <w:t>）</w:t>
      </w:r>
      <w:r>
        <w:rPr>
          <w:rFonts w:hint="eastAsia" w:ascii="宋体" w:hAnsi="宋体" w:eastAsia="宋体" w:cs="宋体"/>
          <w:color w:val="auto"/>
          <w:kern w:val="0"/>
          <w:sz w:val="24"/>
          <w:szCs w:val="24"/>
          <w:highlight w:val="none"/>
          <w:shd w:val="clear" w:color="auto" w:fill="auto"/>
          <w:lang w:val="en-US" w:eastAsia="zh-CN" w:bidi="ar"/>
        </w:rPr>
        <w:t>，本项目属于“四十一、电力、热力生产和供应业中的</w:t>
      </w:r>
      <w:r>
        <w:rPr>
          <w:rFonts w:hint="default" w:ascii="Times New Roman" w:hAnsi="Times New Roman" w:eastAsia="宋体" w:cs="Times New Roman"/>
          <w:color w:val="auto"/>
          <w:kern w:val="0"/>
          <w:sz w:val="24"/>
          <w:szCs w:val="24"/>
          <w:highlight w:val="none"/>
          <w:shd w:val="clear" w:color="auto" w:fill="auto"/>
          <w:lang w:val="en-US" w:eastAsia="zh-CN" w:bidi="ar"/>
        </w:rPr>
        <w:t>90</w:t>
      </w:r>
      <w:r>
        <w:rPr>
          <w:rFonts w:hint="eastAsia" w:ascii="宋体" w:hAnsi="宋体" w:eastAsia="宋体" w:cs="宋体"/>
          <w:color w:val="auto"/>
          <w:kern w:val="0"/>
          <w:sz w:val="24"/>
          <w:szCs w:val="24"/>
          <w:highlight w:val="none"/>
          <w:shd w:val="clear" w:color="auto" w:fill="auto"/>
          <w:lang w:val="en-US" w:eastAsia="zh-CN" w:bidi="ar"/>
        </w:rPr>
        <w:t>—太阳能发电</w:t>
      </w:r>
      <w:r>
        <w:rPr>
          <w:rFonts w:hint="default" w:ascii="Times New Roman" w:hAnsi="Times New Roman" w:eastAsia="宋体" w:cs="Times New Roman"/>
          <w:color w:val="auto"/>
          <w:kern w:val="0"/>
          <w:sz w:val="24"/>
          <w:szCs w:val="24"/>
          <w:highlight w:val="none"/>
          <w:shd w:val="clear" w:color="auto" w:fill="auto"/>
          <w:lang w:val="en-US" w:eastAsia="zh-CN" w:bidi="ar"/>
        </w:rPr>
        <w:t>4416</w:t>
      </w:r>
      <w:r>
        <w:rPr>
          <w:rFonts w:hint="eastAsia" w:ascii="宋体" w:hAnsi="宋体" w:eastAsia="宋体" w:cs="宋体"/>
          <w:color w:val="auto"/>
          <w:kern w:val="0"/>
          <w:sz w:val="24"/>
          <w:szCs w:val="24"/>
          <w:highlight w:val="none"/>
          <w:shd w:val="clear" w:color="auto" w:fill="auto"/>
          <w:lang w:val="en-US" w:eastAsia="zh-CN" w:bidi="ar"/>
        </w:rPr>
        <w:t>（不含居民家用光伏发电）；地面集中光伏电站（总容量大于</w:t>
      </w:r>
      <w:r>
        <w:rPr>
          <w:rFonts w:hint="default" w:ascii="Times New Roman" w:hAnsi="Times New Roman" w:eastAsia="宋体" w:cs="Times New Roman"/>
          <w:color w:val="auto"/>
          <w:kern w:val="0"/>
          <w:sz w:val="24"/>
          <w:szCs w:val="24"/>
          <w:highlight w:val="none"/>
          <w:shd w:val="clear" w:color="auto" w:fill="auto"/>
          <w:lang w:val="en-US" w:eastAsia="zh-CN" w:bidi="ar"/>
        </w:rPr>
        <w:t>6000</w:t>
      </w:r>
      <w:r>
        <w:rPr>
          <w:rFonts w:hint="eastAsia" w:ascii="宋体" w:hAnsi="宋体" w:eastAsia="宋体" w:cs="宋体"/>
          <w:color w:val="auto"/>
          <w:kern w:val="0"/>
          <w:sz w:val="24"/>
          <w:szCs w:val="24"/>
          <w:highlight w:val="none"/>
          <w:shd w:val="clear" w:color="auto" w:fill="auto"/>
          <w:lang w:val="en-US" w:eastAsia="zh-CN" w:bidi="ar"/>
        </w:rPr>
        <w:t>千瓦，且接入电压等级不小于</w:t>
      </w:r>
      <w:r>
        <w:rPr>
          <w:rFonts w:hint="default" w:ascii="Times New Roman" w:hAnsi="Times New Roman" w:eastAsia="宋体" w:cs="Times New Roman"/>
          <w:color w:val="auto"/>
          <w:kern w:val="0"/>
          <w:sz w:val="24"/>
          <w:szCs w:val="24"/>
          <w:highlight w:val="none"/>
          <w:shd w:val="clear" w:color="auto" w:fill="auto"/>
          <w:lang w:val="en-US" w:eastAsia="zh-CN" w:bidi="ar"/>
        </w:rPr>
        <w:t>10</w:t>
      </w:r>
      <w:r>
        <w:rPr>
          <w:rFonts w:hint="eastAsia" w:ascii="宋体" w:hAnsi="宋体" w:eastAsia="宋体" w:cs="宋体"/>
          <w:color w:val="auto"/>
          <w:kern w:val="0"/>
          <w:sz w:val="24"/>
          <w:szCs w:val="24"/>
          <w:highlight w:val="none"/>
          <w:shd w:val="clear" w:color="auto" w:fill="auto"/>
          <w:lang w:val="en-US" w:eastAsia="zh-CN" w:bidi="ar"/>
        </w:rPr>
        <w:t>千伏）”，</w:t>
      </w:r>
      <w:r>
        <w:rPr>
          <w:rFonts w:hint="eastAsia" w:ascii="宋体" w:hAnsi="宋体" w:eastAsia="宋体" w:cs="宋体"/>
          <w:color w:val="auto"/>
          <w:kern w:val="0"/>
          <w:sz w:val="24"/>
          <w:szCs w:val="24"/>
          <w:lang w:val="en-US" w:eastAsia="zh-CN" w:bidi="ar"/>
        </w:rPr>
        <w:t>项目应编制环境影响报告表。</w:t>
      </w:r>
    </w:p>
    <w:p w14:paraId="121150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default" w:ascii="Times New Roman" w:hAnsi="Times New Roman" w:eastAsia="宋体" w:cs="Times New Roman"/>
          <w:color w:val="auto"/>
          <w:kern w:val="0"/>
          <w:sz w:val="24"/>
          <w:szCs w:val="24"/>
          <w:highlight w:val="none"/>
          <w:shd w:val="clear" w:color="auto" w:fill="auto"/>
          <w:lang w:val="en-US" w:eastAsia="zh-CN" w:bidi="ar"/>
        </w:rPr>
        <w:t>2023年</w:t>
      </w:r>
      <w:r>
        <w:rPr>
          <w:rFonts w:hint="eastAsia" w:cs="Times New Roman"/>
          <w:color w:val="auto"/>
          <w:kern w:val="0"/>
          <w:sz w:val="24"/>
          <w:szCs w:val="24"/>
          <w:highlight w:val="none"/>
          <w:shd w:val="clear" w:color="auto" w:fill="auto"/>
          <w:lang w:val="en-US" w:eastAsia="zh-CN" w:bidi="ar"/>
        </w:rPr>
        <w:t>12</w:t>
      </w:r>
      <w:r>
        <w:rPr>
          <w:rFonts w:hint="default" w:ascii="Times New Roman" w:hAnsi="Times New Roman" w:eastAsia="宋体" w:cs="Times New Roman"/>
          <w:color w:val="auto"/>
          <w:kern w:val="0"/>
          <w:sz w:val="24"/>
          <w:szCs w:val="24"/>
          <w:highlight w:val="none"/>
          <w:shd w:val="clear" w:color="auto" w:fill="auto"/>
          <w:lang w:val="en-US" w:eastAsia="zh-CN" w:bidi="ar"/>
        </w:rPr>
        <w:t>月建</w:t>
      </w:r>
      <w:r>
        <w:rPr>
          <w:rFonts w:hint="eastAsia" w:ascii="宋体" w:hAnsi="宋体" w:eastAsia="宋体" w:cs="宋体"/>
          <w:color w:val="auto"/>
          <w:kern w:val="0"/>
          <w:sz w:val="24"/>
          <w:szCs w:val="24"/>
          <w:highlight w:val="none"/>
          <w:shd w:val="clear" w:color="auto" w:fill="auto"/>
          <w:lang w:val="en-US" w:eastAsia="zh-CN" w:bidi="ar"/>
        </w:rPr>
        <w:t>设单位委托我公司（云南科环环境工程咨询有限公司）承担本项目的环境影响评价工作。接受委托后我公司对建设项目现场进行了调查和踏勘，并收集了相关资料，按照《建设项目环境影响报告表编制技术指南（生态影响类）（试行）》的要求，编制完成《</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宋体" w:hAnsi="宋体" w:eastAsia="宋体" w:cs="宋体"/>
          <w:color w:val="auto"/>
          <w:kern w:val="0"/>
          <w:sz w:val="24"/>
          <w:szCs w:val="24"/>
          <w:highlight w:val="none"/>
          <w:shd w:val="clear" w:color="auto" w:fill="auto"/>
          <w:lang w:val="en-US" w:eastAsia="zh-CN" w:bidi="ar"/>
        </w:rPr>
        <w:t>环境影响报告表》，供建设单位上报审批部门审查。</w:t>
      </w:r>
    </w:p>
    <w:p w14:paraId="5DCDA2FA">
      <w:pPr>
        <w:pStyle w:val="40"/>
        <w:shd w:val="clear"/>
        <w:adjustRightInd w:val="0"/>
        <w:snapToGrid w:val="0"/>
        <w:spacing w:before="0" w:beforeAutospacing="0" w:after="0" w:afterAutospacing="0" w:line="360" w:lineRule="auto"/>
        <w:outlineLvl w:val="0"/>
        <w:rPr>
          <w:b/>
          <w:bCs/>
          <w:snapToGrid w:val="0"/>
          <w:color w:val="auto"/>
          <w:sz w:val="24"/>
          <w:szCs w:val="24"/>
          <w:highlight w:val="none"/>
          <w:shd w:val="clear" w:color="auto" w:fill="auto"/>
        </w:rPr>
        <w:sectPr>
          <w:headerReference r:id="rId4" w:type="default"/>
          <w:footerReference r:id="rId5" w:type="default"/>
          <w:pgSz w:w="11906" w:h="16838"/>
          <w:pgMar w:top="1701" w:right="1531" w:bottom="1701" w:left="1531" w:header="851" w:footer="1077" w:gutter="0"/>
          <w:pgNumType w:fmt="decimal" w:start="1"/>
          <w:cols w:space="720" w:num="1"/>
          <w:docGrid w:linePitch="312" w:charSpace="0"/>
        </w:sectPr>
      </w:pPr>
    </w:p>
    <w:p w14:paraId="317F822E">
      <w:pPr>
        <w:pStyle w:val="40"/>
        <w:shd w:val="clear"/>
        <w:adjustRightInd w:val="0"/>
        <w:snapToGrid w:val="0"/>
        <w:spacing w:before="0" w:beforeAutospacing="0" w:after="0" w:afterAutospacing="0" w:line="360" w:lineRule="auto"/>
        <w:outlineLvl w:val="0"/>
        <w:rPr>
          <w:b/>
          <w:bCs/>
          <w:snapToGrid w:val="0"/>
          <w:color w:val="auto"/>
          <w:sz w:val="30"/>
          <w:szCs w:val="30"/>
          <w:highlight w:val="none"/>
          <w:shd w:val="clear" w:color="auto" w:fill="auto"/>
        </w:rPr>
      </w:pPr>
      <w:bookmarkStart w:id="1" w:name="_Toc21222"/>
      <w:r>
        <w:rPr>
          <w:b/>
          <w:bCs/>
          <w:snapToGrid w:val="0"/>
          <w:color w:val="auto"/>
          <w:sz w:val="30"/>
          <w:szCs w:val="30"/>
          <w:highlight w:val="none"/>
          <w:shd w:val="clear" w:color="auto" w:fill="auto"/>
        </w:rPr>
        <w:t>一、建设项目基本情况</w:t>
      </w:r>
      <w:bookmarkEnd w:id="1"/>
    </w:p>
    <w:tbl>
      <w:tblPr>
        <w:tblStyle w:val="42"/>
        <w:tblW w:w="499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09"/>
        <w:gridCol w:w="2257"/>
        <w:gridCol w:w="2021"/>
        <w:gridCol w:w="3074"/>
      </w:tblGrid>
      <w:tr w14:paraId="42237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66" w:type="pct"/>
            <w:tcMar>
              <w:top w:w="16" w:type="dxa"/>
              <w:left w:w="16" w:type="dxa"/>
              <w:right w:w="16" w:type="dxa"/>
            </w:tcMar>
            <w:vAlign w:val="center"/>
          </w:tcPr>
          <w:p w14:paraId="4C615A0D">
            <w:pPr>
              <w:keepNext w:val="0"/>
              <w:keepLines w:val="0"/>
              <w:suppressLineNumbers w:val="0"/>
              <w:shd w:val="clear"/>
              <w:adjustRightInd w:val="0"/>
              <w:snapToGrid w:val="0"/>
              <w:spacing w:before="0" w:beforeAutospacing="0" w:after="0" w:afterAutospacing="0"/>
              <w:ind w:left="0" w:right="0"/>
              <w:jc w:val="center"/>
              <w:rPr>
                <w:rFonts w:hint="eastAsia"/>
                <w:color w:val="auto"/>
                <w:sz w:val="24"/>
                <w:szCs w:val="24"/>
                <w:highlight w:val="none"/>
                <w:shd w:val="clear" w:color="auto" w:fill="auto"/>
              </w:rPr>
            </w:pPr>
            <w:r>
              <w:rPr>
                <w:rFonts w:hint="eastAsia"/>
                <w:color w:val="auto"/>
                <w:sz w:val="24"/>
                <w:szCs w:val="24"/>
                <w:highlight w:val="none"/>
                <w:shd w:val="clear" w:color="auto" w:fill="auto"/>
              </w:rPr>
              <w:t>建设项目名称</w:t>
            </w:r>
          </w:p>
        </w:tc>
        <w:tc>
          <w:tcPr>
            <w:tcW w:w="4133" w:type="pct"/>
            <w:gridSpan w:val="3"/>
            <w:vAlign w:val="center"/>
          </w:tcPr>
          <w:p w14:paraId="4B7F07B9">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lang w:val="en-US"/>
              </w:rPr>
            </w:pPr>
            <w:r>
              <w:rPr>
                <w:rFonts w:hint="eastAsia" w:ascii="Times New Roman" w:hAnsi="Times New Roman" w:cs="Times New Roman"/>
                <w:color w:val="auto"/>
                <w:sz w:val="24"/>
                <w:szCs w:val="24"/>
                <w:highlight w:val="none"/>
                <w:shd w:val="clear" w:color="auto" w:fill="auto"/>
                <w:lang w:val="en-US" w:eastAsia="zh-CN"/>
              </w:rPr>
              <w:t>白石岩光伏发电项目</w:t>
            </w:r>
          </w:p>
        </w:tc>
      </w:tr>
      <w:tr w14:paraId="29CD9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7C3EB00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项目代码</w:t>
            </w:r>
          </w:p>
        </w:tc>
        <w:tc>
          <w:tcPr>
            <w:tcW w:w="4133" w:type="pct"/>
            <w:gridSpan w:val="3"/>
            <w:vAlign w:val="center"/>
          </w:tcPr>
          <w:p w14:paraId="0ACD43CC">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lang w:val="en-US"/>
              </w:rPr>
            </w:pPr>
            <w:r>
              <w:rPr>
                <w:rFonts w:hint="eastAsia"/>
                <w:color w:val="auto"/>
                <w:sz w:val="24"/>
                <w:szCs w:val="24"/>
                <w:highlight w:val="none"/>
                <w:shd w:val="clear" w:color="auto" w:fill="auto"/>
                <w:lang w:val="en-US" w:eastAsia="zh-CN"/>
              </w:rPr>
              <w:t>2309-530129-04-05-555661</w:t>
            </w:r>
          </w:p>
        </w:tc>
      </w:tr>
      <w:tr w14:paraId="3D735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66" w:type="pct"/>
            <w:tcMar>
              <w:top w:w="16" w:type="dxa"/>
              <w:left w:w="16" w:type="dxa"/>
              <w:right w:w="16" w:type="dxa"/>
            </w:tcMar>
            <w:vAlign w:val="center"/>
          </w:tcPr>
          <w:p w14:paraId="798EF998">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建设单位联系人</w:t>
            </w:r>
          </w:p>
        </w:tc>
        <w:tc>
          <w:tcPr>
            <w:tcW w:w="1269" w:type="pct"/>
            <w:vAlign w:val="center"/>
          </w:tcPr>
          <w:p w14:paraId="761305AD">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普桂林</w:t>
            </w:r>
          </w:p>
        </w:tc>
        <w:tc>
          <w:tcPr>
            <w:tcW w:w="1136" w:type="pct"/>
            <w:vAlign w:val="center"/>
          </w:tcPr>
          <w:p w14:paraId="236E1F2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szCs w:val="24"/>
              </w:rPr>
              <w:t>联系方式</w:t>
            </w:r>
          </w:p>
        </w:tc>
        <w:tc>
          <w:tcPr>
            <w:tcW w:w="1728" w:type="pct"/>
            <w:vAlign w:val="center"/>
          </w:tcPr>
          <w:p w14:paraId="61274CA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181*******</w:t>
            </w:r>
          </w:p>
        </w:tc>
      </w:tr>
      <w:tr w14:paraId="4F377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866" w:type="pct"/>
            <w:tcMar>
              <w:top w:w="16" w:type="dxa"/>
              <w:left w:w="16" w:type="dxa"/>
              <w:right w:w="16" w:type="dxa"/>
            </w:tcMar>
            <w:vAlign w:val="center"/>
          </w:tcPr>
          <w:p w14:paraId="73E13A2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建设地点</w:t>
            </w:r>
          </w:p>
        </w:tc>
        <w:tc>
          <w:tcPr>
            <w:tcW w:w="4133" w:type="pct"/>
            <w:gridSpan w:val="3"/>
            <w:vAlign w:val="center"/>
          </w:tcPr>
          <w:p w14:paraId="4176E2B9">
            <w:pPr>
              <w:keepNext w:val="0"/>
              <w:keepLines w:val="0"/>
              <w:widowControl/>
              <w:suppressLineNumbers w:val="0"/>
              <w:shd w:val="clear"/>
              <w:spacing w:before="0" w:beforeAutospacing="0" w:after="0" w:afterAutospacing="0"/>
              <w:ind w:left="0" w:right="0"/>
              <w:jc w:val="center"/>
              <w:rPr>
                <w:rFonts w:hint="default"/>
                <w:color w:val="auto"/>
                <w:sz w:val="24"/>
                <w:szCs w:val="24"/>
                <w:highlight w:val="none"/>
                <w:shd w:val="clear" w:color="auto" w:fill="auto"/>
                <w:lang w:val="en-US"/>
              </w:rPr>
            </w:pPr>
            <w:r>
              <w:rPr>
                <w:rFonts w:hint="eastAsia" w:ascii="宋体" w:hAnsi="宋体" w:cs="宋体"/>
                <w:color w:val="auto"/>
                <w:kern w:val="0"/>
                <w:sz w:val="24"/>
                <w:szCs w:val="24"/>
                <w:lang w:val="en-US" w:eastAsia="zh-CN" w:bidi="ar"/>
              </w:rPr>
              <w:t>云南省昆明市寻甸回族彝族自治县河口镇、功山镇境内</w:t>
            </w:r>
          </w:p>
        </w:tc>
      </w:tr>
      <w:tr w14:paraId="3D8A1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785EEA37">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地理坐标</w:t>
            </w:r>
          </w:p>
        </w:tc>
        <w:tc>
          <w:tcPr>
            <w:tcW w:w="4133" w:type="pct"/>
            <w:gridSpan w:val="3"/>
            <w:vAlign w:val="center"/>
          </w:tcPr>
          <w:p w14:paraId="177DA486">
            <w:pPr>
              <w:keepNext w:val="0"/>
              <w:keepLines w:val="0"/>
              <w:suppressLineNumbers w:val="0"/>
              <w:adjustRightInd w:val="0"/>
              <w:snapToGrid w:val="0"/>
              <w:spacing w:before="0" w:beforeAutospacing="0" w:after="0" w:afterAutospacing="0"/>
              <w:ind w:left="0" w:right="0"/>
              <w:jc w:val="center"/>
              <w:rPr>
                <w:rFonts w:hint="eastAsia"/>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东北片区中心坐标：</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103°28′</w:t>
            </w:r>
            <w:r>
              <w:rPr>
                <w:rFonts w:hint="eastAsia" w:ascii="Times New Roman" w:hAnsi="Times New Roman" w:cs="Times New Roman"/>
                <w:color w:val="auto"/>
                <w:sz w:val="24"/>
                <w:szCs w:val="24"/>
                <w:highlight w:val="none"/>
                <w:shd w:val="clear" w:color="auto" w:fill="auto"/>
                <w:lang w:val="en-US" w:eastAsia="zh-CN"/>
              </w:rPr>
              <w:t>49.10</w:t>
            </w:r>
            <w:r>
              <w:rPr>
                <w:rFonts w:hint="eastAsia" w:cs="Times New Roman"/>
                <w:color w:val="auto"/>
                <w:sz w:val="24"/>
                <w:szCs w:val="24"/>
                <w:highlight w:val="none"/>
                <w:shd w:val="clear" w:color="auto" w:fill="auto"/>
                <w:lang w:val="en-US" w:eastAsia="zh-CN"/>
              </w:rPr>
              <w:t>7</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25°43′</w:t>
            </w:r>
            <w:r>
              <w:rPr>
                <w:rFonts w:hint="eastAsia" w:ascii="Times New Roman" w:hAnsi="Times New Roman" w:cs="Times New Roman"/>
                <w:color w:val="auto"/>
                <w:sz w:val="24"/>
                <w:szCs w:val="24"/>
                <w:highlight w:val="none"/>
                <w:shd w:val="clear" w:color="auto" w:fill="auto"/>
                <w:lang w:val="en-US" w:eastAsia="zh-CN"/>
              </w:rPr>
              <w:t>50.69</w:t>
            </w:r>
            <w:r>
              <w:rPr>
                <w:rFonts w:hint="eastAsia" w:cs="Times New Roman"/>
                <w:color w:val="auto"/>
                <w:sz w:val="24"/>
                <w:szCs w:val="24"/>
                <w:highlight w:val="none"/>
                <w:shd w:val="clear" w:color="auto" w:fill="auto"/>
                <w:lang w:val="en-US" w:eastAsia="zh-CN"/>
              </w:rPr>
              <w:t>2</w:t>
            </w:r>
            <w:r>
              <w:rPr>
                <w:rFonts w:hint="eastAsia"/>
                <w:color w:val="auto"/>
                <w:sz w:val="24"/>
                <w:szCs w:val="24"/>
                <w:highlight w:val="none"/>
                <w:shd w:val="clear" w:color="auto" w:fill="auto"/>
                <w:lang w:val="en-US" w:eastAsia="zh-CN"/>
              </w:rPr>
              <w:t>″</w:t>
            </w:r>
          </w:p>
          <w:p w14:paraId="3496E998">
            <w:pPr>
              <w:keepNext w:val="0"/>
              <w:keepLines w:val="0"/>
              <w:suppressLineNumbers w:val="0"/>
              <w:adjustRightInd w:val="0"/>
              <w:snapToGrid w:val="0"/>
              <w:spacing w:before="0" w:beforeAutospacing="0" w:after="0" w:afterAutospacing="0"/>
              <w:ind w:left="0" w:right="0"/>
              <w:jc w:val="center"/>
              <w:rPr>
                <w:rFonts w:hint="default" w:eastAsia="宋体"/>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西南片区中心坐标：</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103°22′</w:t>
            </w:r>
            <w:r>
              <w:rPr>
                <w:rFonts w:hint="eastAsia" w:ascii="Times New Roman" w:hAnsi="Times New Roman" w:cs="Times New Roman"/>
                <w:color w:val="auto"/>
                <w:sz w:val="24"/>
                <w:szCs w:val="24"/>
                <w:highlight w:val="none"/>
                <w:shd w:val="clear" w:color="auto" w:fill="auto"/>
                <w:lang w:val="en-US" w:eastAsia="zh-CN"/>
              </w:rPr>
              <w:t>30.825</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25°48′</w:t>
            </w:r>
            <w:r>
              <w:rPr>
                <w:rFonts w:hint="eastAsia" w:ascii="Times New Roman" w:hAnsi="Times New Roman" w:cs="Times New Roman"/>
                <w:color w:val="auto"/>
                <w:sz w:val="24"/>
                <w:szCs w:val="24"/>
                <w:highlight w:val="none"/>
                <w:shd w:val="clear" w:color="auto" w:fill="auto"/>
                <w:lang w:val="en-US" w:eastAsia="zh-CN"/>
              </w:rPr>
              <w:t>22.44</w:t>
            </w:r>
            <w:r>
              <w:rPr>
                <w:rFonts w:hint="eastAsia" w:cs="Times New Roman"/>
                <w:color w:val="auto"/>
                <w:sz w:val="24"/>
                <w:szCs w:val="24"/>
                <w:highlight w:val="none"/>
                <w:shd w:val="clear" w:color="auto" w:fill="auto"/>
                <w:lang w:val="en-US" w:eastAsia="zh-CN"/>
              </w:rPr>
              <w:t>9</w:t>
            </w:r>
            <w:r>
              <w:rPr>
                <w:rFonts w:hint="eastAsia"/>
                <w:color w:val="auto"/>
                <w:sz w:val="24"/>
                <w:szCs w:val="24"/>
                <w:highlight w:val="none"/>
                <w:shd w:val="clear" w:color="auto" w:fill="auto"/>
                <w:lang w:val="en-US" w:eastAsia="zh-CN"/>
              </w:rPr>
              <w:t>″</w:t>
            </w:r>
          </w:p>
        </w:tc>
      </w:tr>
      <w:tr w14:paraId="5D554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866" w:type="pct"/>
            <w:tcMar>
              <w:top w:w="16" w:type="dxa"/>
              <w:left w:w="16" w:type="dxa"/>
              <w:right w:w="16" w:type="dxa"/>
            </w:tcMar>
            <w:vAlign w:val="center"/>
          </w:tcPr>
          <w:p w14:paraId="7D89FA16">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建设项目</w:t>
            </w:r>
          </w:p>
          <w:p w14:paraId="52A0C8A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行业类别</w:t>
            </w:r>
          </w:p>
        </w:tc>
        <w:tc>
          <w:tcPr>
            <w:tcW w:w="1269" w:type="pct"/>
            <w:vAlign w:val="center"/>
          </w:tcPr>
          <w:p w14:paraId="26C97392">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eastAsia"/>
                <w:color w:val="auto"/>
                <w:sz w:val="24"/>
                <w:szCs w:val="24"/>
                <w:highlight w:val="none"/>
                <w:shd w:val="clear" w:color="auto" w:fill="auto"/>
              </w:rPr>
              <w:t>41-0</w:t>
            </w:r>
            <w:r>
              <w:rPr>
                <w:rFonts w:hint="default"/>
                <w:color w:val="auto"/>
                <w:sz w:val="24"/>
                <w:szCs w:val="24"/>
                <w:highlight w:val="none"/>
                <w:shd w:val="clear" w:color="auto" w:fill="auto"/>
              </w:rPr>
              <w:t>90</w:t>
            </w:r>
            <w:r>
              <w:rPr>
                <w:rFonts w:hint="eastAsia"/>
                <w:color w:val="auto"/>
                <w:sz w:val="24"/>
                <w:szCs w:val="24"/>
                <w:highlight w:val="none"/>
                <w:shd w:val="clear" w:color="auto" w:fill="auto"/>
              </w:rPr>
              <w:t>太阳能发电</w:t>
            </w:r>
          </w:p>
          <w:p w14:paraId="3DCAB4CA">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eastAsia"/>
                <w:color w:val="auto"/>
                <w:sz w:val="24"/>
                <w:szCs w:val="24"/>
                <w:highlight w:val="none"/>
                <w:shd w:val="clear" w:color="auto" w:fill="auto"/>
              </w:rPr>
              <w:t>地面集中光伏电站</w:t>
            </w:r>
          </w:p>
        </w:tc>
        <w:tc>
          <w:tcPr>
            <w:tcW w:w="1136" w:type="pct"/>
            <w:vAlign w:val="center"/>
          </w:tcPr>
          <w:p w14:paraId="3D097DEC">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用地面积（m</w:t>
            </w:r>
            <w:r>
              <w:rPr>
                <w:rFonts w:hint="default"/>
                <w:color w:val="auto"/>
                <w:sz w:val="24"/>
                <w:szCs w:val="24"/>
                <w:highlight w:val="none"/>
                <w:shd w:val="clear" w:color="auto" w:fill="auto"/>
                <w:vertAlign w:val="superscript"/>
              </w:rPr>
              <w:t>2</w:t>
            </w:r>
            <w:r>
              <w:rPr>
                <w:rFonts w:hint="default"/>
                <w:color w:val="auto"/>
                <w:sz w:val="24"/>
                <w:szCs w:val="24"/>
                <w:highlight w:val="none"/>
                <w:shd w:val="clear" w:color="auto" w:fill="auto"/>
              </w:rPr>
              <w:t>）</w:t>
            </w:r>
          </w:p>
        </w:tc>
        <w:tc>
          <w:tcPr>
            <w:tcW w:w="1728" w:type="pct"/>
            <w:vAlign w:val="center"/>
          </w:tcPr>
          <w:p w14:paraId="26DF2A5F">
            <w:pPr>
              <w:keepNext w:val="0"/>
              <w:keepLines w:val="0"/>
              <w:suppressLineNumbers w:val="0"/>
              <w:shd w:val="clear"/>
              <w:adjustRightInd w:val="0"/>
              <w:snapToGrid w:val="0"/>
              <w:spacing w:before="0" w:beforeAutospacing="0" w:after="0" w:afterAutospacing="0"/>
              <w:ind w:left="0" w:right="0"/>
              <w:jc w:val="center"/>
              <w:rPr>
                <w:rFonts w:hint="eastAsia" w:eastAsia="宋体"/>
                <w:color w:val="auto"/>
                <w:sz w:val="24"/>
                <w:szCs w:val="24"/>
                <w:highlight w:val="none"/>
                <w:shd w:val="clear" w:color="auto" w:fill="auto"/>
                <w:lang w:eastAsia="zh-CN"/>
              </w:rPr>
            </w:pPr>
            <w:r>
              <w:rPr>
                <w:rFonts w:hint="default"/>
                <w:color w:val="auto"/>
                <w:sz w:val="24"/>
                <w:szCs w:val="24"/>
                <w:highlight w:val="none"/>
              </w:rPr>
              <w:t>54.97</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其中永久占地</w:t>
            </w:r>
            <w:r>
              <w:rPr>
                <w:rFonts w:hint="default" w:ascii="Times New Roman" w:hAnsi="Times New Roman" w:eastAsia="宋体" w:cs="Times New Roman"/>
                <w:color w:val="auto"/>
                <w:sz w:val="24"/>
                <w:szCs w:val="24"/>
                <w:highlight w:val="none"/>
                <w:lang w:val="en-US" w:eastAsia="zh-CN"/>
              </w:rPr>
              <w:t>：</w:t>
            </w:r>
            <w:r>
              <w:rPr>
                <w:rFonts w:hint="eastAsia"/>
                <w:color w:val="auto"/>
                <w:sz w:val="24"/>
                <w:szCs w:val="24"/>
                <w:highlight w:val="none"/>
              </w:rPr>
              <w:t>0.04</w:t>
            </w:r>
            <w:r>
              <w:rPr>
                <w:rFonts w:hint="default" w:ascii="Times New Roman" w:hAnsi="Times New Roman" w:eastAsia="宋体" w:cs="Times New Roman"/>
                <w:color w:val="auto"/>
                <w:sz w:val="24"/>
                <w:szCs w:val="24"/>
                <w:highlight w:val="none"/>
                <w:lang w:val="en-US" w:eastAsia="zh-CN"/>
              </w:rPr>
              <w:t>hm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；临时占地：</w:t>
            </w:r>
            <w:r>
              <w:rPr>
                <w:rFonts w:hint="eastAsia"/>
                <w:color w:val="auto"/>
                <w:sz w:val="24"/>
                <w:szCs w:val="24"/>
                <w:highlight w:val="none"/>
              </w:rPr>
              <w:t>54.93</w:t>
            </w:r>
            <w:r>
              <w:rPr>
                <w:rFonts w:hint="default" w:ascii="Times New Roman" w:hAnsi="Times New Roman" w:eastAsia="宋体" w:cs="Times New Roman"/>
                <w:color w:val="auto"/>
                <w:sz w:val="24"/>
                <w:szCs w:val="24"/>
                <w:highlight w:val="none"/>
                <w:lang w:val="en-US" w:eastAsia="zh-CN"/>
              </w:rPr>
              <w:t>hm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tc>
      </w:tr>
      <w:tr w14:paraId="4C58A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866" w:type="pct"/>
            <w:tcMar>
              <w:top w:w="16" w:type="dxa"/>
              <w:left w:w="16" w:type="dxa"/>
              <w:right w:w="16" w:type="dxa"/>
            </w:tcMar>
            <w:vAlign w:val="center"/>
          </w:tcPr>
          <w:p w14:paraId="17367E01">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建设性质</w:t>
            </w:r>
          </w:p>
        </w:tc>
        <w:tc>
          <w:tcPr>
            <w:tcW w:w="1269" w:type="pct"/>
            <w:vAlign w:val="center"/>
          </w:tcPr>
          <w:p w14:paraId="666D5D0E">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ascii="仿宋" w:hAnsi="仿宋" w:eastAsia="仿宋"/>
                <w:color w:val="auto"/>
                <w:sz w:val="24"/>
                <w:szCs w:val="24"/>
                <w:highlight w:val="none"/>
                <w:shd w:val="clear" w:color="auto" w:fill="auto"/>
              </w:rPr>
              <w:t>■</w:t>
            </w:r>
            <w:r>
              <w:rPr>
                <w:rFonts w:hint="default"/>
                <w:color w:val="auto"/>
                <w:sz w:val="24"/>
                <w:szCs w:val="24"/>
                <w:highlight w:val="none"/>
                <w:shd w:val="clear" w:color="auto" w:fill="auto"/>
              </w:rPr>
              <w:t>新建</w:t>
            </w:r>
          </w:p>
          <w:p w14:paraId="15C9E3F0">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改建</w:t>
            </w:r>
          </w:p>
          <w:p w14:paraId="638B5A29">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扩建</w:t>
            </w:r>
          </w:p>
          <w:p w14:paraId="25C91BD5">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技术改造</w:t>
            </w:r>
          </w:p>
        </w:tc>
        <w:tc>
          <w:tcPr>
            <w:tcW w:w="1136" w:type="pct"/>
            <w:vAlign w:val="center"/>
          </w:tcPr>
          <w:p w14:paraId="6C01FB2F">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建设项目</w:t>
            </w:r>
          </w:p>
          <w:p w14:paraId="44BE0FE3">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申报情形</w:t>
            </w:r>
          </w:p>
        </w:tc>
        <w:tc>
          <w:tcPr>
            <w:tcW w:w="1728" w:type="pct"/>
            <w:vAlign w:val="center"/>
          </w:tcPr>
          <w:p w14:paraId="4A6F0D87">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ascii="仿宋" w:hAnsi="仿宋" w:eastAsia="仿宋"/>
                <w:color w:val="auto"/>
                <w:sz w:val="24"/>
                <w:szCs w:val="24"/>
                <w:highlight w:val="none"/>
                <w:shd w:val="clear" w:color="auto" w:fill="auto"/>
              </w:rPr>
              <w:t>■</w:t>
            </w:r>
            <w:r>
              <w:rPr>
                <w:rFonts w:hint="default"/>
                <w:color w:val="auto"/>
                <w:sz w:val="24"/>
                <w:highlight w:val="none"/>
                <w:shd w:val="clear" w:color="auto" w:fill="auto"/>
              </w:rPr>
              <w:t>首次申报项目</w:t>
            </w:r>
          </w:p>
          <w:p w14:paraId="247AF98D">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不予批准后再次申报项目</w:t>
            </w:r>
          </w:p>
          <w:p w14:paraId="67F9ED54">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超五年重新审核项目</w:t>
            </w:r>
          </w:p>
          <w:p w14:paraId="58EB2789">
            <w:pPr>
              <w:keepNext w:val="0"/>
              <w:keepLines w:val="0"/>
              <w:suppressLineNumbers w:val="0"/>
              <w:shd w:val="clear"/>
              <w:adjustRightInd w:val="0"/>
              <w:snapToGrid w:val="0"/>
              <w:spacing w:before="0" w:beforeAutospacing="0" w:after="0" w:afterAutospacing="0"/>
              <w:ind w:left="0" w:right="0"/>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重大变动重新报批项目</w:t>
            </w:r>
          </w:p>
        </w:tc>
      </w:tr>
      <w:tr w14:paraId="7C445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866" w:type="pct"/>
            <w:tcMar>
              <w:top w:w="16" w:type="dxa"/>
              <w:left w:w="16" w:type="dxa"/>
              <w:right w:w="16" w:type="dxa"/>
            </w:tcMar>
            <w:vAlign w:val="center"/>
          </w:tcPr>
          <w:p w14:paraId="3F4927C2">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项目审批（核准/备案）部门（选填）</w:t>
            </w:r>
          </w:p>
        </w:tc>
        <w:tc>
          <w:tcPr>
            <w:tcW w:w="1269" w:type="pct"/>
            <w:vAlign w:val="center"/>
          </w:tcPr>
          <w:p w14:paraId="10C8E30D">
            <w:pPr>
              <w:keepNext w:val="0"/>
              <w:keepLines w:val="0"/>
              <w:widowControl/>
              <w:suppressLineNumbers w:val="0"/>
              <w:shd w:val="clear"/>
              <w:spacing w:before="0" w:beforeAutospacing="0" w:after="0" w:afterAutospacing="0"/>
              <w:ind w:left="0" w:right="0"/>
              <w:jc w:val="center"/>
              <w:rPr>
                <w:rFonts w:hint="default"/>
                <w:color w:val="auto"/>
                <w:sz w:val="24"/>
                <w:highlight w:val="none"/>
                <w:shd w:val="clear" w:color="auto" w:fill="auto"/>
              </w:rPr>
            </w:pPr>
            <w:r>
              <w:rPr>
                <w:rFonts w:hint="eastAsia" w:cs="Times New Roman"/>
                <w:color w:val="auto"/>
                <w:sz w:val="24"/>
                <w:lang w:val="en-US" w:eastAsia="zh-CN"/>
              </w:rPr>
              <w:t>寻甸回族彝族自治县发展和改革局</w:t>
            </w:r>
          </w:p>
        </w:tc>
        <w:tc>
          <w:tcPr>
            <w:tcW w:w="1136" w:type="pct"/>
            <w:vAlign w:val="center"/>
          </w:tcPr>
          <w:p w14:paraId="252A64EA">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项目审批（核准/</w:t>
            </w:r>
          </w:p>
          <w:p w14:paraId="11E5F863">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备案）文号（选填）</w:t>
            </w:r>
          </w:p>
        </w:tc>
        <w:tc>
          <w:tcPr>
            <w:tcW w:w="1728" w:type="pct"/>
            <w:vAlign w:val="center"/>
          </w:tcPr>
          <w:p w14:paraId="0422D40B">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lang w:val="en-US"/>
              </w:rPr>
            </w:pPr>
            <w:r>
              <w:rPr>
                <w:rFonts w:hint="eastAsia"/>
                <w:color w:val="auto"/>
                <w:sz w:val="24"/>
                <w:szCs w:val="24"/>
                <w:highlight w:val="none"/>
                <w:shd w:val="clear" w:color="auto" w:fill="auto"/>
                <w:lang w:val="en-US" w:eastAsia="zh-CN"/>
              </w:rPr>
              <w:t>2309-530129-04-05-555661</w:t>
            </w:r>
          </w:p>
        </w:tc>
      </w:tr>
      <w:tr w14:paraId="55282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866" w:type="pct"/>
            <w:tcMar>
              <w:top w:w="16" w:type="dxa"/>
              <w:left w:w="16" w:type="dxa"/>
              <w:right w:w="16" w:type="dxa"/>
            </w:tcMar>
            <w:vAlign w:val="center"/>
          </w:tcPr>
          <w:p w14:paraId="4934A2CB">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总投资（万元）</w:t>
            </w:r>
          </w:p>
        </w:tc>
        <w:tc>
          <w:tcPr>
            <w:tcW w:w="1269" w:type="pct"/>
            <w:vAlign w:val="center"/>
          </w:tcPr>
          <w:p w14:paraId="053A9C86">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19400</w:t>
            </w:r>
          </w:p>
        </w:tc>
        <w:tc>
          <w:tcPr>
            <w:tcW w:w="1136" w:type="pct"/>
            <w:tcMar>
              <w:top w:w="16" w:type="dxa"/>
              <w:left w:w="16" w:type="dxa"/>
              <w:right w:w="16" w:type="dxa"/>
            </w:tcMar>
            <w:vAlign w:val="center"/>
          </w:tcPr>
          <w:p w14:paraId="5A28A1DF">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环保投资（万元）</w:t>
            </w:r>
          </w:p>
        </w:tc>
        <w:tc>
          <w:tcPr>
            <w:tcW w:w="1728" w:type="pct"/>
            <w:vAlign w:val="center"/>
          </w:tcPr>
          <w:p w14:paraId="048C2C8C">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102.5</w:t>
            </w:r>
          </w:p>
        </w:tc>
      </w:tr>
      <w:tr w14:paraId="58957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1" w:hRule="atLeast"/>
        </w:trPr>
        <w:tc>
          <w:tcPr>
            <w:tcW w:w="866" w:type="pct"/>
            <w:tcMar>
              <w:top w:w="16" w:type="dxa"/>
              <w:left w:w="16" w:type="dxa"/>
              <w:right w:w="16" w:type="dxa"/>
            </w:tcMar>
            <w:vAlign w:val="center"/>
          </w:tcPr>
          <w:p w14:paraId="676C0294">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环保投资占比（%）</w:t>
            </w:r>
          </w:p>
        </w:tc>
        <w:tc>
          <w:tcPr>
            <w:tcW w:w="1269" w:type="pct"/>
            <w:vAlign w:val="center"/>
          </w:tcPr>
          <w:p w14:paraId="690A6980">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0.53</w:t>
            </w:r>
          </w:p>
        </w:tc>
        <w:tc>
          <w:tcPr>
            <w:tcW w:w="1136" w:type="pct"/>
            <w:tcMar>
              <w:top w:w="16" w:type="dxa"/>
              <w:left w:w="16" w:type="dxa"/>
              <w:right w:w="16" w:type="dxa"/>
            </w:tcMar>
            <w:vAlign w:val="center"/>
          </w:tcPr>
          <w:p w14:paraId="766A6108">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施工工期</w:t>
            </w:r>
          </w:p>
        </w:tc>
        <w:tc>
          <w:tcPr>
            <w:tcW w:w="1728" w:type="pct"/>
            <w:vAlign w:val="center"/>
          </w:tcPr>
          <w:p w14:paraId="65131CFA">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8个月</w:t>
            </w:r>
          </w:p>
        </w:tc>
      </w:tr>
      <w:tr w14:paraId="73F3C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866" w:type="pct"/>
            <w:tcMar>
              <w:top w:w="16" w:type="dxa"/>
              <w:left w:w="16" w:type="dxa"/>
              <w:right w:w="16" w:type="dxa"/>
            </w:tcMar>
            <w:vAlign w:val="center"/>
          </w:tcPr>
          <w:p w14:paraId="66812184">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是否开工建设</w:t>
            </w:r>
          </w:p>
        </w:tc>
        <w:tc>
          <w:tcPr>
            <w:tcW w:w="4133" w:type="pct"/>
            <w:gridSpan w:val="3"/>
            <w:vAlign w:val="center"/>
          </w:tcPr>
          <w:p w14:paraId="23F5AF11">
            <w:pPr>
              <w:keepNext w:val="0"/>
              <w:keepLines w:val="0"/>
              <w:suppressLineNumbers w:val="0"/>
              <w:shd w:val="clear"/>
              <w:adjustRightInd w:val="0"/>
              <w:snapToGrid w:val="0"/>
              <w:spacing w:before="0" w:beforeAutospacing="0" w:after="0" w:afterAutospacing="0"/>
              <w:ind w:left="0" w:right="0" w:firstLine="105"/>
              <w:jc w:val="left"/>
              <w:rPr>
                <w:rFonts w:hint="default"/>
                <w:color w:val="auto"/>
                <w:sz w:val="24"/>
                <w:highlight w:val="none"/>
                <w:shd w:val="clear" w:color="auto" w:fill="auto"/>
              </w:rPr>
            </w:pPr>
            <w:r>
              <w:rPr>
                <w:rFonts w:hint="eastAsia" w:ascii="仿宋" w:hAnsi="仿宋" w:eastAsia="仿宋"/>
                <w:color w:val="auto"/>
                <w:sz w:val="18"/>
                <w:szCs w:val="18"/>
                <w:highlight w:val="none"/>
                <w:shd w:val="clear" w:color="auto" w:fill="auto"/>
              </w:rPr>
              <w:t>■</w:t>
            </w:r>
            <w:r>
              <w:rPr>
                <w:rFonts w:hint="default"/>
                <w:color w:val="auto"/>
                <w:sz w:val="24"/>
                <w:highlight w:val="none"/>
                <w:shd w:val="clear" w:color="auto" w:fill="auto"/>
              </w:rPr>
              <w:t>否</w:t>
            </w:r>
          </w:p>
          <w:p w14:paraId="4912B873">
            <w:pPr>
              <w:keepNext w:val="0"/>
              <w:keepLines w:val="0"/>
              <w:suppressLineNumbers w:val="0"/>
              <w:shd w:val="clear"/>
              <w:adjustRightInd w:val="0"/>
              <w:snapToGrid w:val="0"/>
              <w:spacing w:before="0" w:beforeAutospacing="0" w:after="0" w:afterAutospacing="0"/>
              <w:ind w:left="0" w:right="0" w:firstLine="92"/>
              <w:jc w:val="left"/>
              <w:rPr>
                <w:rFonts w:hint="default"/>
                <w:color w:val="auto"/>
                <w:sz w:val="24"/>
                <w:highlight w:val="none"/>
                <w:shd w:val="clear" w:color="auto" w:fill="auto"/>
              </w:rPr>
            </w:pPr>
            <w:r>
              <w:rPr>
                <w:rFonts w:hint="default"/>
                <w:color w:val="auto"/>
                <w:sz w:val="24"/>
                <w:highlight w:val="none"/>
                <w:shd w:val="clear" w:color="auto" w:fill="auto"/>
              </w:rPr>
              <w:t>□是：</w:t>
            </w:r>
            <w:r>
              <w:rPr>
                <w:rFonts w:hint="default"/>
                <w:color w:val="auto"/>
                <w:sz w:val="24"/>
                <w:highlight w:val="none"/>
                <w:u w:val="single"/>
                <w:shd w:val="clear" w:color="auto" w:fill="auto"/>
              </w:rPr>
              <w:t xml:space="preserve">                             </w:t>
            </w:r>
          </w:p>
        </w:tc>
      </w:tr>
      <w:tr w14:paraId="0BFFF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6" w:hRule="atLeast"/>
        </w:trPr>
        <w:tc>
          <w:tcPr>
            <w:tcW w:w="866" w:type="pct"/>
            <w:tcMar>
              <w:top w:w="16" w:type="dxa"/>
              <w:left w:w="16" w:type="dxa"/>
              <w:right w:w="16" w:type="dxa"/>
            </w:tcMar>
            <w:vAlign w:val="center"/>
          </w:tcPr>
          <w:p w14:paraId="508DAD49">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专项评价设置情况</w:t>
            </w:r>
          </w:p>
        </w:tc>
        <w:tc>
          <w:tcPr>
            <w:tcW w:w="4133" w:type="pct"/>
            <w:gridSpan w:val="3"/>
            <w:tcMar>
              <w:top w:w="16" w:type="dxa"/>
              <w:left w:w="16" w:type="dxa"/>
              <w:right w:w="16" w:type="dxa"/>
            </w:tcMar>
            <w:vAlign w:val="center"/>
          </w:tcPr>
          <w:p w14:paraId="1E9AF53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eastAsia" w:ascii="宋体" w:hAnsi="宋体" w:eastAsia="宋体" w:cs="宋体"/>
                <w:color w:val="auto"/>
                <w:sz w:val="24"/>
                <w:szCs w:val="24"/>
              </w:rPr>
              <w:t>项目专项评价设置原则见</w:t>
            </w:r>
            <w:r>
              <w:rPr>
                <w:rFonts w:hint="default" w:ascii="Times New Roman" w:hAnsi="Times New Roman" w:eastAsia="宋体" w:cs="Times New Roman"/>
                <w:color w:val="auto"/>
                <w:sz w:val="24"/>
                <w:szCs w:val="24"/>
              </w:rPr>
              <w:t>表1-1。</w:t>
            </w:r>
          </w:p>
          <w:p w14:paraId="606EACCE">
            <w:pPr>
              <w:pStyle w:val="25"/>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3"/>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表1-1</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专项评价</w:t>
            </w:r>
            <w:r>
              <w:rPr>
                <w:rFonts w:hint="eastAsia" w:ascii="宋体" w:hAnsi="宋体" w:eastAsia="宋体" w:cs="宋体"/>
                <w:color w:val="auto"/>
                <w:sz w:val="21"/>
                <w:szCs w:val="21"/>
              </w:rPr>
              <w:t>设置原则表</w:t>
            </w:r>
          </w:p>
          <w:tbl>
            <w:tblPr>
              <w:tblStyle w:val="42"/>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3173"/>
              <w:gridCol w:w="1999"/>
              <w:gridCol w:w="1006"/>
            </w:tblGrid>
            <w:tr w14:paraId="7C1C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3CF7129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专项评价的类别</w:t>
                  </w:r>
                </w:p>
              </w:tc>
              <w:tc>
                <w:tcPr>
                  <w:tcW w:w="2190" w:type="pct"/>
                  <w:noWrap w:val="0"/>
                  <w:vAlign w:val="center"/>
                </w:tcPr>
                <w:p w14:paraId="76CBD51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涉及项目类别</w:t>
                  </w:r>
                </w:p>
              </w:tc>
              <w:tc>
                <w:tcPr>
                  <w:tcW w:w="1380" w:type="pct"/>
                  <w:noWrap w:val="0"/>
                  <w:vAlign w:val="center"/>
                </w:tcPr>
                <w:p w14:paraId="542B644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694" w:type="pct"/>
                  <w:noWrap w:val="0"/>
                  <w:vAlign w:val="center"/>
                </w:tcPr>
                <w:p w14:paraId="154770A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是否设置专项</w:t>
                  </w:r>
                </w:p>
              </w:tc>
            </w:tr>
            <w:tr w14:paraId="075F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6F59C7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190" w:type="pct"/>
                  <w:noWrap w:val="0"/>
                  <w:vAlign w:val="center"/>
                </w:tcPr>
                <w:p w14:paraId="05A5A3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1380" w:type="pct"/>
                  <w:noWrap w:val="0"/>
                  <w:vAlign w:val="center"/>
                </w:tcPr>
                <w:p w14:paraId="19ABB5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项目属于光伏发电项目，不涉及需做地表水专项的内容。</w:t>
                  </w:r>
                </w:p>
              </w:tc>
              <w:tc>
                <w:tcPr>
                  <w:tcW w:w="694" w:type="pct"/>
                  <w:noWrap w:val="0"/>
                  <w:vAlign w:val="center"/>
                </w:tcPr>
                <w:p w14:paraId="205375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3D3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5561FC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2190" w:type="pct"/>
                  <w:noWrap w:val="0"/>
                  <w:vAlign w:val="center"/>
                </w:tcPr>
                <w:p w14:paraId="0ABA14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陆地石油和天然气开采：全部；地下水（含矿泉水）开采：全部；水利、水电、交通等：含穿越可溶岩地层隧道的项目。</w:t>
                  </w:r>
                </w:p>
              </w:tc>
              <w:tc>
                <w:tcPr>
                  <w:tcW w:w="1380" w:type="pct"/>
                  <w:noWrap w:val="0"/>
                  <w:vAlign w:val="center"/>
                </w:tcPr>
                <w:p w14:paraId="7AC1F4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项目属于光伏发电项目，不涉及需做地下水专项的内容。</w:t>
                  </w:r>
                </w:p>
              </w:tc>
              <w:tc>
                <w:tcPr>
                  <w:tcW w:w="694" w:type="pct"/>
                  <w:noWrap w:val="0"/>
                  <w:vAlign w:val="center"/>
                </w:tcPr>
                <w:p w14:paraId="301864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2D15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1B2786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190" w:type="pct"/>
                  <w:noWrap w:val="0"/>
                  <w:vAlign w:val="center"/>
                </w:tcPr>
                <w:p w14:paraId="43AE01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涉及环境敏感区（不包括饮用水水源保护区，以居住、医疗卫生、文化教育、科研、行政办公为主要功能的区域，以及文物保护单位）的项目。</w:t>
                  </w:r>
                </w:p>
              </w:tc>
              <w:tc>
                <w:tcPr>
                  <w:tcW w:w="1380" w:type="pct"/>
                  <w:noWrap w:val="0"/>
                  <w:vAlign w:val="center"/>
                </w:tcPr>
                <w:p w14:paraId="2D96564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项目不涉及自然保护区、风景名胜区、世界文化和自然遗产地、海洋特别保护区，不涉及已批复的国家公园</w:t>
                  </w:r>
                  <w:r>
                    <w:rPr>
                      <w:rFonts w:hint="eastAsia" w:cs="Times New Roman"/>
                      <w:color w:val="auto"/>
                      <w:sz w:val="21"/>
                      <w:szCs w:val="21"/>
                      <w:lang w:eastAsia="zh-CN"/>
                    </w:rPr>
                    <w:t>。</w:t>
                  </w:r>
                </w:p>
              </w:tc>
              <w:tc>
                <w:tcPr>
                  <w:tcW w:w="694" w:type="pct"/>
                  <w:noWrap w:val="0"/>
                  <w:vAlign w:val="center"/>
                </w:tcPr>
                <w:p w14:paraId="7EEA34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6A2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590741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2190" w:type="pct"/>
                  <w:noWrap w:val="0"/>
                  <w:vAlign w:val="center"/>
                </w:tcPr>
                <w:p w14:paraId="1C20C3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油气、液体化工码头：全部；干散货（含煤炭、矿石）、件杂、多用途、通用码头：涉及粉尘、挥发性有机物排放的项目。</w:t>
                  </w:r>
                </w:p>
              </w:tc>
              <w:tc>
                <w:tcPr>
                  <w:tcW w:w="1380" w:type="pct"/>
                  <w:noWrap w:val="0"/>
                  <w:vAlign w:val="center"/>
                </w:tcPr>
                <w:p w14:paraId="73D2C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项目属于光伏发电项目，不涉及需做大气专项的内容。</w:t>
                  </w:r>
                </w:p>
              </w:tc>
              <w:tc>
                <w:tcPr>
                  <w:tcW w:w="694" w:type="pct"/>
                  <w:noWrap w:val="0"/>
                  <w:vAlign w:val="center"/>
                </w:tcPr>
                <w:p w14:paraId="7BD2B3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2260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2EE717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190" w:type="pct"/>
                  <w:noWrap w:val="0"/>
                  <w:vAlign w:val="center"/>
                </w:tcPr>
                <w:p w14:paraId="3E3D71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公路、铁路、机场等交通运输业涉及环境敏感区（以居住、医疗卫生、文化教育、科研、行政办公为主要功能的区域）的项目。城市道路（不含维护，不含支路、人行天桥、人行地道）：全部。</w:t>
                  </w:r>
                </w:p>
              </w:tc>
              <w:tc>
                <w:tcPr>
                  <w:tcW w:w="1380" w:type="pct"/>
                  <w:noWrap w:val="0"/>
                  <w:vAlign w:val="center"/>
                </w:tcPr>
                <w:p w14:paraId="1A5F04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项目属于光伏发电项目，不涉及需做噪声专项的内容。</w:t>
                  </w:r>
                </w:p>
              </w:tc>
              <w:tc>
                <w:tcPr>
                  <w:tcW w:w="694" w:type="pct"/>
                  <w:noWrap w:val="0"/>
                  <w:vAlign w:val="center"/>
                </w:tcPr>
                <w:p w14:paraId="04ED31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62B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pct"/>
                  <w:noWrap w:val="0"/>
                  <w:vAlign w:val="center"/>
                </w:tcPr>
                <w:p w14:paraId="20736C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190" w:type="pct"/>
                  <w:noWrap w:val="0"/>
                  <w:vAlign w:val="center"/>
                </w:tcPr>
                <w:p w14:paraId="57D44D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石油和天然气开采：全部；油气、液体化工码头：全部；原油、成品油、天然气管线（不含城镇天然气管线、企业厂区内管线），危险化学品输送管线（不含企业厂区内管线）：全部。</w:t>
                  </w:r>
                </w:p>
              </w:tc>
              <w:tc>
                <w:tcPr>
                  <w:tcW w:w="1380" w:type="pct"/>
                  <w:noWrap w:val="0"/>
                  <w:vAlign w:val="center"/>
                </w:tcPr>
                <w:p w14:paraId="7331FE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项目属于光伏发电项目，不涉及需做环境风险专项的内容。</w:t>
                  </w:r>
                </w:p>
              </w:tc>
              <w:tc>
                <w:tcPr>
                  <w:tcW w:w="694" w:type="pct"/>
                  <w:noWrap w:val="0"/>
                  <w:vAlign w:val="center"/>
                </w:tcPr>
                <w:p w14:paraId="6A170F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bl>
          <w:p w14:paraId="5951A2E2">
            <w:pPr>
              <w:keepNext w:val="0"/>
              <w:keepLines w:val="0"/>
              <w:widowControl/>
              <w:suppressLineNumbers w:val="0"/>
              <w:shd w:val="clear"/>
              <w:spacing w:before="0" w:beforeAutospacing="0" w:after="0" w:afterAutospacing="0" w:line="360" w:lineRule="auto"/>
              <w:ind w:left="0" w:right="0" w:firstLine="480" w:firstLineChars="200"/>
              <w:rPr>
                <w:rFonts w:hint="eastAsia" w:eastAsia="宋体"/>
                <w:b/>
                <w:bCs/>
                <w:color w:val="auto"/>
                <w:sz w:val="24"/>
                <w:highlight w:val="none"/>
                <w:shd w:val="clear" w:color="auto" w:fill="auto"/>
                <w:lang w:eastAsia="zh-CN"/>
              </w:rPr>
            </w:pPr>
            <w:r>
              <w:rPr>
                <w:rFonts w:hint="eastAsia" w:ascii="Times New Roman" w:hAnsi="宋体" w:eastAsia="宋体" w:cs="Times New Roman"/>
                <w:color w:val="auto"/>
                <w:kern w:val="0"/>
                <w:sz w:val="24"/>
                <w:lang w:val="en-US" w:eastAsia="zh-CN"/>
              </w:rPr>
              <w:t>根据《建设项目环境影响报告表编制技术指南（生态影响类）（试行）》，本项目无需设置地表水、地下水、生态、大气、噪声、环境风险等专项评价。</w:t>
            </w:r>
          </w:p>
        </w:tc>
      </w:tr>
      <w:tr w14:paraId="0911F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66" w:type="pct"/>
            <w:tcMar>
              <w:top w:w="16" w:type="dxa"/>
              <w:left w:w="16" w:type="dxa"/>
              <w:right w:w="16" w:type="dxa"/>
            </w:tcMar>
            <w:vAlign w:val="center"/>
          </w:tcPr>
          <w:p w14:paraId="56D3BCB8">
            <w:pPr>
              <w:keepNext w:val="0"/>
              <w:keepLines w:val="0"/>
              <w:suppressLineNumbers w:val="0"/>
              <w:shd w:val="clear"/>
              <w:autoSpaceDE w:val="0"/>
              <w:autoSpaceDN w:val="0"/>
              <w:adjustRightInd w:val="0"/>
              <w:snapToGrid w:val="0"/>
              <w:spacing w:before="0" w:beforeAutospacing="0" w:after="0" w:afterAutospacing="0" w:line="360" w:lineRule="auto"/>
              <w:ind w:left="0" w:right="0"/>
              <w:jc w:val="center"/>
              <w:rPr>
                <w:rFonts w:hint="default"/>
                <w:color w:val="auto"/>
                <w:kern w:val="0"/>
                <w:sz w:val="24"/>
                <w:highlight w:val="none"/>
                <w:shd w:val="clear" w:color="auto" w:fill="auto"/>
              </w:rPr>
            </w:pPr>
            <w:r>
              <w:rPr>
                <w:rFonts w:hint="default"/>
                <w:color w:val="auto"/>
                <w:sz w:val="24"/>
                <w:highlight w:val="none"/>
                <w:shd w:val="clear" w:color="auto" w:fill="auto"/>
              </w:rPr>
              <w:t>规划情况</w:t>
            </w:r>
          </w:p>
        </w:tc>
        <w:tc>
          <w:tcPr>
            <w:tcW w:w="4133" w:type="pct"/>
            <w:gridSpan w:val="3"/>
            <w:tcMar>
              <w:top w:w="16" w:type="dxa"/>
              <w:left w:w="16" w:type="dxa"/>
              <w:right w:w="16" w:type="dxa"/>
            </w:tcMar>
            <w:vAlign w:val="center"/>
          </w:tcPr>
          <w:p w14:paraId="27DCEC21">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b/>
                <w:bCs/>
                <w:color w:val="auto"/>
                <w:kern w:val="0"/>
                <w:sz w:val="24"/>
                <w:lang w:bidi="ar"/>
              </w:rPr>
            </w:pPr>
            <w:r>
              <w:rPr>
                <w:rFonts w:hint="eastAsia"/>
                <w:b/>
                <w:bCs/>
                <w:color w:val="auto"/>
                <w:kern w:val="0"/>
                <w:sz w:val="24"/>
                <w:szCs w:val="24"/>
                <w:lang w:val="en-US" w:eastAsia="zh-CN" w:bidi="ar"/>
              </w:rPr>
              <w:t>1、</w:t>
            </w:r>
            <w:r>
              <w:rPr>
                <w:rFonts w:hint="eastAsia"/>
                <w:b/>
                <w:bCs/>
                <w:color w:val="auto"/>
                <w:sz w:val="24"/>
                <w:highlight w:val="none"/>
                <w:shd w:val="clear" w:color="auto" w:fill="auto"/>
              </w:rPr>
              <w:t>《</w:t>
            </w:r>
            <w:r>
              <w:rPr>
                <w:rFonts w:hint="eastAsia"/>
                <w:b/>
                <w:bCs/>
                <w:color w:val="auto"/>
                <w:sz w:val="24"/>
                <w:highlight w:val="none"/>
                <w:shd w:val="clear" w:color="auto" w:fill="auto"/>
                <w:lang w:val="en-US" w:eastAsia="zh-CN"/>
              </w:rPr>
              <w:t>云南省发展和改革委员会 云南省能源局关于印发云南省2023年第一批新能源建设方案的通知</w:t>
            </w:r>
            <w:r>
              <w:rPr>
                <w:rFonts w:hint="eastAsia"/>
                <w:b/>
                <w:bCs/>
                <w:color w:val="auto"/>
                <w:sz w:val="24"/>
                <w:highlight w:val="none"/>
                <w:shd w:val="clear" w:color="auto" w:fill="auto"/>
              </w:rPr>
              <w:t>》</w:t>
            </w:r>
            <w:r>
              <w:rPr>
                <w:rFonts w:hint="eastAsia"/>
                <w:b/>
                <w:bCs/>
                <w:color w:val="auto"/>
                <w:sz w:val="24"/>
                <w:highlight w:val="none"/>
                <w:shd w:val="clear" w:color="auto" w:fill="auto"/>
                <w:lang w:eastAsia="zh-CN"/>
              </w:rPr>
              <w:t>（</w:t>
            </w:r>
            <w:r>
              <w:rPr>
                <w:rFonts w:hint="eastAsia" w:ascii="宋体" w:hAnsi="宋体" w:cs="宋体"/>
                <w:b/>
                <w:bCs/>
                <w:color w:val="auto"/>
                <w:sz w:val="24"/>
                <w:highlight w:val="none"/>
                <w:shd w:val="clear" w:color="auto" w:fill="auto"/>
                <w:lang w:bidi="ar"/>
              </w:rPr>
              <w:t>云能源水电</w:t>
            </w:r>
            <w:r>
              <w:rPr>
                <w:rFonts w:hint="eastAsia"/>
                <w:b/>
                <w:bCs/>
                <w:color w:val="auto"/>
                <w:sz w:val="24"/>
                <w:highlight w:val="none"/>
                <w:shd w:val="clear" w:color="auto" w:fill="auto"/>
                <w:lang w:bidi="ar"/>
              </w:rPr>
              <w:t>〔</w:t>
            </w:r>
            <w:r>
              <w:rPr>
                <w:rFonts w:hint="default"/>
                <w:b/>
                <w:bCs/>
                <w:color w:val="auto"/>
                <w:sz w:val="24"/>
                <w:highlight w:val="none"/>
                <w:shd w:val="clear" w:color="auto" w:fill="auto"/>
                <w:lang w:bidi="ar"/>
              </w:rPr>
              <w:t>202</w:t>
            </w:r>
            <w:r>
              <w:rPr>
                <w:rFonts w:hint="eastAsia"/>
                <w:b/>
                <w:bCs/>
                <w:color w:val="auto"/>
                <w:sz w:val="24"/>
                <w:highlight w:val="none"/>
                <w:shd w:val="clear" w:color="auto" w:fill="auto"/>
                <w:lang w:val="en-US" w:eastAsia="zh-CN" w:bidi="ar"/>
              </w:rPr>
              <w:t>3</w:t>
            </w:r>
            <w:r>
              <w:rPr>
                <w:rFonts w:hint="eastAsia"/>
                <w:b/>
                <w:bCs/>
                <w:color w:val="auto"/>
                <w:sz w:val="24"/>
                <w:highlight w:val="none"/>
                <w:shd w:val="clear" w:color="auto" w:fill="auto"/>
                <w:lang w:bidi="ar"/>
              </w:rPr>
              <w:t>〕</w:t>
            </w:r>
            <w:r>
              <w:rPr>
                <w:rFonts w:hint="default"/>
                <w:b/>
                <w:bCs/>
                <w:color w:val="auto"/>
                <w:sz w:val="24"/>
                <w:highlight w:val="none"/>
                <w:shd w:val="clear" w:color="auto" w:fill="auto"/>
                <w:lang w:bidi="ar"/>
              </w:rPr>
              <w:t>17</w:t>
            </w:r>
            <w:r>
              <w:rPr>
                <w:rFonts w:hint="eastAsia"/>
                <w:b/>
                <w:bCs/>
                <w:color w:val="auto"/>
                <w:sz w:val="24"/>
                <w:highlight w:val="none"/>
                <w:shd w:val="clear" w:color="auto" w:fill="auto"/>
                <w:lang w:val="en-US" w:eastAsia="zh-CN" w:bidi="ar"/>
              </w:rPr>
              <w:t>0</w:t>
            </w:r>
            <w:r>
              <w:rPr>
                <w:rFonts w:hint="eastAsia" w:ascii="宋体" w:hAnsi="宋体" w:cs="宋体"/>
                <w:b/>
                <w:bCs/>
                <w:color w:val="auto"/>
                <w:sz w:val="24"/>
                <w:highlight w:val="none"/>
                <w:shd w:val="clear" w:color="auto" w:fill="auto"/>
                <w:lang w:bidi="ar"/>
              </w:rPr>
              <w:t>号</w:t>
            </w:r>
            <w:r>
              <w:rPr>
                <w:rFonts w:hint="eastAsia"/>
                <w:b/>
                <w:bCs/>
                <w:color w:val="auto"/>
                <w:sz w:val="24"/>
                <w:highlight w:val="none"/>
                <w:shd w:val="clear" w:color="auto" w:fill="auto"/>
                <w:lang w:eastAsia="zh-CN"/>
              </w:rPr>
              <w:t>）</w:t>
            </w:r>
          </w:p>
          <w:p w14:paraId="7740900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lang w:eastAsia="zh-CN" w:bidi="ar"/>
              </w:rPr>
            </w:pPr>
            <w:r>
              <w:rPr>
                <w:rFonts w:hint="eastAsia"/>
                <w:color w:val="auto"/>
                <w:kern w:val="0"/>
                <w:sz w:val="24"/>
                <w:szCs w:val="24"/>
                <w:lang w:bidi="ar"/>
              </w:rPr>
              <w:t>规划名称：</w:t>
            </w:r>
            <w:r>
              <w:rPr>
                <w:rFonts w:hint="eastAsia" w:ascii="宋体" w:hAnsi="宋体" w:cs="宋体"/>
                <w:color w:val="auto"/>
                <w:kern w:val="0"/>
                <w:sz w:val="24"/>
                <w:szCs w:val="24"/>
                <w:lang w:bidi="ar"/>
              </w:rPr>
              <w:t>云南省发展和改革委员会 云南省能源局关于印发云南省</w:t>
            </w:r>
            <w:r>
              <w:rPr>
                <w:rFonts w:hint="default" w:ascii="Times New Roman" w:hAnsi="Times New Roman" w:cs="Times New Roman"/>
                <w:color w:val="auto"/>
                <w:kern w:val="0"/>
                <w:sz w:val="24"/>
                <w:szCs w:val="24"/>
                <w:lang w:bidi="ar"/>
              </w:rPr>
              <w:t>2023年第一批新能源建设方案的通知</w:t>
            </w:r>
          </w:p>
          <w:p w14:paraId="38C0978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lang w:bidi="ar"/>
              </w:rPr>
            </w:pPr>
            <w:r>
              <w:rPr>
                <w:rFonts w:hint="default" w:ascii="Times New Roman" w:hAnsi="Times New Roman" w:cs="Times New Roman"/>
                <w:color w:val="auto"/>
                <w:kern w:val="0"/>
                <w:sz w:val="24"/>
                <w:szCs w:val="24"/>
                <w:lang w:bidi="ar"/>
              </w:rPr>
              <w:t>审批机关：云南省发展和改革委员会</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bidi="ar"/>
              </w:rPr>
              <w:t>云南省能源局</w:t>
            </w:r>
          </w:p>
          <w:p w14:paraId="6DC66B5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宋体" w:hAnsi="宋体" w:cs="宋体"/>
                <w:color w:val="auto"/>
                <w:kern w:val="0"/>
                <w:sz w:val="24"/>
                <w:szCs w:val="24"/>
                <w:lang w:bidi="ar"/>
              </w:rPr>
            </w:pPr>
            <w:r>
              <w:rPr>
                <w:rFonts w:hint="default" w:ascii="Times New Roman" w:hAnsi="Times New Roman" w:cs="Times New Roman"/>
                <w:color w:val="auto"/>
                <w:kern w:val="0"/>
                <w:sz w:val="24"/>
                <w:szCs w:val="24"/>
                <w:lang w:bidi="ar"/>
              </w:rPr>
              <w:t>文号：云能源水电〔2023〕170号</w:t>
            </w:r>
          </w:p>
          <w:p w14:paraId="67E8B938">
            <w:pPr>
              <w:keepNext w:val="0"/>
              <w:keepLines w:val="0"/>
              <w:suppressLineNumbers w:val="0"/>
              <w:spacing w:before="0" w:beforeAutospacing="0" w:after="0" w:afterAutospacing="0" w:line="360" w:lineRule="auto"/>
              <w:ind w:left="0" w:right="0"/>
              <w:rPr>
                <w:rFonts w:hint="default"/>
                <w:b/>
                <w:bCs/>
                <w:color w:val="auto"/>
                <w:kern w:val="0"/>
                <w:sz w:val="24"/>
              </w:rPr>
            </w:pPr>
            <w:r>
              <w:rPr>
                <w:rFonts w:hint="default"/>
                <w:b/>
                <w:bCs/>
                <w:color w:val="auto"/>
                <w:kern w:val="0"/>
                <w:sz w:val="24"/>
              </w:rPr>
              <w:t>2、</w:t>
            </w:r>
            <w:r>
              <w:rPr>
                <w:rFonts w:hint="default" w:eastAsia="Times New Roman"/>
                <w:b/>
                <w:bCs/>
                <w:color w:val="auto"/>
                <w:sz w:val="24"/>
                <w:lang w:val="zh-CN"/>
              </w:rPr>
              <w:t>《云南省在适宜地区适度开发利用新能源规划》</w:t>
            </w:r>
          </w:p>
          <w:p w14:paraId="2AEDDFCB">
            <w:pPr>
              <w:keepNext w:val="0"/>
              <w:keepLines w:val="0"/>
              <w:suppressLineNumbers w:val="0"/>
              <w:spacing w:before="0" w:beforeAutospacing="0" w:after="0" w:afterAutospacing="0" w:line="360" w:lineRule="auto"/>
              <w:ind w:left="0" w:right="0" w:firstLine="480" w:firstLineChars="200"/>
              <w:rPr>
                <w:rFonts w:hint="default" w:eastAsia="Times New Roman"/>
                <w:color w:val="auto"/>
                <w:sz w:val="24"/>
                <w:lang w:val="zh-CN"/>
              </w:rPr>
            </w:pPr>
            <w:r>
              <w:rPr>
                <w:rFonts w:hint="default" w:eastAsia="Times New Roman"/>
                <w:color w:val="auto"/>
                <w:sz w:val="24"/>
                <w:lang w:val="zh-CN"/>
              </w:rPr>
              <w:t>规划名称：《云南省发展和改革委员会云南省能源局关于印发云南省在适宜地区适度开发利用新能源规划及配套文件的通知》</w:t>
            </w:r>
          </w:p>
          <w:p w14:paraId="3F9C333C">
            <w:pPr>
              <w:keepNext w:val="0"/>
              <w:keepLines w:val="0"/>
              <w:suppressLineNumbers w:val="0"/>
              <w:spacing w:before="0" w:beforeAutospacing="0" w:after="0" w:afterAutospacing="0" w:line="360" w:lineRule="auto"/>
              <w:ind w:left="0" w:right="0" w:firstLine="480" w:firstLineChars="200"/>
              <w:rPr>
                <w:rFonts w:hint="default" w:eastAsia="Times New Roman"/>
                <w:color w:val="auto"/>
                <w:sz w:val="24"/>
                <w:lang w:val="zh-CN"/>
              </w:rPr>
            </w:pPr>
            <w:r>
              <w:rPr>
                <w:rFonts w:hint="default" w:eastAsia="Times New Roman"/>
                <w:color w:val="auto"/>
                <w:sz w:val="24"/>
                <w:lang w:val="zh-CN"/>
              </w:rPr>
              <w:t>审批机关：云南省发展和改革委员会、云南省能源局</w:t>
            </w:r>
          </w:p>
          <w:p w14:paraId="2D6A2B6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4"/>
                <w:lang w:val="en-US" w:eastAsia="zh-CN" w:bidi="ar-SA"/>
              </w:rPr>
            </w:pPr>
            <w:r>
              <w:rPr>
                <w:rFonts w:hint="default" w:eastAsia="Times New Roman"/>
                <w:color w:val="auto"/>
                <w:sz w:val="24"/>
                <w:lang w:val="zh-CN"/>
              </w:rPr>
              <w:t>文号：云能源水电〔2020〕153号</w:t>
            </w:r>
          </w:p>
        </w:tc>
      </w:tr>
      <w:tr w14:paraId="116D2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1" w:hRule="atLeast"/>
        </w:trPr>
        <w:tc>
          <w:tcPr>
            <w:tcW w:w="866" w:type="pct"/>
            <w:tcMar>
              <w:top w:w="16" w:type="dxa"/>
              <w:left w:w="16" w:type="dxa"/>
              <w:right w:w="16" w:type="dxa"/>
            </w:tcMar>
            <w:vAlign w:val="center"/>
          </w:tcPr>
          <w:p w14:paraId="20337B92">
            <w:pPr>
              <w:keepNext w:val="0"/>
              <w:keepLines w:val="0"/>
              <w:suppressLineNumbers w:val="0"/>
              <w:shd w:val="clear"/>
              <w:autoSpaceDE w:val="0"/>
              <w:autoSpaceDN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sz w:val="24"/>
                <w:highlight w:val="none"/>
                <w:shd w:val="clear" w:color="auto" w:fill="auto"/>
              </w:rPr>
              <w:t>规划环境影响评价情况</w:t>
            </w:r>
          </w:p>
        </w:tc>
        <w:tc>
          <w:tcPr>
            <w:tcW w:w="4133" w:type="pct"/>
            <w:gridSpan w:val="3"/>
            <w:tcMar>
              <w:top w:w="16" w:type="dxa"/>
              <w:left w:w="16" w:type="dxa"/>
              <w:right w:w="16" w:type="dxa"/>
            </w:tcMar>
            <w:vAlign w:val="center"/>
          </w:tcPr>
          <w:p w14:paraId="5A84E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lang w:val="en-US" w:eastAsia="zh-CN" w:bidi="ar"/>
              </w:rPr>
              <w:t>2020</w:t>
            </w:r>
            <w:r>
              <w:rPr>
                <w:rFonts w:hint="eastAsia" w:ascii="Times New Roman" w:hAnsi="Times New Roman" w:eastAsia="宋体" w:cs="Times New Roman"/>
                <w:color w:val="auto"/>
                <w:kern w:val="0"/>
                <w:sz w:val="24"/>
                <w:lang w:val="en-US" w:eastAsia="zh-CN" w:bidi="ar"/>
              </w:rPr>
              <w:t>年</w:t>
            </w:r>
            <w:r>
              <w:rPr>
                <w:rFonts w:hint="default" w:ascii="Times New Roman" w:hAnsi="Times New Roman" w:eastAsia="宋体" w:cs="Times New Roman"/>
                <w:color w:val="auto"/>
                <w:kern w:val="0"/>
                <w:sz w:val="24"/>
                <w:lang w:val="en-US" w:eastAsia="zh-CN" w:bidi="ar"/>
              </w:rPr>
              <w:t>9</w:t>
            </w:r>
            <w:r>
              <w:rPr>
                <w:rFonts w:hint="eastAsia" w:ascii="Times New Roman" w:hAnsi="Times New Roman" w:eastAsia="宋体" w:cs="Times New Roman"/>
                <w:color w:val="auto"/>
                <w:kern w:val="0"/>
                <w:sz w:val="24"/>
                <w:lang w:val="en-US" w:eastAsia="zh-CN" w:bidi="ar"/>
              </w:rPr>
              <w:t>月，中国电建集团昆明勘测设计研究院有限公司、云南省生态环境工程评估中心联合编制完成了《云南省在适宜地区适度开发利用新能源规划环境影响篇章》。</w:t>
            </w:r>
          </w:p>
        </w:tc>
      </w:tr>
      <w:tr w14:paraId="466DC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4A1A786B">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规划及</w:t>
            </w:r>
            <w:r>
              <w:rPr>
                <w:rFonts w:hint="default"/>
                <w:color w:val="auto"/>
                <w:sz w:val="24"/>
                <w:highlight w:val="none"/>
                <w:shd w:val="clear" w:color="auto" w:fill="auto"/>
              </w:rPr>
              <w:t>规划环境影响评价</w:t>
            </w:r>
            <w:r>
              <w:rPr>
                <w:rFonts w:hint="default"/>
                <w:color w:val="auto"/>
                <w:kern w:val="0"/>
                <w:sz w:val="24"/>
                <w:highlight w:val="none"/>
                <w:shd w:val="clear" w:color="auto" w:fill="auto"/>
              </w:rPr>
              <w:t>符合性分析</w:t>
            </w:r>
          </w:p>
        </w:tc>
        <w:tc>
          <w:tcPr>
            <w:tcW w:w="4133" w:type="pct"/>
            <w:gridSpan w:val="3"/>
            <w:tcMar>
              <w:top w:w="16" w:type="dxa"/>
              <w:left w:w="16" w:type="dxa"/>
              <w:right w:w="16" w:type="dxa"/>
            </w:tcMar>
            <w:vAlign w:val="center"/>
          </w:tcPr>
          <w:p w14:paraId="0080F873">
            <w:pPr>
              <w:keepNext w:val="0"/>
              <w:keepLines w:val="0"/>
              <w:suppressLineNumbers w:val="0"/>
              <w:shd w:val="clear"/>
              <w:autoSpaceDE w:val="0"/>
              <w:autoSpaceDN w:val="0"/>
              <w:adjustRightInd w:val="0"/>
              <w:snapToGrid w:val="0"/>
              <w:spacing w:before="0" w:beforeAutospacing="0" w:after="0" w:afterAutospacing="0" w:line="360" w:lineRule="auto"/>
              <w:ind w:left="0" w:leftChars="0" w:right="0" w:rightChars="0" w:firstLine="482" w:firstLineChars="200"/>
              <w:rPr>
                <w:rFonts w:hint="eastAsia" w:ascii="宋体" w:hAnsi="宋体" w:cs="宋体"/>
                <w:color w:val="auto"/>
                <w:kern w:val="0"/>
                <w:sz w:val="24"/>
                <w:szCs w:val="24"/>
                <w:lang w:bidi="ar"/>
              </w:rPr>
            </w:pPr>
            <w:r>
              <w:rPr>
                <w:rFonts w:hint="eastAsia"/>
                <w:b/>
                <w:bCs/>
                <w:color w:val="auto"/>
                <w:kern w:val="0"/>
                <w:sz w:val="24"/>
                <w:szCs w:val="24"/>
                <w:lang w:val="en-US" w:eastAsia="zh-CN" w:bidi="ar"/>
              </w:rPr>
              <w:t>1</w:t>
            </w:r>
            <w:r>
              <w:rPr>
                <w:rFonts w:hint="eastAsia" w:ascii="Times New Roman" w:hAnsi="Times New Roman" w:eastAsia="宋体" w:cs="Times New Roman"/>
                <w:b/>
                <w:bCs/>
                <w:color w:val="auto"/>
                <w:kern w:val="0"/>
                <w:sz w:val="24"/>
                <w:lang w:val="en-US" w:eastAsia="zh-CN" w:bidi="ar"/>
              </w:rPr>
              <w:t>、</w:t>
            </w:r>
            <w:r>
              <w:rPr>
                <w:rFonts w:hint="eastAsia" w:ascii="Times New Roman" w:hAnsi="Times New Roman" w:eastAsia="宋体" w:cs="Times New Roman"/>
                <w:color w:val="auto"/>
                <w:kern w:val="0"/>
                <w:sz w:val="24"/>
                <w:lang w:val="en-US" w:eastAsia="zh-CN"/>
              </w:rPr>
              <w:t>2023年6月21日</w:t>
            </w:r>
            <w:r>
              <w:rPr>
                <w:rFonts w:hint="eastAsia" w:ascii="Times New Roman" w:hAnsi="Times New Roman" w:eastAsia="宋体" w:cs="Times New Roman"/>
                <w:b w:val="0"/>
                <w:bCs w:val="0"/>
                <w:color w:val="auto"/>
                <w:kern w:val="0"/>
                <w:sz w:val="24"/>
                <w:lang w:val="en-US" w:eastAsia="zh-CN" w:bidi="ar"/>
              </w:rPr>
              <w:t>，</w:t>
            </w:r>
            <w:r>
              <w:rPr>
                <w:rFonts w:hint="eastAsia" w:ascii="宋体" w:hAnsi="宋体" w:cs="宋体"/>
                <w:color w:val="auto"/>
                <w:kern w:val="0"/>
                <w:sz w:val="24"/>
                <w:szCs w:val="24"/>
                <w:lang w:bidi="ar"/>
              </w:rPr>
              <w:t>云南省发展和改革委员会</w:t>
            </w:r>
            <w:r>
              <w:rPr>
                <w:rFonts w:hint="eastAsia" w:ascii="宋体" w:hAnsi="宋体" w:cs="宋体"/>
                <w:color w:val="auto"/>
                <w:kern w:val="0"/>
                <w:sz w:val="24"/>
                <w:szCs w:val="24"/>
                <w:lang w:eastAsia="zh-CN" w:bidi="ar"/>
              </w:rPr>
              <w:t>、</w:t>
            </w:r>
            <w:r>
              <w:rPr>
                <w:rFonts w:hint="eastAsia" w:ascii="宋体" w:hAnsi="宋体" w:cs="宋体"/>
                <w:color w:val="auto"/>
                <w:kern w:val="0"/>
                <w:sz w:val="24"/>
                <w:szCs w:val="24"/>
                <w:lang w:bidi="ar"/>
              </w:rPr>
              <w:t>云南省能源局</w:t>
            </w:r>
            <w:r>
              <w:rPr>
                <w:rFonts w:hint="eastAsia" w:ascii="Times New Roman" w:hAnsi="Times New Roman" w:eastAsia="宋体" w:cs="Times New Roman"/>
                <w:b w:val="0"/>
                <w:bCs w:val="0"/>
                <w:color w:val="auto"/>
                <w:kern w:val="0"/>
                <w:sz w:val="24"/>
                <w:lang w:val="en-US" w:eastAsia="zh-CN" w:bidi="ar"/>
              </w:rPr>
              <w:t>以</w:t>
            </w:r>
            <w:r>
              <w:rPr>
                <w:rFonts w:hint="eastAsia" w:ascii="Times New Roman" w:hAnsi="Times New Roman" w:eastAsia="宋体" w:cs="Times New Roman"/>
                <w:color w:val="auto"/>
                <w:kern w:val="0"/>
                <w:sz w:val="24"/>
                <w:lang w:val="en-US" w:eastAsia="zh-CN"/>
              </w:rPr>
              <w:t>云能源水电〔</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lang w:val="en-US" w:eastAsia="zh-CN"/>
              </w:rPr>
              <w:t>17</w:t>
            </w:r>
            <w:r>
              <w:rPr>
                <w:rFonts w:hint="eastAsia" w:ascii="Times New Roman" w:hAnsi="Times New Roman" w:eastAsia="宋体" w:cs="Times New Roman"/>
                <w:color w:val="auto"/>
                <w:kern w:val="0"/>
                <w:sz w:val="24"/>
                <w:lang w:val="en-US" w:eastAsia="zh-CN"/>
              </w:rPr>
              <w:t>0号</w:t>
            </w:r>
            <w:r>
              <w:rPr>
                <w:rFonts w:hint="eastAsia" w:ascii="Times New Roman" w:hAnsi="Times New Roman" w:eastAsia="宋体" w:cs="Times New Roman"/>
                <w:b w:val="0"/>
                <w:bCs w:val="0"/>
                <w:color w:val="auto"/>
                <w:kern w:val="0"/>
                <w:sz w:val="24"/>
                <w:lang w:val="en-US" w:eastAsia="zh-CN" w:bidi="ar"/>
              </w:rPr>
              <w:t>印发了</w:t>
            </w:r>
            <w:r>
              <w:rPr>
                <w:rFonts w:hint="eastAsia" w:ascii="Times New Roman" w:hAnsi="Times New Roman" w:eastAsia="宋体" w:cs="Times New Roman"/>
                <w:color w:val="auto"/>
                <w:kern w:val="0"/>
                <w:sz w:val="24"/>
                <w:lang w:val="en-US" w:eastAsia="zh-CN"/>
              </w:rPr>
              <w:t>《云南省发展和改革委员会 云南省能源局关于印发云南省2023年第一批新能源建设方案的通知》</w:t>
            </w:r>
            <w:r>
              <w:rPr>
                <w:rFonts w:hint="eastAsia" w:ascii="Times New Roman" w:hAnsi="Times New Roman" w:eastAsia="宋体" w:cs="Times New Roman"/>
                <w:b w:val="0"/>
                <w:bCs w:val="0"/>
                <w:color w:val="auto"/>
                <w:kern w:val="0"/>
                <w:sz w:val="24"/>
                <w:lang w:val="en-US" w:eastAsia="zh-CN" w:bidi="ar"/>
              </w:rPr>
              <w:t>（以下简称“通知”）。</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宋体" w:hAnsi="宋体" w:cs="宋体"/>
                <w:color w:val="auto"/>
                <w:kern w:val="0"/>
                <w:sz w:val="24"/>
                <w:szCs w:val="24"/>
                <w:lang w:bidi="ar"/>
              </w:rPr>
              <w:t>属于“通知”的附件</w:t>
            </w:r>
            <w:r>
              <w:rPr>
                <w:rFonts w:hint="eastAsia" w:ascii="Times New Roman" w:hAnsi="Times New Roman" w:eastAsia="宋体" w:cs="Times New Roman"/>
                <w:color w:val="auto"/>
                <w:kern w:val="0"/>
                <w:sz w:val="24"/>
                <w:lang w:val="en-US" w:eastAsia="zh-CN"/>
              </w:rPr>
              <w:t>《云南省</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3年第一批新能源项目建设清单》</w:t>
            </w:r>
            <w:r>
              <w:rPr>
                <w:rFonts w:hint="eastAsia" w:ascii="宋体" w:hAnsi="宋体" w:cs="宋体"/>
                <w:color w:val="auto"/>
                <w:kern w:val="0"/>
                <w:sz w:val="24"/>
                <w:szCs w:val="24"/>
                <w:lang w:bidi="ar"/>
              </w:rPr>
              <w:t>中</w:t>
            </w:r>
            <w:r>
              <w:rPr>
                <w:rFonts w:hint="eastAsia" w:ascii="宋体" w:hAnsi="宋体" w:cs="宋体"/>
                <w:color w:val="auto"/>
                <w:kern w:val="0"/>
                <w:sz w:val="24"/>
                <w:szCs w:val="24"/>
                <w:lang w:val="en-US" w:eastAsia="zh-CN" w:bidi="ar"/>
              </w:rPr>
              <w:t>昆明市寻甸县</w:t>
            </w:r>
            <w:r>
              <w:rPr>
                <w:rFonts w:hint="default"/>
                <w:color w:val="auto"/>
                <w:kern w:val="0"/>
                <w:sz w:val="24"/>
                <w:szCs w:val="24"/>
                <w:lang w:bidi="ar"/>
              </w:rPr>
              <w:t>202</w:t>
            </w:r>
            <w:r>
              <w:rPr>
                <w:rFonts w:hint="eastAsia"/>
                <w:color w:val="auto"/>
                <w:kern w:val="0"/>
                <w:sz w:val="24"/>
                <w:szCs w:val="24"/>
                <w:lang w:val="en-US" w:eastAsia="zh-CN" w:bidi="ar"/>
              </w:rPr>
              <w:t>3</w:t>
            </w:r>
            <w:r>
              <w:rPr>
                <w:rFonts w:hint="eastAsia" w:ascii="宋体" w:hAnsi="宋体" w:cs="宋体"/>
                <w:color w:val="auto"/>
                <w:kern w:val="0"/>
                <w:sz w:val="24"/>
                <w:szCs w:val="24"/>
                <w:lang w:bidi="ar"/>
              </w:rPr>
              <w:t>年规划实施项目，装机容量为</w:t>
            </w:r>
            <w:r>
              <w:rPr>
                <w:rFonts w:hint="eastAsia"/>
                <w:color w:val="auto"/>
                <w:kern w:val="0"/>
                <w:sz w:val="24"/>
                <w:szCs w:val="24"/>
                <w:lang w:val="en-US" w:eastAsia="zh-CN" w:bidi="ar"/>
              </w:rPr>
              <w:t>4.5</w:t>
            </w:r>
            <w:r>
              <w:rPr>
                <w:rFonts w:hint="eastAsia" w:ascii="宋体" w:hAnsi="宋体" w:cs="宋体"/>
                <w:color w:val="auto"/>
                <w:kern w:val="0"/>
                <w:sz w:val="24"/>
                <w:szCs w:val="24"/>
                <w:lang w:bidi="ar"/>
              </w:rPr>
              <w:t>万千瓦。根据主体设计，</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宋体" w:hAnsi="宋体" w:cs="宋体"/>
                <w:color w:val="auto"/>
                <w:kern w:val="0"/>
                <w:sz w:val="24"/>
                <w:szCs w:val="24"/>
                <w:lang w:bidi="ar"/>
              </w:rPr>
              <w:t>装机</w:t>
            </w:r>
            <w:r>
              <w:rPr>
                <w:rFonts w:hint="default" w:ascii="Times New Roman" w:hAnsi="Times New Roman" w:cs="Times New Roman"/>
                <w:color w:val="auto"/>
                <w:kern w:val="0"/>
                <w:sz w:val="24"/>
                <w:szCs w:val="24"/>
                <w:lang w:bidi="ar"/>
              </w:rPr>
              <w:t>容量</w:t>
            </w:r>
            <w:r>
              <w:rPr>
                <w:rFonts w:hint="eastAsia" w:ascii="Times New Roman" w:hAnsi="Times New Roman" w:cs="Times New Roman"/>
                <w:color w:val="auto"/>
                <w:kern w:val="0"/>
                <w:sz w:val="24"/>
                <w:szCs w:val="24"/>
                <w:lang w:val="en-US" w:eastAsia="zh-CN" w:bidi="ar"/>
              </w:rPr>
              <w:t>45</w:t>
            </w:r>
            <w:r>
              <w:rPr>
                <w:rFonts w:hint="default" w:ascii="Times New Roman" w:hAnsi="Times New Roman" w:cs="Times New Roman"/>
                <w:color w:val="auto"/>
                <w:kern w:val="0"/>
                <w:sz w:val="24"/>
                <w:szCs w:val="24"/>
                <w:lang w:bidi="ar"/>
              </w:rPr>
              <w:t>MW，</w:t>
            </w:r>
            <w:r>
              <w:rPr>
                <w:rFonts w:hint="eastAsia" w:ascii="宋体" w:hAnsi="宋体" w:cs="宋体"/>
                <w:color w:val="auto"/>
                <w:kern w:val="0"/>
                <w:sz w:val="24"/>
                <w:szCs w:val="24"/>
                <w:lang w:bidi="ar"/>
              </w:rPr>
              <w:t>与</w:t>
            </w:r>
            <w:r>
              <w:rPr>
                <w:rFonts w:hint="eastAsia" w:ascii="Times New Roman" w:hAnsi="Times New Roman" w:eastAsia="宋体" w:cs="Times New Roman"/>
                <w:color w:val="auto"/>
                <w:kern w:val="0"/>
                <w:sz w:val="24"/>
                <w:lang w:val="en-US" w:eastAsia="zh-CN"/>
              </w:rPr>
              <w:t>云南省</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3年第一批新能源项目建设清单</w:t>
            </w:r>
            <w:r>
              <w:rPr>
                <w:rFonts w:hint="eastAsia" w:ascii="宋体" w:hAnsi="宋体" w:cs="宋体"/>
                <w:color w:val="auto"/>
                <w:kern w:val="0"/>
                <w:sz w:val="24"/>
                <w:szCs w:val="24"/>
                <w:lang w:bidi="ar"/>
              </w:rPr>
              <w:t>中</w:t>
            </w:r>
            <w:r>
              <w:rPr>
                <w:rFonts w:hint="eastAsia" w:ascii="宋体" w:hAnsi="宋体" w:eastAsia="宋体" w:cs="宋体"/>
                <w:color w:val="auto"/>
                <w:kern w:val="0"/>
                <w:sz w:val="24"/>
                <w:szCs w:val="24"/>
                <w:highlight w:val="none"/>
                <w:shd w:val="clear" w:color="auto" w:fill="auto"/>
                <w:lang w:val="en-US" w:eastAsia="zh-CN" w:bidi="ar"/>
              </w:rPr>
              <w:t>竹园沟光伏发电项目</w:t>
            </w:r>
            <w:r>
              <w:rPr>
                <w:rFonts w:hint="eastAsia" w:ascii="宋体" w:hAnsi="宋体" w:cs="宋体"/>
                <w:color w:val="auto"/>
                <w:kern w:val="0"/>
                <w:sz w:val="24"/>
                <w:szCs w:val="24"/>
                <w:lang w:bidi="ar"/>
              </w:rPr>
              <w:t>情况一致。</w:t>
            </w:r>
          </w:p>
          <w:p w14:paraId="076FA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color w:val="auto"/>
                <w:kern w:val="0"/>
                <w:sz w:val="24"/>
                <w:lang w:val="en-US" w:eastAsia="zh-CN" w:bidi="ar"/>
              </w:rPr>
            </w:pPr>
            <w:r>
              <w:rPr>
                <w:rFonts w:hint="eastAsia" w:cs="Times New Roman"/>
                <w:b/>
                <w:bCs/>
                <w:color w:val="auto"/>
                <w:kern w:val="0"/>
                <w:sz w:val="24"/>
                <w:lang w:val="en-US" w:eastAsia="zh-CN" w:bidi="ar"/>
              </w:rPr>
              <w:t>2、与《云南省在适宜地区适度开发利用新能源规划》符合性分析</w:t>
            </w:r>
          </w:p>
          <w:p w14:paraId="3911B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2020</w:t>
            </w:r>
            <w:r>
              <w:rPr>
                <w:rFonts w:hint="eastAsia" w:ascii="Times New Roman" w:hAnsi="Times New Roman" w:eastAsia="宋体" w:cs="Times New Roman"/>
                <w:color w:val="auto"/>
                <w:kern w:val="0"/>
                <w:sz w:val="24"/>
                <w:lang w:val="en-US" w:eastAsia="zh-CN" w:bidi="ar"/>
              </w:rPr>
              <w:t>年</w:t>
            </w:r>
            <w:r>
              <w:rPr>
                <w:rFonts w:hint="default" w:ascii="Times New Roman" w:hAnsi="Times New Roman" w:eastAsia="宋体" w:cs="Times New Roman"/>
                <w:color w:val="auto"/>
                <w:kern w:val="0"/>
                <w:sz w:val="24"/>
                <w:lang w:val="en-US" w:eastAsia="zh-CN" w:bidi="ar"/>
              </w:rPr>
              <w:t>9</w:t>
            </w:r>
            <w:r>
              <w:rPr>
                <w:rFonts w:hint="eastAsia" w:ascii="Times New Roman" w:hAnsi="Times New Roman" w:eastAsia="宋体" w:cs="Times New Roman"/>
                <w:color w:val="auto"/>
                <w:kern w:val="0"/>
                <w:sz w:val="24"/>
                <w:lang w:val="en-US" w:eastAsia="zh-CN" w:bidi="ar"/>
              </w:rPr>
              <w:t>月</w:t>
            </w:r>
            <w:r>
              <w:rPr>
                <w:rFonts w:hint="default" w:ascii="Times New Roman" w:hAnsi="Times New Roman" w:eastAsia="宋体" w:cs="Times New Roman"/>
                <w:color w:val="auto"/>
                <w:kern w:val="0"/>
                <w:sz w:val="24"/>
                <w:lang w:val="en-US" w:eastAsia="zh-CN" w:bidi="ar"/>
              </w:rPr>
              <w:t>30</w:t>
            </w:r>
            <w:r>
              <w:rPr>
                <w:rFonts w:hint="eastAsia" w:ascii="Times New Roman" w:hAnsi="Times New Roman" w:eastAsia="宋体" w:cs="Times New Roman"/>
                <w:color w:val="auto"/>
                <w:kern w:val="0"/>
                <w:sz w:val="24"/>
                <w:lang w:val="en-US" w:eastAsia="zh-CN" w:bidi="ar"/>
              </w:rPr>
              <w:t>日，云南省发展和改革委员会 云南省能源局发布《关于印发云南省在适宜地区适度开发利用新能源规划及配套文件的通知》（云能源水电</w:t>
            </w:r>
            <w:r>
              <w:rPr>
                <w:rFonts w:hint="eastAsia" w:ascii="Times New Roman" w:hAnsi="Times New Roman" w:eastAsia="宋体" w:cs="Times New Roman"/>
                <w:color w:val="auto"/>
                <w:kern w:val="0"/>
                <w:sz w:val="24"/>
                <w:lang w:bidi="ar"/>
              </w:rPr>
              <w:t>〔</w:t>
            </w:r>
            <w:r>
              <w:rPr>
                <w:rFonts w:hint="default" w:ascii="Times New Roman" w:hAnsi="Times New Roman" w:eastAsia="宋体" w:cs="Times New Roman"/>
                <w:color w:val="auto"/>
                <w:kern w:val="0"/>
                <w:sz w:val="24"/>
                <w:lang w:val="en-US" w:eastAsia="zh-CN" w:bidi="ar"/>
              </w:rPr>
              <w:t>2020</w:t>
            </w:r>
            <w:r>
              <w:rPr>
                <w:rFonts w:hint="eastAsia" w:ascii="Times New Roman" w:hAnsi="Times New Roman" w:eastAsia="宋体" w:cs="Times New Roman"/>
                <w:color w:val="auto"/>
                <w:kern w:val="0"/>
                <w:sz w:val="24"/>
                <w:lang w:bidi="ar"/>
              </w:rPr>
              <w:t>〕</w:t>
            </w:r>
            <w:r>
              <w:rPr>
                <w:rFonts w:hint="default" w:ascii="Times New Roman" w:hAnsi="Times New Roman" w:eastAsia="宋体" w:cs="Times New Roman"/>
                <w:color w:val="auto"/>
                <w:kern w:val="0"/>
                <w:sz w:val="24"/>
                <w:lang w:val="en-US" w:eastAsia="zh-CN" w:bidi="ar"/>
              </w:rPr>
              <w:t>153</w:t>
            </w:r>
            <w:r>
              <w:rPr>
                <w:rFonts w:hint="eastAsia" w:ascii="Times New Roman" w:hAnsi="Times New Roman" w:eastAsia="宋体" w:cs="Times New Roman"/>
                <w:color w:val="auto"/>
                <w:kern w:val="0"/>
                <w:sz w:val="24"/>
                <w:lang w:val="en-US" w:eastAsia="zh-CN" w:bidi="ar"/>
              </w:rPr>
              <w:t>号），通知中指出在适宜地区适度开发利用新能源</w:t>
            </w:r>
            <w:r>
              <w:rPr>
                <w:rFonts w:hint="eastAsia" w:cs="Times New Roman"/>
                <w:color w:val="auto"/>
                <w:kern w:val="0"/>
                <w:sz w:val="24"/>
                <w:lang w:val="en-US" w:eastAsia="zh-CN" w:bidi="ar"/>
              </w:rPr>
              <w:t>规划区域包括昆明、曲靖、昭通、红河、文山、楚雄6个州（市）的部分区域。本项目选址位于</w:t>
            </w:r>
            <w:r>
              <w:rPr>
                <w:rFonts w:hint="eastAsia" w:ascii="宋体" w:hAnsi="宋体" w:cs="宋体"/>
                <w:color w:val="auto"/>
                <w:kern w:val="0"/>
                <w:sz w:val="24"/>
                <w:szCs w:val="24"/>
                <w:lang w:val="en-US" w:eastAsia="zh-CN" w:bidi="ar"/>
              </w:rPr>
              <w:t>云南省昆明市寻甸回族彝族自治县河口镇、功山镇境内</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项目与《云南省在适宜地区适度开发利用新能源规划》的符合性分析见下表</w:t>
            </w:r>
            <w:r>
              <w:rPr>
                <w:rFonts w:hint="default" w:ascii="Times New Roman" w:hAnsi="Times New Roman" w:eastAsia="宋体" w:cs="Times New Roman"/>
                <w:color w:val="auto"/>
                <w:kern w:val="0"/>
                <w:sz w:val="24"/>
                <w:lang w:val="en-US" w:eastAsia="zh-CN" w:bidi="ar"/>
              </w:rPr>
              <w:t>1-</w:t>
            </w:r>
            <w:r>
              <w:rPr>
                <w:rFonts w:hint="eastAsia" w:cs="Times New Roman"/>
                <w:color w:val="auto"/>
                <w:kern w:val="0"/>
                <w:sz w:val="24"/>
                <w:lang w:val="en-US" w:eastAsia="zh-CN" w:bidi="ar"/>
              </w:rPr>
              <w:t>2</w:t>
            </w:r>
            <w:r>
              <w:rPr>
                <w:rFonts w:hint="eastAsia" w:ascii="Times New Roman" w:hAnsi="Times New Roman" w:eastAsia="宋体" w:cs="Times New Roman"/>
                <w:color w:val="auto"/>
                <w:kern w:val="0"/>
                <w:sz w:val="24"/>
                <w:lang w:val="en-US" w:eastAsia="zh-CN" w:bidi="ar"/>
              </w:rPr>
              <w:t>。</w:t>
            </w:r>
          </w:p>
          <w:p w14:paraId="688F56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2</w:t>
            </w:r>
            <w:r>
              <w:rPr>
                <w:rFonts w:hint="default" w:ascii="Times New Roman" w:hAnsi="Times New Roman" w:eastAsia="宋体" w:cs="Times New Roman"/>
                <w:b/>
                <w:bCs/>
                <w:color w:val="auto"/>
                <w:kern w:val="0"/>
                <w:sz w:val="21"/>
                <w:szCs w:val="21"/>
                <w:lang w:val="en-US" w:eastAsia="zh-CN" w:bidi="ar"/>
              </w:rPr>
              <w:t xml:space="preserve"> </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与《云南省在适宜地区适度开发利用新能源规划》符合性分析</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4"/>
              <w:gridCol w:w="3371"/>
              <w:gridCol w:w="865"/>
            </w:tblGrid>
            <w:tr w14:paraId="7D8E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0AB14FD8">
                  <w:pPr>
                    <w:keepNext w:val="0"/>
                    <w:keepLines w:val="0"/>
                    <w:widowControl/>
                    <w:suppressLineNumbers w:val="0"/>
                    <w:spacing w:before="0" w:beforeAutospacing="0" w:after="0" w:afterAutospacing="0"/>
                    <w:ind w:left="0" w:right="0"/>
                    <w:jc w:val="center"/>
                    <w:rPr>
                      <w:rFonts w:hint="default"/>
                      <w:b/>
                      <w:bCs/>
                      <w:color w:val="auto"/>
                      <w:kern w:val="0"/>
                      <w:sz w:val="21"/>
                      <w:szCs w:val="21"/>
                      <w:vertAlign w:val="baseline"/>
                    </w:rPr>
                  </w:pPr>
                  <w:r>
                    <w:rPr>
                      <w:rFonts w:hint="eastAsia" w:ascii="宋体" w:hAnsi="宋体" w:eastAsia="宋体" w:cs="宋体"/>
                      <w:b/>
                      <w:bCs/>
                      <w:color w:val="auto"/>
                      <w:kern w:val="0"/>
                      <w:sz w:val="21"/>
                      <w:szCs w:val="21"/>
                      <w:lang w:val="en-US" w:eastAsia="zh-CN" w:bidi="ar"/>
                    </w:rPr>
                    <w:t>相关内容</w:t>
                  </w:r>
                </w:p>
              </w:tc>
              <w:tc>
                <w:tcPr>
                  <w:tcW w:w="2305" w:type="pct"/>
                  <w:vAlign w:val="center"/>
                </w:tcPr>
                <w:p w14:paraId="475FF2B7">
                  <w:pPr>
                    <w:keepNext w:val="0"/>
                    <w:keepLines w:val="0"/>
                    <w:widowControl/>
                    <w:suppressLineNumbers w:val="0"/>
                    <w:spacing w:before="0" w:beforeAutospacing="0" w:after="0" w:afterAutospacing="0"/>
                    <w:ind w:left="0" w:right="0"/>
                    <w:jc w:val="center"/>
                    <w:rPr>
                      <w:rFonts w:hint="default"/>
                      <w:b/>
                      <w:bCs/>
                      <w:color w:val="auto"/>
                      <w:kern w:val="0"/>
                      <w:sz w:val="21"/>
                      <w:szCs w:val="21"/>
                      <w:vertAlign w:val="baseline"/>
                    </w:rPr>
                  </w:pPr>
                  <w:r>
                    <w:rPr>
                      <w:rFonts w:hint="eastAsia" w:ascii="宋体" w:hAnsi="宋体" w:eastAsia="宋体" w:cs="宋体"/>
                      <w:b/>
                      <w:bCs/>
                      <w:color w:val="auto"/>
                      <w:kern w:val="0"/>
                      <w:sz w:val="21"/>
                      <w:szCs w:val="21"/>
                      <w:lang w:val="en-US" w:eastAsia="zh-CN" w:bidi="ar"/>
                    </w:rPr>
                    <w:t>本项目情况</w:t>
                  </w:r>
                </w:p>
              </w:tc>
              <w:tc>
                <w:tcPr>
                  <w:tcW w:w="591" w:type="pct"/>
                  <w:vAlign w:val="center"/>
                </w:tcPr>
                <w:p w14:paraId="4DA613D0">
                  <w:pPr>
                    <w:keepNext w:val="0"/>
                    <w:keepLines w:val="0"/>
                    <w:widowControl/>
                    <w:suppressLineNumbers w:val="0"/>
                    <w:spacing w:before="0" w:beforeAutospacing="0" w:after="0" w:afterAutospacing="0"/>
                    <w:ind w:left="0" w:right="0"/>
                    <w:jc w:val="center"/>
                    <w:rPr>
                      <w:rFonts w:hint="default"/>
                      <w:b/>
                      <w:bCs/>
                      <w:color w:val="auto"/>
                      <w:kern w:val="0"/>
                      <w:sz w:val="21"/>
                      <w:szCs w:val="21"/>
                      <w:vertAlign w:val="baseline"/>
                    </w:rPr>
                  </w:pPr>
                  <w:r>
                    <w:rPr>
                      <w:rFonts w:hint="eastAsia" w:ascii="宋体" w:hAnsi="宋体" w:eastAsia="宋体" w:cs="宋体"/>
                      <w:b/>
                      <w:bCs/>
                      <w:color w:val="auto"/>
                      <w:kern w:val="0"/>
                      <w:sz w:val="21"/>
                      <w:szCs w:val="21"/>
                      <w:lang w:val="en-US" w:eastAsia="zh-CN" w:bidi="ar"/>
                    </w:rPr>
                    <w:t>符合性</w:t>
                  </w:r>
                </w:p>
              </w:tc>
            </w:tr>
            <w:tr w14:paraId="38F1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02" w:type="pct"/>
                  <w:vAlign w:val="center"/>
                </w:tcPr>
                <w:p w14:paraId="6EA996FA">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生态环境保护政策。应避让自然保护区、国家公园、风景名胜区、文物古迹、湿地保护区、饮用水水源保护区、集中式饮用水水源地、生物多样性保护区域、特殊生态环境及特有物种保护区域、鸟类迁徙重要通道及其栖息地、民俗保护区等生态保护红线和生态敏感区域。</w:t>
                  </w:r>
                </w:p>
              </w:tc>
              <w:tc>
                <w:tcPr>
                  <w:tcW w:w="2305" w:type="pct"/>
                  <w:vAlign w:val="center"/>
                </w:tcPr>
                <w:p w14:paraId="0B7A5E77">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本项目选址不涉及自然保护区、国家公园、风景名胜区、文物古迹、湿地保护区、集中式饮用水水源地、生物多样性保护区域、特殊生态环境及特有物种保护区域、鸟类迁徙重要通道及其栖息地、民俗保护区等生态保护红线和生态敏感区域</w:t>
                  </w:r>
                  <w:r>
                    <w:rPr>
                      <w:rFonts w:hint="eastAsia" w:ascii="宋体" w:hAnsi="宋体" w:cs="宋体"/>
                      <w:color w:val="auto"/>
                      <w:kern w:val="0"/>
                      <w:sz w:val="21"/>
                      <w:szCs w:val="21"/>
                      <w:lang w:val="en-US" w:eastAsia="zh-CN" w:bidi="ar"/>
                    </w:rPr>
                    <w:t>；项目不占用</w:t>
                  </w:r>
                  <w:r>
                    <w:rPr>
                      <w:rFonts w:hint="eastAsia" w:ascii="宋体" w:hAnsi="宋体" w:eastAsia="宋体" w:cs="宋体"/>
                      <w:color w:val="auto"/>
                      <w:kern w:val="0"/>
                      <w:sz w:val="21"/>
                      <w:szCs w:val="21"/>
                      <w:lang w:val="en-US" w:eastAsia="zh-CN" w:bidi="ar"/>
                    </w:rPr>
                    <w:t>饮用水水源保护区，昆明市寻甸县河口镇化桃箐水库饮用水源地保护区位于</w:t>
                  </w:r>
                  <w:r>
                    <w:rPr>
                      <w:rFonts w:hint="eastAsia" w:ascii="Times New Roman" w:hAnsi="Times New Roman" w:cs="Times New Roman"/>
                      <w:color w:val="auto"/>
                      <w:sz w:val="21"/>
                      <w:szCs w:val="21"/>
                      <w:highlight w:val="none"/>
                      <w:lang w:val="en-US" w:eastAsia="zh-CN"/>
                    </w:rPr>
                    <w:t>8#方阵东侧1.5m处，但项目不在其汇水区</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lang w:val="en-US" w:eastAsia="zh-CN" w:bidi="ar"/>
                    </w:rPr>
                    <w:t>选址符合生态环境保护政策。</w:t>
                  </w:r>
                </w:p>
              </w:tc>
              <w:tc>
                <w:tcPr>
                  <w:tcW w:w="591" w:type="pct"/>
                  <w:vAlign w:val="center"/>
                </w:tcPr>
                <w:p w14:paraId="3021022D">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符合</w:t>
                  </w:r>
                </w:p>
              </w:tc>
            </w:tr>
            <w:tr w14:paraId="14F5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02" w:type="pct"/>
                  <w:vAlign w:val="center"/>
                </w:tcPr>
                <w:p w14:paraId="17BAB1DA">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项目选址应符合国土用地政策。禁止占用基本农田，应避让坝区，应优先使用石漠化、荒漠化土地和未利用土地。占用一般耕地的农光互补光伏发电项目，应抬高光伏组件安装高度，不改变土地使用性质。</w:t>
                  </w:r>
                </w:p>
              </w:tc>
              <w:tc>
                <w:tcPr>
                  <w:tcW w:w="2305" w:type="pct"/>
                  <w:vAlign w:val="center"/>
                </w:tcPr>
                <w:p w14:paraId="77FC1C2D">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highlight w:val="none"/>
                      <w:lang w:val="en-US" w:eastAsia="zh-CN" w:bidi="ar"/>
                    </w:rPr>
                    <w:t>根据</w:t>
                  </w:r>
                  <w:r>
                    <w:rPr>
                      <w:rFonts w:hint="eastAsia" w:ascii="宋体" w:hAnsi="宋体" w:cs="宋体"/>
                      <w:color w:val="auto"/>
                      <w:kern w:val="0"/>
                      <w:sz w:val="21"/>
                      <w:szCs w:val="21"/>
                      <w:highlight w:val="none"/>
                      <w:lang w:val="en-US" w:eastAsia="zh-CN" w:bidi="ar"/>
                    </w:rPr>
                    <w:t>寻甸回族彝族自治县自然资源局关于寻甸白石岩、石崖、梳山、竹园沟光伏发电项目用地范围是否涉及寻甸县永久基本农田的说明</w:t>
                  </w:r>
                  <w:r>
                    <w:rPr>
                      <w:rFonts w:hint="eastAsia" w:ascii="宋体" w:hAnsi="宋体" w:eastAsia="宋体" w:cs="宋体"/>
                      <w:color w:val="auto"/>
                      <w:kern w:val="0"/>
                      <w:sz w:val="21"/>
                      <w:szCs w:val="21"/>
                      <w:highlight w:val="none"/>
                      <w:lang w:val="en-US" w:eastAsia="zh-CN" w:bidi="ar"/>
                    </w:rPr>
                    <w:t>，该项目</w:t>
                  </w:r>
                  <w:r>
                    <w:rPr>
                      <w:rFonts w:hint="eastAsia" w:ascii="宋体" w:hAnsi="宋体" w:cs="宋体"/>
                      <w:color w:val="auto"/>
                      <w:kern w:val="0"/>
                      <w:sz w:val="21"/>
                      <w:szCs w:val="21"/>
                      <w:highlight w:val="none"/>
                      <w:lang w:val="en-US" w:eastAsia="zh-CN" w:bidi="ar"/>
                    </w:rPr>
                    <w:t>用地</w:t>
                  </w:r>
                  <w:r>
                    <w:rPr>
                      <w:rFonts w:hint="eastAsia" w:ascii="宋体" w:hAnsi="宋体" w:eastAsia="宋体" w:cs="宋体"/>
                      <w:color w:val="auto"/>
                      <w:kern w:val="0"/>
                      <w:sz w:val="21"/>
                      <w:szCs w:val="21"/>
                      <w:highlight w:val="none"/>
                      <w:lang w:val="en-US" w:eastAsia="zh-CN" w:bidi="ar"/>
                    </w:rPr>
                    <w:t>范围</w:t>
                  </w:r>
                  <w:r>
                    <w:rPr>
                      <w:rFonts w:hint="eastAsia" w:ascii="宋体" w:hAnsi="宋体" w:cs="宋体"/>
                      <w:color w:val="auto"/>
                      <w:kern w:val="0"/>
                      <w:sz w:val="21"/>
                      <w:szCs w:val="21"/>
                      <w:highlight w:val="none"/>
                      <w:lang w:val="en-US" w:eastAsia="zh-CN" w:bidi="ar"/>
                    </w:rPr>
                    <w:t>不占用</w:t>
                  </w:r>
                  <w:r>
                    <w:rPr>
                      <w:rFonts w:hint="eastAsia" w:ascii="宋体" w:hAnsi="宋体" w:eastAsia="宋体" w:cs="宋体"/>
                      <w:color w:val="auto"/>
                      <w:kern w:val="0"/>
                      <w:sz w:val="21"/>
                      <w:szCs w:val="21"/>
                      <w:highlight w:val="none"/>
                      <w:lang w:val="en-US" w:eastAsia="zh-CN" w:bidi="ar"/>
                    </w:rPr>
                    <w:t>寻甸县永久基本农田</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lang w:val="en-US" w:eastAsia="zh-CN" w:bidi="ar"/>
                    </w:rPr>
                    <w:t>项目光伏组件安装高度严格按照《云南省能源局关于进一步支持光伏扶贫和规范光伏发电产业用地的通知》（云自然资</w:t>
                  </w:r>
                  <w:r>
                    <w:rPr>
                      <w:rFonts w:hint="eastAsia"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2019</w:t>
                  </w:r>
                  <w:r>
                    <w:rPr>
                      <w:rFonts w:hint="eastAsia"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196</w:t>
                  </w:r>
                  <w:r>
                    <w:rPr>
                      <w:rFonts w:hint="eastAsia" w:ascii="宋体" w:hAnsi="宋体" w:eastAsia="宋体" w:cs="宋体"/>
                      <w:color w:val="auto"/>
                      <w:kern w:val="0"/>
                      <w:sz w:val="21"/>
                      <w:szCs w:val="21"/>
                      <w:lang w:val="en-US" w:eastAsia="zh-CN" w:bidi="ar"/>
                    </w:rPr>
                    <w:t>号）中</w:t>
                  </w:r>
                  <w:r>
                    <w:rPr>
                      <w:rFonts w:hint="eastAsia" w:ascii="宋体" w:hAnsi="宋体" w:cs="宋体"/>
                      <w:color w:val="auto"/>
                      <w:kern w:val="0"/>
                      <w:szCs w:val="21"/>
                      <w:lang w:bidi="ar"/>
                    </w:rPr>
                    <w:t>最低离地</w:t>
                  </w:r>
                  <w:r>
                    <w:rPr>
                      <w:rFonts w:hint="default"/>
                      <w:color w:val="auto"/>
                      <w:kern w:val="0"/>
                      <w:szCs w:val="21"/>
                      <w:lang w:bidi="ar"/>
                    </w:rPr>
                    <w:t>2.5m</w:t>
                  </w:r>
                  <w:r>
                    <w:rPr>
                      <w:rFonts w:hint="eastAsia" w:ascii="宋体" w:hAnsi="宋体" w:cs="宋体"/>
                      <w:color w:val="auto"/>
                      <w:kern w:val="0"/>
                      <w:szCs w:val="21"/>
                      <w:lang w:bidi="ar"/>
                    </w:rPr>
                    <w:t>、桩基间列间距大于</w:t>
                  </w:r>
                  <w:r>
                    <w:rPr>
                      <w:rFonts w:hint="default"/>
                      <w:color w:val="auto"/>
                      <w:kern w:val="0"/>
                      <w:szCs w:val="21"/>
                      <w:lang w:bidi="ar"/>
                    </w:rPr>
                    <w:t>4m</w:t>
                  </w:r>
                  <w:r>
                    <w:rPr>
                      <w:rFonts w:hint="eastAsia" w:ascii="宋体" w:hAnsi="宋体" w:cs="宋体"/>
                      <w:color w:val="auto"/>
                      <w:kern w:val="0"/>
                      <w:szCs w:val="21"/>
                      <w:lang w:bidi="ar"/>
                    </w:rPr>
                    <w:t>、行间距大于</w:t>
                  </w:r>
                  <w:r>
                    <w:rPr>
                      <w:rFonts w:hint="default"/>
                      <w:color w:val="auto"/>
                      <w:kern w:val="0"/>
                      <w:szCs w:val="21"/>
                      <w:lang w:bidi="ar"/>
                    </w:rPr>
                    <w:t>6.5m</w:t>
                  </w:r>
                  <w:r>
                    <w:rPr>
                      <w:rFonts w:hint="eastAsia" w:ascii="宋体" w:hAnsi="宋体" w:cs="宋体"/>
                      <w:color w:val="auto"/>
                      <w:kern w:val="0"/>
                      <w:szCs w:val="21"/>
                      <w:lang w:bidi="ar"/>
                    </w:rPr>
                    <w:t>的架设的要求进行建设</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项目通过租赁方式使用河口镇和功山镇土地，项目建设不改变现有</w:t>
                  </w:r>
                  <w:r>
                    <w:rPr>
                      <w:rFonts w:hint="eastAsia" w:ascii="宋体" w:hAnsi="宋体" w:eastAsia="宋体" w:cs="宋体"/>
                      <w:color w:val="auto"/>
                      <w:kern w:val="0"/>
                      <w:sz w:val="21"/>
                      <w:szCs w:val="21"/>
                      <w:lang w:val="en-US" w:eastAsia="zh-CN" w:bidi="ar"/>
                    </w:rPr>
                    <w:t>土地</w:t>
                  </w:r>
                  <w:r>
                    <w:rPr>
                      <w:rFonts w:hint="eastAsia" w:ascii="宋体" w:hAnsi="宋体" w:cs="宋体"/>
                      <w:color w:val="auto"/>
                      <w:kern w:val="0"/>
                      <w:sz w:val="21"/>
                      <w:szCs w:val="21"/>
                      <w:lang w:val="en-US" w:eastAsia="zh-CN" w:bidi="ar"/>
                    </w:rPr>
                    <w:t>使用</w:t>
                  </w:r>
                  <w:r>
                    <w:rPr>
                      <w:rFonts w:hint="eastAsia" w:ascii="宋体" w:hAnsi="宋体" w:eastAsia="宋体" w:cs="宋体"/>
                      <w:color w:val="auto"/>
                      <w:kern w:val="0"/>
                      <w:sz w:val="21"/>
                      <w:szCs w:val="21"/>
                      <w:lang w:val="en-US" w:eastAsia="zh-CN" w:bidi="ar"/>
                    </w:rPr>
                    <w:t>性质。项目选址符合国土用地政策。</w:t>
                  </w:r>
                </w:p>
              </w:tc>
              <w:tc>
                <w:tcPr>
                  <w:tcW w:w="591" w:type="pct"/>
                  <w:vAlign w:val="center"/>
                </w:tcPr>
                <w:p w14:paraId="3F783E4E">
                  <w:pPr>
                    <w:keepNext w:val="0"/>
                    <w:keepLines w:val="0"/>
                    <w:widowControl/>
                    <w:suppressLineNumbers w:val="0"/>
                    <w:spacing w:before="0" w:beforeAutospacing="0" w:after="0" w:afterAutospacing="0" w:line="360" w:lineRule="auto"/>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符合</w:t>
                  </w:r>
                </w:p>
              </w:tc>
            </w:tr>
            <w:tr w14:paraId="5741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66217360">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项目选址应符合林业用地政策。光伏项目应避让天然林保护工程区和天然林地，光伏电池组件阵列应避让有林地、疏林地、未成林造林地、采伐迹地、火烧迹地，以及年降</w:t>
                  </w:r>
                  <w:r>
                    <w:rPr>
                      <w:rFonts w:hint="eastAsia" w:ascii="宋体" w:hAnsi="宋体" w:cs="宋体"/>
                      <w:color w:val="auto"/>
                      <w:kern w:val="0"/>
                      <w:sz w:val="21"/>
                      <w:szCs w:val="21"/>
                      <w:lang w:val="en-US" w:eastAsia="zh-CN" w:bidi="ar"/>
                    </w:rPr>
                    <w:t>雨量</w:t>
                  </w:r>
                  <w:r>
                    <w:rPr>
                      <w:rFonts w:hint="default" w:ascii="Times New Roman" w:hAnsi="Times New Roman" w:eastAsia="宋体" w:cs="Times New Roman"/>
                      <w:color w:val="auto"/>
                      <w:kern w:val="0"/>
                      <w:sz w:val="21"/>
                      <w:szCs w:val="21"/>
                      <w:lang w:val="en-US" w:eastAsia="zh-CN" w:bidi="ar"/>
                    </w:rPr>
                    <w:t>400</w:t>
                  </w:r>
                  <w:r>
                    <w:rPr>
                      <w:rFonts w:hint="eastAsia" w:ascii="宋体" w:hAnsi="宋体" w:eastAsia="宋体" w:cs="宋体"/>
                      <w:color w:val="auto"/>
                      <w:kern w:val="0"/>
                      <w:sz w:val="21"/>
                      <w:szCs w:val="21"/>
                      <w:lang w:val="en-US" w:eastAsia="zh-CN" w:bidi="ar"/>
                    </w:rPr>
                    <w:t>毫米以下区域覆盖度高于</w:t>
                  </w:r>
                  <w:r>
                    <w:rPr>
                      <w:rFonts w:hint="default" w:ascii="Times New Roman" w:hAnsi="Times New Roman" w:eastAsia="宋体" w:cs="Times New Roman"/>
                      <w:color w:val="auto"/>
                      <w:kern w:val="0"/>
                      <w:sz w:val="21"/>
                      <w:szCs w:val="21"/>
                      <w:lang w:val="en-US" w:eastAsia="zh-CN" w:bidi="ar"/>
                    </w:rPr>
                    <w:t>30%</w:t>
                  </w:r>
                  <w:r>
                    <w:rPr>
                      <w:rFonts w:hint="eastAsia" w:ascii="宋体" w:hAnsi="宋体" w:eastAsia="宋体" w:cs="宋体"/>
                      <w:color w:val="auto"/>
                      <w:kern w:val="0"/>
                      <w:sz w:val="21"/>
                      <w:szCs w:val="21"/>
                      <w:lang w:val="en-US" w:eastAsia="zh-CN" w:bidi="ar"/>
                    </w:rPr>
                    <w:t>和年降雨量</w:t>
                  </w:r>
                  <w:r>
                    <w:rPr>
                      <w:rFonts w:hint="default" w:ascii="Times New Roman" w:hAnsi="Times New Roman" w:eastAsia="宋体" w:cs="Times New Roman"/>
                      <w:color w:val="auto"/>
                      <w:kern w:val="0"/>
                      <w:sz w:val="21"/>
                      <w:szCs w:val="21"/>
                      <w:lang w:val="en-US" w:eastAsia="zh-CN" w:bidi="ar"/>
                    </w:rPr>
                    <w:t>400</w:t>
                  </w:r>
                  <w:r>
                    <w:rPr>
                      <w:rFonts w:hint="eastAsia" w:ascii="宋体" w:hAnsi="宋体" w:eastAsia="宋体" w:cs="宋体"/>
                      <w:color w:val="auto"/>
                      <w:kern w:val="0"/>
                      <w:sz w:val="21"/>
                      <w:szCs w:val="21"/>
                      <w:lang w:val="en-US" w:eastAsia="zh-CN" w:bidi="ar"/>
                    </w:rPr>
                    <w:t>毫米以上区域覆盖度高于</w:t>
                  </w:r>
                  <w:r>
                    <w:rPr>
                      <w:rFonts w:hint="default" w:ascii="Times New Roman" w:hAnsi="Times New Roman" w:eastAsia="宋体" w:cs="Times New Roman"/>
                      <w:color w:val="auto"/>
                      <w:kern w:val="0"/>
                      <w:sz w:val="21"/>
                      <w:szCs w:val="21"/>
                      <w:lang w:val="en-US" w:eastAsia="zh-CN" w:bidi="ar"/>
                    </w:rPr>
                    <w:t>50%</w:t>
                  </w:r>
                  <w:r>
                    <w:rPr>
                      <w:rFonts w:hint="eastAsia" w:ascii="宋体" w:hAnsi="宋体" w:eastAsia="宋体" w:cs="宋体"/>
                      <w:color w:val="auto"/>
                      <w:kern w:val="0"/>
                      <w:sz w:val="21"/>
                      <w:szCs w:val="21"/>
                      <w:lang w:val="en-US" w:eastAsia="zh-CN" w:bidi="ar"/>
                    </w:rPr>
                    <w:t>的灌木林地。</w:t>
                  </w:r>
                </w:p>
              </w:tc>
              <w:tc>
                <w:tcPr>
                  <w:tcW w:w="2305" w:type="pct"/>
                  <w:vAlign w:val="center"/>
                </w:tcPr>
                <w:p w14:paraId="56503A97">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
                    </w:rPr>
                    <w:t>根据项目使用林地可行性报告，本工程建设涉及占用林地情况为灌木林地、其他林地，保护等级Ⅱ~Ⅳ级，盖度小于50%</w:t>
                  </w:r>
                  <w:r>
                    <w:rPr>
                      <w:rFonts w:hint="eastAsia" w:cs="Times New Roman"/>
                      <w:color w:val="auto"/>
                      <w:kern w:val="0"/>
                      <w:sz w:val="21"/>
                      <w:szCs w:val="21"/>
                      <w:lang w:val="en-US" w:eastAsia="zh-CN" w:bidi="ar"/>
                    </w:rPr>
                    <w:t>，同时已避让</w:t>
                  </w:r>
                  <w:r>
                    <w:rPr>
                      <w:rFonts w:hint="eastAsia" w:ascii="宋体" w:hAnsi="宋体" w:eastAsia="宋体" w:cs="宋体"/>
                      <w:color w:val="auto"/>
                      <w:kern w:val="0"/>
                      <w:sz w:val="21"/>
                      <w:szCs w:val="21"/>
                      <w:lang w:val="en-US" w:eastAsia="zh-CN" w:bidi="ar"/>
                    </w:rPr>
                    <w:t>天然林保护工程区和天然林地</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有林地、疏林地、未成林造林地、采伐迹地、火烧迹地</w:t>
                  </w:r>
                  <w:r>
                    <w:rPr>
                      <w:rFonts w:hint="eastAsia" w:cs="Times New Roman"/>
                      <w:color w:val="auto"/>
                      <w:spacing w:val="0"/>
                      <w:kern w:val="0"/>
                      <w:sz w:val="21"/>
                      <w:szCs w:val="21"/>
                      <w:lang w:val="en-US" w:eastAsia="zh-CN" w:bidi="ar"/>
                    </w:rPr>
                    <w:t>。</w:t>
                  </w:r>
                  <w:r>
                    <w:rPr>
                      <w:rFonts w:hint="default" w:ascii="Times New Roman" w:hAnsi="Times New Roman" w:eastAsia="宋体" w:cs="Times New Roman"/>
                      <w:color w:val="auto"/>
                      <w:spacing w:val="0"/>
                      <w:kern w:val="0"/>
                      <w:sz w:val="21"/>
                      <w:szCs w:val="21"/>
                      <w:lang w:val="en-US" w:eastAsia="zh-CN" w:bidi="ar"/>
                    </w:rPr>
                    <w:t>根据查阅气象资料，项目所在区域多年平均降雨量为</w:t>
                  </w:r>
                  <w:r>
                    <w:rPr>
                      <w:rFonts w:hint="default" w:ascii="Times New Roman" w:hAnsi="Times New Roman" w:eastAsia="宋体" w:cs="Times New Roman"/>
                      <w:color w:val="auto"/>
                      <w:spacing w:val="0"/>
                      <w:kern w:val="0"/>
                      <w:sz w:val="21"/>
                      <w:szCs w:val="21"/>
                      <w:highlight w:val="none"/>
                      <w:lang w:val="en-US" w:eastAsia="zh-CN" w:bidi="ar"/>
                    </w:rPr>
                    <w:t>1045mm</w:t>
                  </w:r>
                  <w:r>
                    <w:rPr>
                      <w:rFonts w:hint="eastAsia" w:ascii="Times New Roman" w:hAnsi="Times New Roman" w:eastAsia="宋体" w:cs="Times New Roman"/>
                      <w:color w:val="auto"/>
                      <w:spacing w:val="0"/>
                      <w:kern w:val="0"/>
                      <w:sz w:val="21"/>
                      <w:szCs w:val="21"/>
                      <w:lang w:val="en-US" w:eastAsia="zh-CN" w:bidi="ar"/>
                    </w:rPr>
                    <w:t>，因此项目不使用</w:t>
                  </w:r>
                  <w:r>
                    <w:rPr>
                      <w:rFonts w:hint="default" w:ascii="Times New Roman" w:hAnsi="Times New Roman" w:eastAsia="宋体" w:cs="Times New Roman"/>
                      <w:color w:val="auto"/>
                      <w:spacing w:val="0"/>
                      <w:sz w:val="21"/>
                      <w:szCs w:val="21"/>
                    </w:rPr>
                    <w:t>降雨量400毫米以上区域覆盖度高于50%的灌木林地</w:t>
                  </w:r>
                  <w:r>
                    <w:rPr>
                      <w:rFonts w:hint="eastAsia" w:ascii="Times New Roman" w:hAnsi="Times New Roman" w:eastAsia="宋体" w:cs="Times New Roman"/>
                      <w:color w:val="auto"/>
                      <w:spacing w:val="0"/>
                      <w:kern w:val="0"/>
                      <w:sz w:val="21"/>
                      <w:szCs w:val="21"/>
                      <w:lang w:val="en-US" w:eastAsia="zh-CN" w:bidi="ar"/>
                    </w:rPr>
                    <w:t>。</w:t>
                  </w:r>
                </w:p>
              </w:tc>
              <w:tc>
                <w:tcPr>
                  <w:tcW w:w="591" w:type="pct"/>
                  <w:vAlign w:val="center"/>
                </w:tcPr>
                <w:p w14:paraId="6EFD40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en-US" w:eastAsia="zh-CN" w:bidi="ar-SA"/>
                    </w:rPr>
                  </w:pPr>
                  <w:r>
                    <w:rPr>
                      <w:rFonts w:hint="eastAsia" w:ascii="宋体" w:hAnsi="宋体" w:eastAsia="宋体" w:cs="宋体"/>
                      <w:color w:val="auto"/>
                      <w:kern w:val="0"/>
                      <w:sz w:val="21"/>
                      <w:szCs w:val="21"/>
                      <w:lang w:val="en-US" w:eastAsia="zh-CN" w:bidi="ar"/>
                    </w:rPr>
                    <w:t>符合</w:t>
                  </w:r>
                </w:p>
              </w:tc>
            </w:tr>
            <w:tr w14:paraId="6C7D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38DF8960">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项目选址应符合国土空间规划、实现景观保护。应远离滇中城市群规划的主体城市、一般城市和新兴城镇，远离城市及城镇的面山区域。应远离金沙江及长江一级支流岸线保护范围。</w:t>
                  </w:r>
                </w:p>
              </w:tc>
              <w:tc>
                <w:tcPr>
                  <w:tcW w:w="2305" w:type="pct"/>
                  <w:vAlign w:val="center"/>
                </w:tcPr>
                <w:p w14:paraId="35A94C42">
                  <w:pPr>
                    <w:keepNext w:val="0"/>
                    <w:keepLines w:val="0"/>
                    <w:widowControl/>
                    <w:suppressLineNumbers w:val="0"/>
                    <w:spacing w:before="0" w:beforeAutospacing="0" w:after="0" w:afterAutospacing="0"/>
                    <w:ind w:left="0" w:right="0"/>
                    <w:jc w:val="center"/>
                    <w:rPr>
                      <w:rFonts w:hint="default"/>
                      <w:color w:val="auto"/>
                      <w:kern w:val="0"/>
                      <w:sz w:val="21"/>
                      <w:szCs w:val="21"/>
                      <w:vertAlign w:val="baseline"/>
                    </w:rPr>
                  </w:pPr>
                  <w:r>
                    <w:rPr>
                      <w:rFonts w:hint="eastAsia" w:ascii="宋体" w:hAnsi="宋体" w:eastAsia="宋体" w:cs="宋体"/>
                      <w:color w:val="auto"/>
                      <w:kern w:val="0"/>
                      <w:sz w:val="21"/>
                      <w:szCs w:val="21"/>
                      <w:lang w:val="en-US" w:eastAsia="zh-CN" w:bidi="ar"/>
                    </w:rPr>
                    <w:t>本项目选址位于云南省昆明市寻甸回族彝族自治县河口镇、功山镇境内，远离滇中城市群规划的主体城市、一般城市和新兴城镇，远离城市及城镇的面山区域。不在金沙江及长江一级支流岸线保护范围内。</w:t>
                  </w:r>
                  <w:r>
                    <w:rPr>
                      <w:rFonts w:hint="default"/>
                      <w:color w:val="auto"/>
                      <w:sz w:val="21"/>
                      <w:szCs w:val="21"/>
                      <w:highlight w:val="none"/>
                    </w:rPr>
                    <w:t>根据</w:t>
                  </w:r>
                  <w:r>
                    <w:rPr>
                      <w:rFonts w:hint="eastAsia"/>
                      <w:color w:val="auto"/>
                      <w:sz w:val="21"/>
                      <w:szCs w:val="21"/>
                      <w:highlight w:val="none"/>
                    </w:rPr>
                    <w:t>寻甸回族彝族自治</w:t>
                  </w:r>
                  <w:r>
                    <w:rPr>
                      <w:rFonts w:hint="default"/>
                      <w:color w:val="auto"/>
                      <w:sz w:val="21"/>
                      <w:szCs w:val="21"/>
                      <w:highlight w:val="none"/>
                    </w:rPr>
                    <w:t>县自然资源局202</w:t>
                  </w:r>
                  <w:r>
                    <w:rPr>
                      <w:rFonts w:hint="eastAsia"/>
                      <w:color w:val="auto"/>
                      <w:sz w:val="21"/>
                      <w:szCs w:val="21"/>
                      <w:highlight w:val="none"/>
                      <w:lang w:val="en-US" w:eastAsia="zh-CN"/>
                    </w:rPr>
                    <w:t>4</w:t>
                  </w:r>
                  <w:r>
                    <w:rPr>
                      <w:rFonts w:hint="default"/>
                      <w:color w:val="auto"/>
                      <w:sz w:val="21"/>
                      <w:szCs w:val="21"/>
                      <w:highlight w:val="none"/>
                    </w:rPr>
                    <w:t>年</w:t>
                  </w:r>
                  <w:r>
                    <w:rPr>
                      <w:rFonts w:hint="eastAsia"/>
                      <w:color w:val="auto"/>
                      <w:sz w:val="21"/>
                      <w:szCs w:val="21"/>
                      <w:highlight w:val="none"/>
                      <w:lang w:val="en-US" w:eastAsia="zh-CN"/>
                    </w:rPr>
                    <w:t>9</w:t>
                  </w:r>
                  <w:r>
                    <w:rPr>
                      <w:rFonts w:hint="default"/>
                      <w:color w:val="auto"/>
                      <w:sz w:val="21"/>
                      <w:szCs w:val="21"/>
                      <w:highlight w:val="none"/>
                    </w:rPr>
                    <w:t>月2</w:t>
                  </w:r>
                  <w:r>
                    <w:rPr>
                      <w:rFonts w:hint="eastAsia"/>
                      <w:color w:val="auto"/>
                      <w:sz w:val="21"/>
                      <w:szCs w:val="21"/>
                      <w:highlight w:val="none"/>
                      <w:lang w:val="en-US" w:eastAsia="zh-CN"/>
                    </w:rPr>
                    <w:t>7</w:t>
                  </w:r>
                  <w:r>
                    <w:rPr>
                      <w:rFonts w:hint="default"/>
                      <w:color w:val="auto"/>
                      <w:sz w:val="21"/>
                      <w:szCs w:val="21"/>
                      <w:highlight w:val="none"/>
                    </w:rPr>
                    <w:t>日出具的</w:t>
                  </w:r>
                  <w:r>
                    <w:rPr>
                      <w:rFonts w:hint="eastAsia"/>
                      <w:color w:val="auto"/>
                      <w:sz w:val="21"/>
                      <w:szCs w:val="21"/>
                      <w:highlight w:val="none"/>
                      <w:lang w:val="en-US" w:eastAsia="zh-CN"/>
                    </w:rPr>
                    <w:t>选址意见，</w:t>
                  </w:r>
                  <w:r>
                    <w:rPr>
                      <w:rFonts w:hint="default"/>
                      <w:color w:val="auto"/>
                      <w:sz w:val="21"/>
                      <w:szCs w:val="21"/>
                      <w:highlight w:val="none"/>
                    </w:rPr>
                    <w:t>项目用地范围未与寻甸县生态保护红线重叠</w:t>
                  </w:r>
                  <w:r>
                    <w:rPr>
                      <w:rFonts w:hint="eastAsia"/>
                      <w:color w:val="auto"/>
                      <w:sz w:val="21"/>
                      <w:szCs w:val="21"/>
                      <w:highlight w:val="none"/>
                      <w:lang w:eastAsia="zh-CN"/>
                    </w:rPr>
                    <w:t>，</w:t>
                  </w:r>
                  <w:r>
                    <w:rPr>
                      <w:rFonts w:hint="eastAsia"/>
                      <w:color w:val="auto"/>
                      <w:spacing w:val="0"/>
                      <w:sz w:val="21"/>
                      <w:szCs w:val="21"/>
                      <w:highlight w:val="none"/>
                      <w:shd w:val="clear" w:color="auto" w:fill="auto"/>
                      <w:lang w:val="en-US" w:eastAsia="zh-CN" w:bidi="he-IL"/>
                    </w:rPr>
                    <w:t>项目用地范围未涉及寻甸县永久基本农田，因此</w:t>
                  </w:r>
                  <w:r>
                    <w:rPr>
                      <w:rFonts w:hint="eastAsia" w:ascii="宋体" w:hAnsi="宋体" w:eastAsia="宋体" w:cs="宋体"/>
                      <w:color w:val="auto"/>
                      <w:kern w:val="0"/>
                      <w:sz w:val="21"/>
                      <w:szCs w:val="21"/>
                      <w:lang w:val="en-US" w:eastAsia="zh-CN" w:bidi="ar"/>
                    </w:rPr>
                    <w:t>项目选址符合国土空间规划</w:t>
                  </w:r>
                  <w:r>
                    <w:rPr>
                      <w:rFonts w:hint="eastAsia" w:ascii="宋体" w:hAnsi="宋体" w:cs="宋体"/>
                      <w:color w:val="auto"/>
                      <w:kern w:val="0"/>
                      <w:sz w:val="21"/>
                      <w:szCs w:val="21"/>
                      <w:lang w:val="en-US" w:eastAsia="zh-CN" w:bidi="ar"/>
                    </w:rPr>
                    <w:t>，项目建成后实施林光互补工程，</w:t>
                  </w:r>
                  <w:r>
                    <w:rPr>
                      <w:rFonts w:hint="eastAsia" w:ascii="宋体" w:hAnsi="宋体" w:eastAsia="宋体" w:cs="宋体"/>
                      <w:color w:val="auto"/>
                      <w:kern w:val="0"/>
                      <w:sz w:val="21"/>
                      <w:szCs w:val="21"/>
                      <w:lang w:val="en-US" w:eastAsia="zh-CN" w:bidi="ar"/>
                    </w:rPr>
                    <w:t>实现景观保护。</w:t>
                  </w:r>
                </w:p>
              </w:tc>
              <w:tc>
                <w:tcPr>
                  <w:tcW w:w="591" w:type="pct"/>
                  <w:vAlign w:val="center"/>
                </w:tcPr>
                <w:p w14:paraId="24EFE97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vertAlign w:val="baseline"/>
                      <w:lang w:val="en-US" w:eastAsia="zh-CN" w:bidi="ar-SA"/>
                    </w:rPr>
                  </w:pPr>
                  <w:r>
                    <w:rPr>
                      <w:rFonts w:hint="eastAsia" w:ascii="宋体" w:hAnsi="宋体" w:eastAsia="宋体" w:cs="宋体"/>
                      <w:color w:val="auto"/>
                      <w:kern w:val="0"/>
                      <w:sz w:val="21"/>
                      <w:szCs w:val="21"/>
                      <w:lang w:val="en-US" w:eastAsia="zh-CN" w:bidi="ar"/>
                    </w:rPr>
                    <w:t>符合</w:t>
                  </w:r>
                </w:p>
              </w:tc>
            </w:tr>
          </w:tbl>
          <w:p w14:paraId="3BADE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bCs/>
                <w:color w:val="auto"/>
                <w:kern w:val="0"/>
                <w:sz w:val="24"/>
                <w:lang w:val="en-US" w:eastAsia="zh-CN" w:bidi="ar"/>
              </w:rPr>
            </w:pPr>
            <w:r>
              <w:rPr>
                <w:rFonts w:hint="default" w:ascii="Times New Roman" w:hAnsi="Times New Roman" w:eastAsia="宋体" w:cs="Times New Roman"/>
                <w:color w:val="auto"/>
                <w:sz w:val="24"/>
                <w:szCs w:val="24"/>
                <w:lang w:val="en-US" w:eastAsia="zh-CN"/>
              </w:rPr>
              <w:t>根据分析，项目选址不占用基本农田，选址避让了生态红线、自然保护区、饮用水源地等敏感区，避让了滇中城市群主城范围，避让了旅游地区，远离长江经济带规划发展区，没有布局在城市（城镇）面山区域，对滇中城市群及长江经济带未来发展无明显直接影响，项目建设符合《云南省在适宜地区适度开发利用新能源规划》的相关要求。</w:t>
            </w:r>
          </w:p>
          <w:p w14:paraId="49F42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color w:val="auto"/>
                <w:kern w:val="0"/>
                <w:sz w:val="24"/>
                <w:lang w:val="en-US" w:eastAsia="zh-CN" w:bidi="ar"/>
              </w:rPr>
            </w:pPr>
            <w:r>
              <w:rPr>
                <w:rFonts w:hint="eastAsia" w:cs="Times New Roman"/>
                <w:b/>
                <w:bCs/>
                <w:color w:val="auto"/>
                <w:kern w:val="0"/>
                <w:sz w:val="24"/>
                <w:lang w:val="en-US" w:eastAsia="zh-CN" w:bidi="ar"/>
              </w:rPr>
              <w:t>3</w:t>
            </w:r>
            <w:r>
              <w:rPr>
                <w:rFonts w:hint="default" w:ascii="Times New Roman" w:hAnsi="Times New Roman" w:cs="Times New Roman"/>
                <w:b/>
                <w:bCs/>
                <w:color w:val="auto"/>
                <w:kern w:val="0"/>
                <w:sz w:val="24"/>
                <w:lang w:val="en-US" w:eastAsia="zh-CN" w:bidi="ar"/>
              </w:rPr>
              <w:t>、与《云南省在适宜地区适度开发利用新能源规划环境影响篇章》的符合性分析</w:t>
            </w:r>
          </w:p>
          <w:p w14:paraId="6E08512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1）重视项目对敏感环境保护目标的影响评价尽量避让生态保护红线、《云南省主体功能区规划》中确定的禁止开发区域（自然保护区、风景名胜区、世界遗产地、国家森林公园、国家地质公园、文物古迹、集中式饮用水源地等）及原始天然林、候鸟迁徙通道、保护鸟类重要生境等环境敏感区，尽量减少对敏感区域的扰动，避免造成重大影响。</w:t>
            </w:r>
          </w:p>
          <w:p w14:paraId="6E713C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highlight w:val="none"/>
                <w:lang w:val="en-US" w:eastAsia="zh-CN"/>
              </w:rPr>
              <w:t>根据</w:t>
            </w:r>
            <w:r>
              <w:rPr>
                <w:rFonts w:hint="eastAsia" w:cs="Times New Roman"/>
                <w:color w:val="auto"/>
                <w:kern w:val="0"/>
                <w:sz w:val="24"/>
                <w:szCs w:val="24"/>
                <w:highlight w:val="none"/>
                <w:lang w:val="en-US" w:eastAsia="zh-CN"/>
              </w:rPr>
              <w:t>寻甸回族彝族自治县自然资源局、寻甸回族彝族自治县林业和草原局、寻甸回族彝族自治县水务局</w:t>
            </w:r>
            <w:r>
              <w:rPr>
                <w:rFonts w:hint="default" w:ascii="Times New Roman" w:hAnsi="Times New Roman" w:cs="Times New Roman"/>
                <w:color w:val="auto"/>
                <w:kern w:val="0"/>
                <w:sz w:val="24"/>
                <w:szCs w:val="24"/>
                <w:highlight w:val="none"/>
                <w:lang w:val="en-US" w:eastAsia="zh-CN"/>
              </w:rPr>
              <w:t>等有关单位对项目区域制约性因素查询结果</w:t>
            </w:r>
            <w:r>
              <w:rPr>
                <w:rFonts w:hint="default" w:ascii="Times New Roman" w:hAnsi="Times New Roman" w:cs="Times New Roman"/>
                <w:color w:val="auto"/>
                <w:kern w:val="0"/>
                <w:sz w:val="24"/>
                <w:szCs w:val="24"/>
                <w:lang w:val="en-US" w:eastAsia="zh-CN"/>
              </w:rPr>
              <w:t>，</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default" w:ascii="Times New Roman" w:hAnsi="Times New Roman" w:cs="Times New Roman"/>
                <w:color w:val="auto"/>
                <w:kern w:val="0"/>
                <w:sz w:val="24"/>
                <w:szCs w:val="24"/>
                <w:lang w:val="en-US" w:eastAsia="zh-CN"/>
              </w:rPr>
              <w:t>不涉及</w:t>
            </w:r>
            <w:r>
              <w:rPr>
                <w:rFonts w:hint="default" w:ascii="Times New Roman" w:hAnsi="Times New Roman" w:cs="Times New Roman"/>
                <w:color w:val="auto"/>
                <w:kern w:val="0"/>
                <w:sz w:val="24"/>
                <w:lang w:val="en-US" w:eastAsia="zh-CN"/>
              </w:rPr>
              <w:t>自然保护区、风景名胜区、世界遗产地、国家森林公园、国家地质公园、文物古迹、集中式饮用水源地及原始天然林、候鸟迁徙通道、保护鸟类重要生境等环境敏感区</w:t>
            </w:r>
            <w:r>
              <w:rPr>
                <w:rFonts w:hint="default" w:ascii="Times New Roman" w:hAnsi="Times New Roman" w:cs="Times New Roman"/>
                <w:color w:val="auto"/>
                <w:kern w:val="0"/>
                <w:sz w:val="24"/>
                <w:szCs w:val="24"/>
                <w:lang w:val="en-US" w:eastAsia="zh-CN"/>
              </w:rPr>
              <w:t>，</w:t>
            </w:r>
            <w:r>
              <w:rPr>
                <w:rFonts w:hint="eastAsia" w:cs="Times New Roman"/>
                <w:color w:val="auto"/>
                <w:kern w:val="0"/>
                <w:sz w:val="24"/>
                <w:szCs w:val="24"/>
                <w:lang w:val="en-US" w:eastAsia="zh-CN"/>
              </w:rPr>
              <w:t>不占用</w:t>
            </w:r>
            <w:r>
              <w:rPr>
                <w:rFonts w:hint="default" w:ascii="Times New Roman" w:hAnsi="Times New Roman" w:cs="Times New Roman"/>
                <w:color w:val="auto"/>
                <w:kern w:val="0"/>
                <w:sz w:val="24"/>
                <w:szCs w:val="24"/>
                <w:lang w:val="en-US" w:eastAsia="zh-CN"/>
              </w:rPr>
              <w:t>生态保护红线</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项目符合要求。</w:t>
            </w:r>
          </w:p>
          <w:p w14:paraId="0E15B54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（2）重视项目区生态环境现状调查</w:t>
            </w:r>
          </w:p>
          <w:p w14:paraId="08B4F5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开展规划项目土地利用和植被植物影响的详细调查，邀请植物专家调查建设区是否存在极小种群、重点保护野生植物以及特殊（珍稀）植物群落等，并需特别关注环境敏感区域的调查，在项目环评中给予足够的重视。</w:t>
            </w:r>
          </w:p>
          <w:p w14:paraId="0240088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highlight w:val="none"/>
                <w:lang w:val="en-US" w:eastAsia="zh-CN"/>
              </w:rPr>
              <w:t>在本次环评过程中，已委托专业技术人员对项目生态影响区生态环境进行了详细的调查</w:t>
            </w:r>
            <w:r>
              <w:rPr>
                <w:rFonts w:hint="eastAsia" w:hAnsi="宋体"/>
                <w:color w:val="auto"/>
                <w:sz w:val="24"/>
                <w:szCs w:val="24"/>
                <w:lang w:val="en-US" w:eastAsia="zh-CN"/>
              </w:rPr>
              <w:t>，项目区不</w:t>
            </w:r>
            <w:r>
              <w:rPr>
                <w:rFonts w:hint="default" w:ascii="Times New Roman" w:hAnsi="Times New Roman" w:cs="Times New Roman"/>
                <w:color w:val="auto"/>
                <w:kern w:val="0"/>
                <w:sz w:val="24"/>
                <w:lang w:val="en-US" w:eastAsia="zh-CN"/>
              </w:rPr>
              <w:t>存在极小种群以及特殊（珍稀）植物群落等</w:t>
            </w:r>
            <w:r>
              <w:rPr>
                <w:rFonts w:hint="eastAsia" w:cs="Times New Roman"/>
                <w:color w:val="auto"/>
                <w:kern w:val="0"/>
                <w:sz w:val="24"/>
                <w:lang w:val="en-US" w:eastAsia="zh-CN"/>
              </w:rPr>
              <w:t>，因此</w:t>
            </w:r>
            <w:r>
              <w:rPr>
                <w:rFonts w:hint="default" w:ascii="Times New Roman" w:hAnsi="Times New Roman" w:cs="Times New Roman"/>
                <w:color w:val="auto"/>
                <w:kern w:val="0"/>
                <w:sz w:val="24"/>
                <w:szCs w:val="24"/>
                <w:lang w:val="en-US" w:eastAsia="zh-CN"/>
              </w:rPr>
              <w:t>项目符合要求</w:t>
            </w:r>
            <w:r>
              <w:rPr>
                <w:rFonts w:hint="eastAsia" w:ascii="Times New Roman" w:hAnsi="宋体" w:eastAsia="宋体"/>
                <w:color w:val="auto"/>
                <w:sz w:val="24"/>
                <w:szCs w:val="24"/>
                <w:lang w:val="en-US" w:eastAsia="zh-CN"/>
              </w:rPr>
              <w:t>。</w:t>
            </w:r>
          </w:p>
        </w:tc>
      </w:tr>
      <w:tr w14:paraId="54567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4E62110E">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color w:val="auto"/>
                <w:kern w:val="0"/>
                <w:sz w:val="24"/>
                <w:highlight w:val="none"/>
                <w:shd w:val="clear" w:color="auto" w:fill="auto"/>
              </w:rPr>
            </w:pPr>
            <w:bookmarkStart w:id="2" w:name="_Hlk56690880"/>
            <w:r>
              <w:rPr>
                <w:rFonts w:hint="default"/>
                <w:color w:val="auto"/>
                <w:kern w:val="0"/>
                <w:sz w:val="24"/>
                <w:highlight w:val="none"/>
                <w:shd w:val="clear" w:color="auto" w:fill="auto"/>
              </w:rPr>
              <w:t>其他符合性分析</w:t>
            </w:r>
          </w:p>
        </w:tc>
        <w:tc>
          <w:tcPr>
            <w:tcW w:w="4133" w:type="pct"/>
            <w:gridSpan w:val="3"/>
            <w:tcMar>
              <w:top w:w="16" w:type="dxa"/>
              <w:left w:w="16" w:type="dxa"/>
              <w:right w:w="16" w:type="dxa"/>
            </w:tcMar>
            <w:vAlign w:val="center"/>
          </w:tcPr>
          <w:p w14:paraId="1863B9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1、与产业政策符合性分析</w:t>
            </w:r>
          </w:p>
          <w:p w14:paraId="679CE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根据国家发展和改革委员会《产业结构调整指导目录（2024年本）》，该项目属于鼓励</w:t>
            </w:r>
            <w:r>
              <w:rPr>
                <w:rFonts w:hint="eastAsia" w:ascii="宋体" w:hAnsi="宋体" w:eastAsia="宋体" w:cs="宋体"/>
                <w:color w:val="auto"/>
                <w:sz w:val="24"/>
                <w:szCs w:val="24"/>
              </w:rPr>
              <w:t>类中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第五项，新能源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w:t>
            </w:r>
            <w:r>
              <w:rPr>
                <w:rFonts w:hint="default" w:ascii="Times New Roman" w:hAnsi="Times New Roman" w:eastAsia="宋体" w:cs="Times New Roman"/>
                <w:color w:val="auto"/>
                <w:sz w:val="24"/>
                <w:szCs w:val="24"/>
              </w:rPr>
              <w:t>第</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条</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可再生能源利用技术与应用：太阳能热发电集热系统、高效率低成本太阳能光伏发电技术研发与产业化、系统集成技术开发应用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属于《西部地区鼓励类产业目录》（2020年）中云南地区鼓励类产业。项目于</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rPr>
              <w:t>经</w:t>
            </w:r>
            <w:r>
              <w:rPr>
                <w:rFonts w:hint="default" w:ascii="Times New Roman" w:hAnsi="Times New Roman" w:eastAsia="宋体" w:cs="Times New Roman"/>
                <w:color w:val="auto"/>
                <w:sz w:val="24"/>
                <w:szCs w:val="24"/>
                <w:lang w:val="en-US" w:eastAsia="zh-CN"/>
              </w:rPr>
              <w:t>寻甸回族彝族自治县发展和改革局</w:t>
            </w:r>
            <w:r>
              <w:rPr>
                <w:rFonts w:hint="default" w:ascii="Times New Roman" w:hAnsi="Times New Roman" w:eastAsia="宋体" w:cs="Times New Roman"/>
                <w:color w:val="auto"/>
                <w:sz w:val="24"/>
                <w:szCs w:val="24"/>
              </w:rPr>
              <w:t>批准登记备案，登记备案号：</w:t>
            </w:r>
            <w:r>
              <w:rPr>
                <w:rFonts w:hint="eastAsia"/>
                <w:color w:val="auto"/>
                <w:sz w:val="24"/>
                <w:szCs w:val="24"/>
                <w:highlight w:val="none"/>
                <w:shd w:val="clear" w:color="auto" w:fill="auto"/>
                <w:lang w:val="en-US" w:eastAsia="zh-CN"/>
              </w:rPr>
              <w:t>2309-530129-04-05-555661</w:t>
            </w:r>
            <w:r>
              <w:rPr>
                <w:rFonts w:hint="default" w:ascii="Times New Roman" w:hAnsi="Times New Roman" w:eastAsia="宋体" w:cs="Times New Roman"/>
                <w:color w:val="auto"/>
                <w:sz w:val="24"/>
                <w:szCs w:val="24"/>
              </w:rPr>
              <w:t>。因此，该项目符合国家产业政策</w:t>
            </w:r>
            <w:r>
              <w:rPr>
                <w:rFonts w:hint="eastAsia" w:ascii="Times New Roman" w:hAnsi="Times New Roman" w:eastAsia="宋体" w:cs="Times New Roman"/>
                <w:color w:val="auto"/>
                <w:sz w:val="24"/>
                <w:szCs w:val="24"/>
                <w:lang w:eastAsia="zh-CN"/>
              </w:rPr>
              <w:t>。</w:t>
            </w:r>
          </w:p>
          <w:p w14:paraId="15831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与</w:t>
            </w:r>
            <w:r>
              <w:rPr>
                <w:rFonts w:hint="eastAsia" w:cs="Times New Roman"/>
                <w:b/>
                <w:bCs/>
                <w:color w:val="auto"/>
                <w:sz w:val="24"/>
                <w:szCs w:val="24"/>
                <w:lang w:val="en-US" w:eastAsia="zh-CN"/>
              </w:rPr>
              <w:t>昆明市“三线一单”</w:t>
            </w:r>
            <w:r>
              <w:rPr>
                <w:rFonts w:hint="default" w:ascii="Times New Roman" w:hAnsi="Times New Roman" w:eastAsia="宋体" w:cs="Times New Roman"/>
                <w:b/>
                <w:bCs/>
                <w:color w:val="auto"/>
                <w:sz w:val="24"/>
                <w:szCs w:val="24"/>
                <w:lang w:val="en-US" w:eastAsia="zh-CN"/>
              </w:rPr>
              <w:t>的符合性分析</w:t>
            </w:r>
          </w:p>
          <w:p w14:paraId="560913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sz w:val="24"/>
                <w:lang w:val="en-US" w:eastAsia="zh-CN"/>
              </w:rPr>
              <w:t>昆明市生态环境局</w:t>
            </w:r>
            <w:r>
              <w:rPr>
                <w:rFonts w:hint="eastAsia" w:ascii="Times New Roman" w:hAnsi="Times New Roman" w:eastAsia="宋体" w:cs="Times New Roman"/>
                <w:color w:val="auto"/>
                <w:sz w:val="24"/>
                <w:lang w:val="en-US" w:eastAsia="zh-CN"/>
              </w:rPr>
              <w:t>于</w:t>
            </w:r>
            <w:r>
              <w:rPr>
                <w:rFonts w:hint="eastAsia" w:ascii="Times New Roman" w:hAnsi="Times New Roman" w:cs="Times New Roman"/>
                <w:color w:val="auto"/>
                <w:sz w:val="24"/>
                <w:lang w:val="en-US" w:eastAsia="zh-CN"/>
              </w:rPr>
              <w:t>2024</w:t>
            </w:r>
            <w:r>
              <w:rPr>
                <w:rFonts w:hint="eastAsia" w:ascii="Times New Roman" w:hAnsi="Times New Roman" w:eastAsia="宋体" w:cs="Times New Roman"/>
                <w:color w:val="auto"/>
                <w:sz w:val="24"/>
                <w:lang w:val="en-US" w:eastAsia="zh-CN"/>
              </w:rPr>
              <w:t>年</w:t>
            </w:r>
            <w:r>
              <w:rPr>
                <w:rFonts w:hint="eastAsia" w:ascii="Times New Roman" w:hAnsi="Times New Roman" w:cs="Times New Roman"/>
                <w:color w:val="auto"/>
                <w:sz w:val="24"/>
                <w:lang w:val="en-US" w:eastAsia="zh-CN"/>
              </w:rPr>
              <w:t>7</w:t>
            </w:r>
            <w:r>
              <w:rPr>
                <w:rFonts w:hint="eastAsia" w:ascii="Times New Roman" w:hAnsi="Times New Roman" w:eastAsia="宋体" w:cs="Times New Roman"/>
                <w:color w:val="auto"/>
                <w:sz w:val="24"/>
                <w:lang w:val="en-US" w:eastAsia="zh-CN"/>
              </w:rPr>
              <w:t>月</w:t>
            </w:r>
            <w:r>
              <w:rPr>
                <w:rFonts w:hint="eastAsia" w:ascii="Times New Roman" w:hAnsi="Times New Roman" w:cs="Times New Roman"/>
                <w:color w:val="auto"/>
                <w:sz w:val="24"/>
                <w:lang w:val="en-US" w:eastAsia="zh-CN"/>
              </w:rPr>
              <w:t>11</w:t>
            </w:r>
            <w:r>
              <w:rPr>
                <w:rFonts w:hint="eastAsia" w:ascii="Times New Roman" w:hAnsi="Times New Roman" w:eastAsia="宋体" w:cs="Times New Roman"/>
                <w:color w:val="auto"/>
                <w:sz w:val="24"/>
                <w:lang w:val="en-US" w:eastAsia="zh-CN"/>
              </w:rPr>
              <w:t>日发布了《昆明市生态环境分区管控动态更新方案（征求意见稿）》，</w:t>
            </w:r>
            <w:r>
              <w:rPr>
                <w:rFonts w:hint="eastAsia" w:ascii="Times New Roman" w:hAnsi="Times New Roman" w:eastAsia="宋体" w:cs="Times New Roman"/>
                <w:color w:val="auto"/>
                <w:kern w:val="0"/>
                <w:sz w:val="24"/>
                <w:szCs w:val="24"/>
                <w:lang w:val="en-US" w:eastAsia="zh-CN" w:bidi="ar"/>
              </w:rPr>
              <w:t>本次动态更新后，昆明市环境管控单元由129个调整为132个，其中优先保护单元42个保持不变，面积调整为9396.83平方公里（占全市国土面积44.72%），增加的面积主要为新划定的各级水源保护区；重点管控单元由73个调整为76个，面积调整为4005.31平方公里（占全市国土面积19.06%），面积调整原因主要是全市城镇开发边界及各产业园区面积调整；一般管控单元14个保持不变，面积调整为7611.35平方公里（占全市国土面积36.22%）。</w:t>
            </w:r>
          </w:p>
          <w:p w14:paraId="218D4123">
            <w:pPr>
              <w:keepNext w:val="0"/>
              <w:keepLines w:val="0"/>
              <w:suppressLineNumbers w:val="0"/>
              <w:snapToGrid w:val="0"/>
              <w:spacing w:before="0" w:beforeAutospacing="0" w:after="0" w:afterAutospacing="0" w:line="360" w:lineRule="auto"/>
              <w:ind w:left="0" w:right="0" w:firstLine="567"/>
              <w:rPr>
                <w:rFonts w:hint="default"/>
                <w:color w:val="auto"/>
                <w:sz w:val="24"/>
                <w:highlight w:val="none"/>
              </w:rPr>
            </w:pPr>
            <w:r>
              <w:rPr>
                <w:rFonts w:hint="default"/>
                <w:b/>
                <w:bCs/>
                <w:color w:val="auto"/>
                <w:sz w:val="24"/>
                <w:highlight w:val="none"/>
              </w:rPr>
              <w:t>①生态保护红线及一般生态空间更新结果</w:t>
            </w:r>
          </w:p>
          <w:p w14:paraId="75AF7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lang w:val="en-US" w:eastAsia="zh-CN"/>
              </w:rPr>
            </w:pPr>
            <w:r>
              <w:rPr>
                <w:rFonts w:hint="default"/>
                <w:color w:val="auto"/>
                <w:sz w:val="24"/>
                <w:highlight w:val="none"/>
                <w:lang w:val="zh-CN"/>
              </w:rPr>
              <w:t>更新后，生态保护红线全面与《昆明市国土空间总体规划（2021-2035年）》衔接，全市生态保护红线面积4274.70平方公里，占全市国土面积的20.34%，较原有面积占比减少1.85%。全市一般生态空间面积5151.56km</w:t>
            </w:r>
            <w:r>
              <w:rPr>
                <w:rFonts w:hint="default"/>
                <w:color w:val="auto"/>
                <w:sz w:val="24"/>
                <w:highlight w:val="none"/>
                <w:vertAlign w:val="superscript"/>
                <w:lang w:val="zh-CN"/>
              </w:rPr>
              <w:t>2</w:t>
            </w:r>
            <w:r>
              <w:rPr>
                <w:rFonts w:hint="default"/>
                <w:color w:val="auto"/>
                <w:sz w:val="24"/>
                <w:highlight w:val="none"/>
                <w:lang w:val="zh-CN"/>
              </w:rPr>
              <w:t>，占国土空间面积的24.37%，较原有面积占比增加2.45%。</w:t>
            </w:r>
          </w:p>
          <w:p w14:paraId="366D95CB">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eastAsia="宋体" w:cs="Times New Roman"/>
                <w:caps w:val="0"/>
                <w:color w:val="auto"/>
                <w:sz w:val="24"/>
                <w:szCs w:val="24"/>
                <w:highlight w:val="none"/>
                <w:lang w:val="en-US" w:eastAsia="zh-CN"/>
              </w:rPr>
            </w:pPr>
            <w:r>
              <w:rPr>
                <w:rFonts w:hint="default"/>
                <w:color w:val="auto"/>
                <w:sz w:val="24"/>
                <w:highlight w:val="none"/>
              </w:rPr>
              <w:t>根据</w:t>
            </w:r>
            <w:r>
              <w:rPr>
                <w:rFonts w:hint="eastAsia"/>
                <w:color w:val="auto"/>
                <w:sz w:val="24"/>
                <w:highlight w:val="none"/>
              </w:rPr>
              <w:t>寻甸回族彝族自治</w:t>
            </w:r>
            <w:r>
              <w:rPr>
                <w:rFonts w:hint="default"/>
                <w:color w:val="auto"/>
                <w:sz w:val="24"/>
                <w:highlight w:val="none"/>
              </w:rPr>
              <w:t>县自然资源局202</w:t>
            </w:r>
            <w:r>
              <w:rPr>
                <w:rFonts w:hint="eastAsia"/>
                <w:color w:val="auto"/>
                <w:sz w:val="24"/>
                <w:highlight w:val="none"/>
                <w:lang w:val="en-US" w:eastAsia="zh-CN"/>
              </w:rPr>
              <w:t>4</w:t>
            </w:r>
            <w:r>
              <w:rPr>
                <w:rFonts w:hint="default"/>
                <w:color w:val="auto"/>
                <w:sz w:val="24"/>
                <w:highlight w:val="none"/>
              </w:rPr>
              <w:t>年</w:t>
            </w:r>
            <w:r>
              <w:rPr>
                <w:rFonts w:hint="eastAsia"/>
                <w:color w:val="auto"/>
                <w:sz w:val="24"/>
                <w:highlight w:val="none"/>
                <w:lang w:val="en-US" w:eastAsia="zh-CN"/>
              </w:rPr>
              <w:t>9</w:t>
            </w:r>
            <w:r>
              <w:rPr>
                <w:rFonts w:hint="default"/>
                <w:color w:val="auto"/>
                <w:sz w:val="24"/>
                <w:highlight w:val="none"/>
              </w:rPr>
              <w:t>月2</w:t>
            </w:r>
            <w:r>
              <w:rPr>
                <w:rFonts w:hint="eastAsia"/>
                <w:color w:val="auto"/>
                <w:sz w:val="24"/>
                <w:highlight w:val="none"/>
                <w:lang w:val="en-US" w:eastAsia="zh-CN"/>
              </w:rPr>
              <w:t>7</w:t>
            </w:r>
            <w:r>
              <w:rPr>
                <w:rFonts w:hint="default"/>
                <w:color w:val="auto"/>
                <w:sz w:val="24"/>
                <w:highlight w:val="none"/>
              </w:rPr>
              <w:t>日出具的关于寻甸白石岩、石崖、梳山、竹园沟光伏发电项目用地范围是否涉及生态保护红线及城镇开发边界的情况说明，项目用地范围未与寻甸县生态保护红线重叠。</w:t>
            </w:r>
          </w:p>
          <w:p w14:paraId="5ECB45BB">
            <w:pPr>
              <w:keepNext w:val="0"/>
              <w:keepLines w:val="0"/>
              <w:suppressLineNumbers w:val="0"/>
              <w:snapToGrid w:val="0"/>
              <w:spacing w:before="0" w:beforeAutospacing="0" w:after="0" w:afterAutospacing="0" w:line="360" w:lineRule="auto"/>
              <w:ind w:left="0" w:right="0" w:firstLine="567"/>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②环境质量底线及资源利用上线更新结果</w:t>
            </w:r>
          </w:p>
          <w:p w14:paraId="46622509">
            <w:pPr>
              <w:keepNext w:val="0"/>
              <w:keepLines w:val="0"/>
              <w:suppressLineNumbers w:val="0"/>
              <w:snapToGrid w:val="0"/>
              <w:spacing w:before="0" w:beforeAutospacing="0" w:after="0" w:afterAutospacing="0" w:line="360" w:lineRule="auto"/>
              <w:ind w:left="0" w:right="0" w:firstLine="567"/>
              <w:rPr>
                <w:rFonts w:hint="default"/>
                <w:color w:val="auto"/>
                <w:sz w:val="24"/>
                <w:highlight w:val="none"/>
              </w:rPr>
            </w:pPr>
            <w:r>
              <w:rPr>
                <w:rFonts w:hint="default"/>
                <w:color w:val="auto"/>
                <w:sz w:val="24"/>
                <w:highlight w:val="none"/>
              </w:rPr>
              <w:t>到2025年，地表水国考断面达到或优于Ⅲ类的比例81.5%，45个省控地表水断面水质优良（达到或优于Ⅲ类）比例达到80%，劣</w:t>
            </w:r>
            <w:r>
              <w:rPr>
                <w:rFonts w:hint="default"/>
                <w:color w:val="auto"/>
                <w:sz w:val="24"/>
                <w:highlight w:val="none"/>
              </w:rPr>
              <w:fldChar w:fldCharType="begin"/>
            </w:r>
            <w:r>
              <w:rPr>
                <w:rFonts w:hint="default"/>
                <w:color w:val="auto"/>
                <w:sz w:val="24"/>
                <w:highlight w:val="none"/>
              </w:rPr>
              <w:instrText xml:space="preserve"> = 5 \* ROMAN </w:instrText>
            </w:r>
            <w:r>
              <w:rPr>
                <w:rFonts w:hint="default"/>
                <w:color w:val="auto"/>
                <w:sz w:val="24"/>
                <w:highlight w:val="none"/>
              </w:rPr>
              <w:fldChar w:fldCharType="separate"/>
            </w:r>
            <w:r>
              <w:rPr>
                <w:rFonts w:hint="default"/>
                <w:color w:val="auto"/>
                <w:sz w:val="24"/>
                <w:highlight w:val="none"/>
              </w:rPr>
              <w:t>V</w:t>
            </w:r>
            <w:r>
              <w:rPr>
                <w:rFonts w:hint="default"/>
                <w:color w:val="auto"/>
                <w:sz w:val="24"/>
                <w:highlight w:val="none"/>
              </w:rPr>
              <w:fldChar w:fldCharType="end"/>
            </w:r>
            <w:r>
              <w:rPr>
                <w:rFonts w:hint="default"/>
                <w:color w:val="auto"/>
                <w:sz w:val="24"/>
                <w:highlight w:val="none"/>
              </w:rPr>
              <w:t>类水体全面消除，县级以上22个集中式饮用水水源达到或优于Ⅲ类比例为100%；空气质量优良天数比率达99.1%，细颗粒物（PM</w:t>
            </w:r>
            <w:r>
              <w:rPr>
                <w:rFonts w:hint="default"/>
                <w:color w:val="auto"/>
                <w:sz w:val="24"/>
                <w:highlight w:val="none"/>
                <w:vertAlign w:val="subscript"/>
              </w:rPr>
              <w:t>2.5</w:t>
            </w:r>
            <w:r>
              <w:rPr>
                <w:rFonts w:hint="default"/>
                <w:color w:val="auto"/>
                <w:sz w:val="24"/>
                <w:highlight w:val="none"/>
              </w:rPr>
              <w:t>）浓度不高于24微克/立方米，重污染天数为0；全市土壤环境质量总体保持稳定，局部稳中向好，受污染耕地安全利用率不低于90%，重点建设用地安全利用得到有效保障。</w:t>
            </w:r>
          </w:p>
          <w:p w14:paraId="655A8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color w:val="auto"/>
                <w:sz w:val="24"/>
                <w:highlight w:val="none"/>
              </w:rPr>
              <w:t>到2025年，按照国家、省、市有关要求和规划，按时完成全市用水总量、用水效率、限制纳污</w:t>
            </w:r>
            <w:r>
              <w:rPr>
                <w:rFonts w:hint="eastAsia" w:ascii="宋体" w:hAnsi="宋体" w:eastAsia="宋体" w:cs="宋体"/>
                <w:color w:val="auto"/>
                <w:sz w:val="24"/>
                <w:highlight w:val="none"/>
              </w:rPr>
              <w:t>“三条红线”水资</w:t>
            </w:r>
            <w:r>
              <w:rPr>
                <w:rFonts w:hint="default"/>
                <w:color w:val="auto"/>
                <w:sz w:val="24"/>
                <w:highlight w:val="none"/>
              </w:rPr>
              <w:t>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p w14:paraId="7F0B801B">
            <w:pPr>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本工程情况：</w:t>
            </w:r>
          </w:p>
          <w:p w14:paraId="6B9B8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bCs/>
                <w:caps w:val="0"/>
                <w:color w:val="auto"/>
                <w:sz w:val="24"/>
                <w:szCs w:val="24"/>
                <w:highlight w:val="none"/>
                <w:lang w:eastAsia="zh-CN"/>
              </w:rPr>
            </w:pPr>
            <w:r>
              <w:rPr>
                <w:rFonts w:hint="default" w:ascii="Times New Roman" w:hAnsi="Times New Roman" w:eastAsia="宋体" w:cs="Times New Roman"/>
                <w:caps w:val="0"/>
                <w:color w:val="auto"/>
                <w:sz w:val="24"/>
                <w:lang w:eastAsia="zh-CN"/>
              </w:rPr>
              <w:t>项目所在区域环境质量要求及现状情况如下表所示：</w:t>
            </w:r>
          </w:p>
          <w:p w14:paraId="6EFE4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2" w:firstLineChars="200"/>
              <w:jc w:val="center"/>
              <w:textAlignment w:val="auto"/>
              <w:rPr>
                <w:rFonts w:hint="default" w:ascii="Times New Roman" w:hAnsi="Times New Roman" w:eastAsia="宋体" w:cs="Times New Roman"/>
                <w:b/>
                <w:bCs/>
                <w:caps w:val="0"/>
                <w:color w:val="auto"/>
                <w:sz w:val="24"/>
                <w:szCs w:val="24"/>
                <w:highlight w:val="none"/>
                <w:lang w:eastAsia="zh-CN"/>
              </w:rPr>
            </w:pPr>
            <w:r>
              <w:rPr>
                <w:rFonts w:hint="default" w:ascii="Times New Roman" w:hAnsi="Times New Roman" w:eastAsia="宋体" w:cs="Times New Roman"/>
                <w:b/>
                <w:bCs/>
                <w:caps w:val="0"/>
                <w:color w:val="auto"/>
                <w:sz w:val="21"/>
                <w:szCs w:val="21"/>
                <w:highlight w:val="none"/>
                <w:lang w:eastAsia="zh-CN"/>
              </w:rPr>
              <w:t>表</w:t>
            </w:r>
            <w:r>
              <w:rPr>
                <w:rFonts w:hint="default" w:ascii="Times New Roman" w:hAnsi="Times New Roman" w:eastAsia="宋体" w:cs="Times New Roman"/>
                <w:b/>
                <w:bCs/>
                <w:caps w:val="0"/>
                <w:color w:val="auto"/>
                <w:sz w:val="21"/>
                <w:szCs w:val="21"/>
                <w:highlight w:val="none"/>
                <w:lang w:val="en-US" w:eastAsia="zh-CN"/>
              </w:rPr>
              <w:t>1-</w:t>
            </w:r>
            <w:r>
              <w:rPr>
                <w:rFonts w:hint="eastAsia" w:cs="Times New Roman"/>
                <w:b/>
                <w:bCs/>
                <w:caps w:val="0"/>
                <w:color w:val="auto"/>
                <w:sz w:val="21"/>
                <w:szCs w:val="21"/>
                <w:highlight w:val="none"/>
                <w:lang w:val="en-US" w:eastAsia="zh-CN"/>
              </w:rPr>
              <w:t>3</w:t>
            </w:r>
            <w:r>
              <w:rPr>
                <w:rFonts w:hint="default" w:ascii="Times New Roman" w:hAnsi="Times New Roman" w:eastAsia="宋体" w:cs="Times New Roman"/>
                <w:b/>
                <w:bCs/>
                <w:caps w:val="0"/>
                <w:color w:val="auto"/>
                <w:sz w:val="21"/>
                <w:szCs w:val="21"/>
                <w:highlight w:val="none"/>
                <w:lang w:val="en-US" w:eastAsia="zh-CN"/>
              </w:rPr>
              <w:t xml:space="preserve">  </w:t>
            </w:r>
            <w:r>
              <w:rPr>
                <w:rFonts w:hint="default" w:ascii="Times New Roman" w:hAnsi="Times New Roman" w:eastAsia="宋体" w:cs="Times New Roman"/>
                <w:b/>
                <w:bCs/>
                <w:caps w:val="0"/>
                <w:color w:val="auto"/>
                <w:sz w:val="21"/>
                <w:szCs w:val="21"/>
                <w:highlight w:val="none"/>
                <w:lang w:eastAsia="zh-CN"/>
              </w:rPr>
              <w:t>项目所在区域环境质量要求及现状情况</w:t>
            </w:r>
          </w:p>
          <w:tbl>
            <w:tblPr>
              <w:tblStyle w:val="43"/>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757"/>
              <w:gridCol w:w="1888"/>
              <w:gridCol w:w="2923"/>
            </w:tblGrid>
            <w:tr w14:paraId="1C91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pct"/>
                  <w:shd w:val="clear" w:color="auto" w:fill="A4A4A4"/>
                  <w:noWrap w:val="0"/>
                  <w:vAlign w:val="center"/>
                </w:tcPr>
                <w:p w14:paraId="65E77440">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3" w:name="_Toc19610"/>
                  <w:r>
                    <w:rPr>
                      <w:rFonts w:hint="default" w:ascii="Times New Roman" w:hAnsi="Times New Roman" w:eastAsia="宋体" w:cs="Times New Roman"/>
                      <w:b/>
                      <w:bCs/>
                      <w:caps w:val="0"/>
                      <w:color w:val="auto"/>
                      <w:sz w:val="21"/>
                      <w:szCs w:val="21"/>
                      <w:highlight w:val="none"/>
                      <w:vertAlign w:val="baseline"/>
                      <w:lang w:val="en-US" w:eastAsia="zh-CN"/>
                    </w:rPr>
                    <w:t>要素</w:t>
                  </w:r>
                  <w:bookmarkEnd w:id="3"/>
                </w:p>
              </w:tc>
              <w:tc>
                <w:tcPr>
                  <w:tcW w:w="1215" w:type="pct"/>
                  <w:shd w:val="clear" w:color="auto" w:fill="A4A4A4"/>
                  <w:noWrap w:val="0"/>
                  <w:vAlign w:val="center"/>
                </w:tcPr>
                <w:p w14:paraId="27B864D2">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4" w:name="_Toc14202"/>
                  <w:r>
                    <w:rPr>
                      <w:rFonts w:hint="default" w:ascii="Times New Roman" w:hAnsi="Times New Roman" w:eastAsia="宋体" w:cs="Times New Roman"/>
                      <w:b/>
                      <w:bCs/>
                      <w:caps w:val="0"/>
                      <w:color w:val="auto"/>
                      <w:sz w:val="21"/>
                      <w:szCs w:val="21"/>
                      <w:highlight w:val="none"/>
                      <w:vertAlign w:val="baseline"/>
                      <w:lang w:val="en-US" w:eastAsia="zh-CN"/>
                    </w:rPr>
                    <w:t>功能区划</w:t>
                  </w:r>
                  <w:bookmarkEnd w:id="4"/>
                </w:p>
              </w:tc>
              <w:tc>
                <w:tcPr>
                  <w:tcW w:w="1306" w:type="pct"/>
                  <w:shd w:val="clear" w:color="auto" w:fill="A4A4A4"/>
                  <w:noWrap w:val="0"/>
                  <w:vAlign w:val="center"/>
                </w:tcPr>
                <w:p w14:paraId="5900F48F">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5" w:name="_Toc28513"/>
                  <w:r>
                    <w:rPr>
                      <w:rFonts w:hint="default" w:ascii="Times New Roman" w:hAnsi="Times New Roman" w:eastAsia="宋体" w:cs="Times New Roman"/>
                      <w:b/>
                      <w:bCs/>
                      <w:caps w:val="0"/>
                      <w:color w:val="auto"/>
                      <w:sz w:val="21"/>
                      <w:szCs w:val="21"/>
                      <w:highlight w:val="none"/>
                      <w:vertAlign w:val="baseline"/>
                      <w:lang w:val="en-US" w:eastAsia="zh-CN"/>
                    </w:rPr>
                    <w:t>现状</w:t>
                  </w:r>
                  <w:bookmarkEnd w:id="5"/>
                </w:p>
              </w:tc>
              <w:tc>
                <w:tcPr>
                  <w:tcW w:w="2021" w:type="pct"/>
                  <w:shd w:val="clear" w:color="auto" w:fill="A4A4A4"/>
                  <w:noWrap w:val="0"/>
                  <w:vAlign w:val="center"/>
                </w:tcPr>
                <w:p w14:paraId="3FA8E342">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aps w:val="0"/>
                      <w:color w:val="auto"/>
                      <w:sz w:val="21"/>
                      <w:szCs w:val="21"/>
                      <w:highlight w:val="none"/>
                      <w:vertAlign w:val="baseline"/>
                      <w:lang w:val="en-US" w:eastAsia="zh-CN"/>
                    </w:rPr>
                  </w:pPr>
                  <w:bookmarkStart w:id="6" w:name="_Toc3523"/>
                  <w:r>
                    <w:rPr>
                      <w:rFonts w:hint="default" w:ascii="Times New Roman" w:hAnsi="Times New Roman" w:eastAsia="宋体" w:cs="Times New Roman"/>
                      <w:b/>
                      <w:bCs/>
                      <w:caps w:val="0"/>
                      <w:color w:val="auto"/>
                      <w:sz w:val="21"/>
                      <w:szCs w:val="21"/>
                      <w:highlight w:val="none"/>
                      <w:vertAlign w:val="baseline"/>
                      <w:lang w:val="en-US" w:eastAsia="zh-CN"/>
                    </w:rPr>
                    <w:t>数据来源</w:t>
                  </w:r>
                  <w:bookmarkEnd w:id="6"/>
                </w:p>
              </w:tc>
            </w:tr>
            <w:tr w14:paraId="411E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pct"/>
                  <w:noWrap w:val="0"/>
                  <w:vAlign w:val="center"/>
                </w:tcPr>
                <w:p w14:paraId="6AFE3197">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aps w:val="0"/>
                      <w:color w:val="auto"/>
                      <w:sz w:val="21"/>
                      <w:szCs w:val="21"/>
                      <w:highlight w:val="none"/>
                      <w:vertAlign w:val="baseline"/>
                      <w:lang w:val="en-US" w:eastAsia="zh-CN"/>
                    </w:rPr>
                  </w:pPr>
                  <w:bookmarkStart w:id="7" w:name="_Toc4424"/>
                  <w:r>
                    <w:rPr>
                      <w:rFonts w:hint="default" w:ascii="Times New Roman" w:hAnsi="Times New Roman" w:eastAsia="宋体" w:cs="Times New Roman"/>
                      <w:b w:val="0"/>
                      <w:bCs w:val="0"/>
                      <w:caps w:val="0"/>
                      <w:color w:val="auto"/>
                      <w:sz w:val="21"/>
                      <w:szCs w:val="21"/>
                      <w:highlight w:val="none"/>
                      <w:vertAlign w:val="baseline"/>
                      <w:lang w:val="en-US" w:eastAsia="zh-CN"/>
                    </w:rPr>
                    <w:t>环境空气</w:t>
                  </w:r>
                  <w:bookmarkEnd w:id="7"/>
                </w:p>
              </w:tc>
              <w:tc>
                <w:tcPr>
                  <w:tcW w:w="1215" w:type="pct"/>
                  <w:noWrap w:val="0"/>
                  <w:vAlign w:val="center"/>
                </w:tcPr>
                <w:p w14:paraId="32CBF361">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8" w:name="_Toc6125"/>
                  <w:r>
                    <w:rPr>
                      <w:rFonts w:hint="default" w:ascii="Times New Roman" w:hAnsi="Times New Roman" w:eastAsia="宋体" w:cs="Times New Roman"/>
                      <w:b w:val="0"/>
                      <w:bCs w:val="0"/>
                      <w:caps w:val="0"/>
                      <w:color w:val="auto"/>
                      <w:sz w:val="21"/>
                      <w:szCs w:val="21"/>
                      <w:highlight w:val="none"/>
                      <w:vertAlign w:val="baseline"/>
                      <w:lang w:val="en-US" w:eastAsia="zh-CN"/>
                    </w:rPr>
                    <w:t>二类</w:t>
                  </w:r>
                  <w:bookmarkEnd w:id="8"/>
                </w:p>
              </w:tc>
              <w:tc>
                <w:tcPr>
                  <w:tcW w:w="1306" w:type="pct"/>
                  <w:noWrap w:val="0"/>
                  <w:vAlign w:val="center"/>
                </w:tcPr>
                <w:p w14:paraId="019B3B2E">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9" w:name="_Toc2259"/>
                  <w:r>
                    <w:rPr>
                      <w:rFonts w:hint="default" w:ascii="Times New Roman" w:hAnsi="Times New Roman" w:eastAsia="宋体" w:cs="Times New Roman"/>
                      <w:b w:val="0"/>
                      <w:bCs w:val="0"/>
                      <w:caps w:val="0"/>
                      <w:color w:val="auto"/>
                      <w:sz w:val="21"/>
                      <w:szCs w:val="21"/>
                      <w:highlight w:val="none"/>
                      <w:vertAlign w:val="baseline"/>
                      <w:lang w:val="en-US" w:eastAsia="zh-CN"/>
                    </w:rPr>
                    <w:t>二类</w:t>
                  </w:r>
                  <w:bookmarkEnd w:id="9"/>
                </w:p>
              </w:tc>
              <w:tc>
                <w:tcPr>
                  <w:tcW w:w="2021" w:type="pct"/>
                  <w:noWrap w:val="0"/>
                  <w:vAlign w:val="center"/>
                </w:tcPr>
                <w:p w14:paraId="5378F8C6">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10" w:name="_Toc15953"/>
                  <w:r>
                    <w:rPr>
                      <w:rFonts w:hint="default" w:ascii="Times New Roman" w:hAnsi="Times New Roman" w:eastAsia="宋体" w:cs="Times New Roman"/>
                      <w:b w:val="0"/>
                      <w:bCs w:val="0"/>
                      <w:caps w:val="0"/>
                      <w:color w:val="auto"/>
                      <w:sz w:val="21"/>
                      <w:szCs w:val="21"/>
                      <w:highlight w:val="none"/>
                    </w:rPr>
                    <w:t>20</w:t>
                  </w:r>
                  <w:r>
                    <w:rPr>
                      <w:rFonts w:hint="default" w:ascii="Times New Roman" w:hAnsi="Times New Roman" w:eastAsia="宋体" w:cs="Times New Roman"/>
                      <w:b w:val="0"/>
                      <w:bCs w:val="0"/>
                      <w:caps w:val="0"/>
                      <w:color w:val="auto"/>
                      <w:sz w:val="21"/>
                      <w:szCs w:val="21"/>
                      <w:highlight w:val="none"/>
                      <w:lang w:val="en-US" w:eastAsia="zh-CN"/>
                    </w:rPr>
                    <w:t>2</w:t>
                  </w:r>
                  <w:r>
                    <w:rPr>
                      <w:rFonts w:hint="eastAsia" w:ascii="Times New Roman" w:hAnsi="Times New Roman" w:eastAsia="宋体" w:cs="Times New Roman"/>
                      <w:b w:val="0"/>
                      <w:bCs w:val="0"/>
                      <w:caps w:val="0"/>
                      <w:color w:val="auto"/>
                      <w:sz w:val="21"/>
                      <w:szCs w:val="21"/>
                      <w:highlight w:val="none"/>
                      <w:lang w:val="en-US" w:eastAsia="zh-CN"/>
                    </w:rPr>
                    <w:t>3</w:t>
                  </w:r>
                  <w:r>
                    <w:rPr>
                      <w:rFonts w:hint="default" w:ascii="Times New Roman" w:hAnsi="Times New Roman" w:eastAsia="宋体" w:cs="Times New Roman"/>
                      <w:b w:val="0"/>
                      <w:bCs w:val="0"/>
                      <w:caps w:val="0"/>
                      <w:color w:val="auto"/>
                      <w:sz w:val="21"/>
                      <w:szCs w:val="21"/>
                      <w:highlight w:val="none"/>
                    </w:rPr>
                    <w:t>年度昆明</w:t>
                  </w:r>
                  <w:r>
                    <w:rPr>
                      <w:rFonts w:hint="default" w:ascii="Times New Roman" w:hAnsi="Times New Roman" w:eastAsia="宋体" w:cs="Times New Roman"/>
                      <w:b w:val="0"/>
                      <w:bCs w:val="0"/>
                      <w:caps w:val="0"/>
                      <w:color w:val="auto"/>
                      <w:sz w:val="21"/>
                      <w:szCs w:val="21"/>
                      <w:highlight w:val="none"/>
                      <w:lang w:val="en-US" w:eastAsia="zh-CN"/>
                    </w:rPr>
                    <w:t>市生态</w:t>
                  </w:r>
                  <w:r>
                    <w:rPr>
                      <w:rFonts w:hint="default" w:ascii="Times New Roman" w:hAnsi="Times New Roman" w:eastAsia="宋体" w:cs="Times New Roman"/>
                      <w:b w:val="0"/>
                      <w:bCs w:val="0"/>
                      <w:caps w:val="0"/>
                      <w:color w:val="auto"/>
                      <w:sz w:val="21"/>
                      <w:szCs w:val="21"/>
                      <w:highlight w:val="none"/>
                    </w:rPr>
                    <w:t>环境状况公报</w:t>
                  </w:r>
                  <w:bookmarkEnd w:id="10"/>
                </w:p>
              </w:tc>
            </w:tr>
            <w:tr w14:paraId="24FB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56" w:type="pct"/>
                  <w:noWrap w:val="0"/>
                  <w:vAlign w:val="center"/>
                </w:tcPr>
                <w:p w14:paraId="32A511A0">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11" w:name="_Toc316"/>
                  <w:r>
                    <w:rPr>
                      <w:rFonts w:hint="default" w:ascii="Times New Roman" w:hAnsi="Times New Roman" w:eastAsia="宋体" w:cs="Times New Roman"/>
                      <w:b w:val="0"/>
                      <w:bCs w:val="0"/>
                      <w:caps w:val="0"/>
                      <w:color w:val="auto"/>
                      <w:sz w:val="21"/>
                      <w:szCs w:val="21"/>
                      <w:highlight w:val="none"/>
                      <w:vertAlign w:val="baseline"/>
                      <w:lang w:val="en-US" w:eastAsia="zh-CN"/>
                    </w:rPr>
                    <w:t>地表水</w:t>
                  </w:r>
                  <w:bookmarkEnd w:id="11"/>
                </w:p>
              </w:tc>
              <w:tc>
                <w:tcPr>
                  <w:tcW w:w="1215" w:type="pct"/>
                  <w:noWrap w:val="0"/>
                  <w:vAlign w:val="center"/>
                </w:tcPr>
                <w:p w14:paraId="16550856">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12" w:name="_Toc23163"/>
                  <w:r>
                    <w:rPr>
                      <w:rFonts w:hint="eastAsia" w:ascii="Times New Roman" w:hAnsi="Times New Roman" w:eastAsia="宋体" w:cs="Times New Roman"/>
                      <w:b w:val="0"/>
                      <w:bCs w:val="0"/>
                      <w:caps w:val="0"/>
                      <w:color w:val="auto"/>
                      <w:sz w:val="21"/>
                      <w:szCs w:val="21"/>
                      <w:highlight w:val="none"/>
                      <w:vertAlign w:val="baseline"/>
                      <w:lang w:val="en-US" w:eastAsia="zh-CN"/>
                    </w:rPr>
                    <w:t>牛栏江</w:t>
                  </w:r>
                  <w:r>
                    <w:rPr>
                      <w:rFonts w:hint="default" w:ascii="Times New Roman" w:hAnsi="Times New Roman" w:eastAsia="宋体" w:cs="Times New Roman"/>
                      <w:b w:val="0"/>
                      <w:bCs w:val="0"/>
                      <w:caps w:val="0"/>
                      <w:color w:val="auto"/>
                      <w:sz w:val="21"/>
                      <w:szCs w:val="21"/>
                      <w:highlight w:val="none"/>
                      <w:vertAlign w:val="baseline"/>
                      <w:lang w:val="en-US" w:eastAsia="zh-CN"/>
                    </w:rPr>
                    <w:t>：</w:t>
                  </w:r>
                  <w:r>
                    <w:rPr>
                      <w:rFonts w:hint="eastAsia" w:ascii="Times New Roman" w:hAnsi="Times New Roman" w:eastAsia="宋体" w:cs="Times New Roman"/>
                      <w:b w:val="0"/>
                      <w:bCs w:val="0"/>
                      <w:caps w:val="0"/>
                      <w:color w:val="auto"/>
                      <w:sz w:val="21"/>
                      <w:szCs w:val="21"/>
                      <w:highlight w:val="none"/>
                      <w:vertAlign w:val="baseline"/>
                      <w:lang w:val="en-US" w:eastAsia="zh-CN"/>
                    </w:rPr>
                    <w:t>Ⅲ</w:t>
                  </w:r>
                  <w:r>
                    <w:rPr>
                      <w:rFonts w:hint="default" w:ascii="Times New Roman" w:hAnsi="Times New Roman" w:eastAsia="宋体" w:cs="Times New Roman"/>
                      <w:b w:val="0"/>
                      <w:bCs w:val="0"/>
                      <w:caps w:val="0"/>
                      <w:color w:val="auto"/>
                      <w:sz w:val="21"/>
                      <w:szCs w:val="21"/>
                      <w:highlight w:val="none"/>
                      <w:vertAlign w:val="baseline"/>
                      <w:lang w:val="en-US" w:eastAsia="zh-CN"/>
                    </w:rPr>
                    <w:t>类</w:t>
                  </w:r>
                  <w:bookmarkEnd w:id="12"/>
                </w:p>
                <w:p w14:paraId="3AC994E0">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r>
                    <w:rPr>
                      <w:rFonts w:hint="eastAsia" w:ascii="Times New Roman" w:hAnsi="Times New Roman" w:eastAsia="宋体" w:cs="Times New Roman"/>
                      <w:b w:val="0"/>
                      <w:bCs w:val="0"/>
                      <w:caps w:val="0"/>
                      <w:color w:val="auto"/>
                      <w:sz w:val="21"/>
                      <w:szCs w:val="21"/>
                      <w:highlight w:val="none"/>
                      <w:vertAlign w:val="baseline"/>
                      <w:lang w:val="en-US" w:eastAsia="zh-CN"/>
                    </w:rPr>
                    <w:t>化桃箐水库饮用水水源保护区</w:t>
                  </w:r>
                  <w:r>
                    <w:rPr>
                      <w:rFonts w:hint="default" w:ascii="Times New Roman" w:hAnsi="Times New Roman" w:eastAsia="宋体" w:cs="Times New Roman"/>
                      <w:b w:val="0"/>
                      <w:bCs w:val="0"/>
                      <w:caps w:val="0"/>
                      <w:color w:val="auto"/>
                      <w:sz w:val="21"/>
                      <w:szCs w:val="21"/>
                      <w:highlight w:val="none"/>
                      <w:vertAlign w:val="baseline"/>
                      <w:lang w:val="en-US" w:eastAsia="zh-CN"/>
                    </w:rPr>
                    <w:t>：</w:t>
                  </w:r>
                  <w:r>
                    <w:rPr>
                      <w:rFonts w:hint="eastAsia" w:ascii="Times New Roman" w:hAnsi="Times New Roman" w:eastAsia="宋体" w:cs="Times New Roman"/>
                      <w:b w:val="0"/>
                      <w:bCs w:val="0"/>
                      <w:caps w:val="0"/>
                      <w:color w:val="auto"/>
                      <w:sz w:val="21"/>
                      <w:szCs w:val="21"/>
                      <w:highlight w:val="none"/>
                      <w:vertAlign w:val="baseline"/>
                      <w:lang w:val="en-US" w:eastAsia="zh-CN"/>
                    </w:rPr>
                    <w:t>Ⅲ类</w:t>
                  </w:r>
                </w:p>
              </w:tc>
              <w:tc>
                <w:tcPr>
                  <w:tcW w:w="1306" w:type="pct"/>
                  <w:noWrap w:val="0"/>
                  <w:vAlign w:val="center"/>
                </w:tcPr>
                <w:p w14:paraId="695F81F8">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13" w:name="_Toc17453"/>
                  <w:r>
                    <w:rPr>
                      <w:rFonts w:hint="eastAsia" w:ascii="Times New Roman" w:hAnsi="Times New Roman" w:eastAsia="宋体" w:cs="Times New Roman"/>
                      <w:b w:val="0"/>
                      <w:bCs w:val="0"/>
                      <w:caps w:val="0"/>
                      <w:color w:val="auto"/>
                      <w:sz w:val="21"/>
                      <w:szCs w:val="21"/>
                      <w:highlight w:val="none"/>
                      <w:vertAlign w:val="baseline"/>
                      <w:lang w:val="en-US" w:eastAsia="zh-CN"/>
                    </w:rPr>
                    <w:t>牛栏江</w:t>
                  </w:r>
                  <w:r>
                    <w:rPr>
                      <w:rFonts w:hint="default" w:ascii="Times New Roman" w:hAnsi="Times New Roman" w:eastAsia="宋体" w:cs="Times New Roman"/>
                      <w:b w:val="0"/>
                      <w:bCs w:val="0"/>
                      <w:caps w:val="0"/>
                      <w:color w:val="auto"/>
                      <w:sz w:val="21"/>
                      <w:szCs w:val="21"/>
                      <w:highlight w:val="none"/>
                      <w:vertAlign w:val="baseline"/>
                      <w:lang w:val="en-US" w:eastAsia="zh-CN"/>
                    </w:rPr>
                    <w:t>：</w:t>
                  </w:r>
                  <w:r>
                    <w:rPr>
                      <w:rFonts w:hint="eastAsia" w:ascii="Times New Roman" w:hAnsi="Times New Roman" w:eastAsia="宋体" w:cs="Times New Roman"/>
                      <w:b w:val="0"/>
                      <w:bCs w:val="0"/>
                      <w:caps w:val="0"/>
                      <w:color w:val="auto"/>
                      <w:sz w:val="21"/>
                      <w:szCs w:val="21"/>
                      <w:highlight w:val="none"/>
                      <w:vertAlign w:val="baseline"/>
                      <w:lang w:val="en-US" w:eastAsia="zh-CN"/>
                    </w:rPr>
                    <w:t>Ⅱ</w:t>
                  </w:r>
                  <w:r>
                    <w:rPr>
                      <w:rFonts w:hint="default" w:ascii="Times New Roman" w:hAnsi="Times New Roman" w:eastAsia="宋体" w:cs="Times New Roman"/>
                      <w:b w:val="0"/>
                      <w:bCs w:val="0"/>
                      <w:caps w:val="0"/>
                      <w:color w:val="auto"/>
                      <w:sz w:val="21"/>
                      <w:szCs w:val="21"/>
                      <w:highlight w:val="none"/>
                      <w:vertAlign w:val="baseline"/>
                      <w:lang w:val="en-US" w:eastAsia="zh-CN"/>
                    </w:rPr>
                    <w:t>类</w:t>
                  </w:r>
                  <w:bookmarkEnd w:id="13"/>
                </w:p>
                <w:p w14:paraId="53B9F3FA">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r>
                    <w:rPr>
                      <w:rFonts w:hint="eastAsia" w:ascii="Times New Roman" w:hAnsi="Times New Roman" w:eastAsia="宋体" w:cs="Times New Roman"/>
                      <w:b w:val="0"/>
                      <w:bCs w:val="0"/>
                      <w:caps w:val="0"/>
                      <w:color w:val="auto"/>
                      <w:sz w:val="21"/>
                      <w:szCs w:val="21"/>
                      <w:highlight w:val="none"/>
                      <w:vertAlign w:val="baseline"/>
                      <w:lang w:val="en-US" w:eastAsia="zh-CN"/>
                    </w:rPr>
                    <w:t>化桃箐水库饮用水水源保护区</w:t>
                  </w:r>
                  <w:r>
                    <w:rPr>
                      <w:rFonts w:hint="default" w:ascii="Times New Roman" w:hAnsi="Times New Roman" w:eastAsia="宋体" w:cs="Times New Roman"/>
                      <w:b w:val="0"/>
                      <w:bCs w:val="0"/>
                      <w:caps w:val="0"/>
                      <w:color w:val="auto"/>
                      <w:sz w:val="21"/>
                      <w:szCs w:val="21"/>
                      <w:highlight w:val="none"/>
                      <w:vertAlign w:val="baseline"/>
                      <w:lang w:val="en-US" w:eastAsia="zh-CN"/>
                    </w:rPr>
                    <w:t>：</w:t>
                  </w:r>
                  <w:r>
                    <w:rPr>
                      <w:rFonts w:hint="eastAsia" w:ascii="Times New Roman" w:hAnsi="Times New Roman" w:eastAsia="宋体" w:cs="Times New Roman"/>
                      <w:b w:val="0"/>
                      <w:bCs w:val="0"/>
                      <w:caps w:val="0"/>
                      <w:color w:val="auto"/>
                      <w:sz w:val="21"/>
                      <w:szCs w:val="21"/>
                      <w:highlight w:val="none"/>
                      <w:vertAlign w:val="baseline"/>
                      <w:lang w:val="en-US" w:eastAsia="zh-CN"/>
                    </w:rPr>
                    <w:t>Ⅲ类</w:t>
                  </w:r>
                </w:p>
              </w:tc>
              <w:tc>
                <w:tcPr>
                  <w:tcW w:w="2021" w:type="pct"/>
                  <w:noWrap w:val="0"/>
                  <w:vAlign w:val="center"/>
                </w:tcPr>
                <w:p w14:paraId="6A3D06E7">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aps w:val="0"/>
                      <w:color w:val="auto"/>
                      <w:sz w:val="21"/>
                      <w:szCs w:val="21"/>
                      <w:highlight w:val="none"/>
                      <w:vertAlign w:val="baseline"/>
                      <w:lang w:val="en-US" w:eastAsia="zh-CN"/>
                    </w:rPr>
                  </w:pPr>
                  <w:bookmarkStart w:id="14" w:name="_Toc21625"/>
                  <w:r>
                    <w:rPr>
                      <w:rFonts w:hint="eastAsia" w:ascii="Times New Roman" w:hAnsi="Times New Roman" w:eastAsia="宋体" w:cs="Times New Roman"/>
                      <w:b w:val="0"/>
                      <w:bCs w:val="0"/>
                      <w:caps w:val="0"/>
                      <w:color w:val="auto"/>
                      <w:sz w:val="21"/>
                      <w:szCs w:val="21"/>
                      <w:highlight w:val="none"/>
                      <w:vertAlign w:val="baseline"/>
                      <w:lang w:val="en-US" w:eastAsia="zh-CN"/>
                    </w:rPr>
                    <w:t>牛栏江引用《寻甸县</w:t>
                  </w:r>
                  <w:r>
                    <w:rPr>
                      <w:rFonts w:hint="default" w:ascii="Times New Roman" w:hAnsi="Times New Roman" w:eastAsia="宋体" w:cs="Times New Roman"/>
                      <w:b w:val="0"/>
                      <w:bCs w:val="0"/>
                      <w:caps w:val="0"/>
                      <w:color w:val="auto"/>
                      <w:sz w:val="21"/>
                      <w:szCs w:val="21"/>
                      <w:highlight w:val="none"/>
                      <w:vertAlign w:val="baseline"/>
                      <w:lang w:val="en-US" w:eastAsia="zh-CN"/>
                    </w:rPr>
                    <w:t>202</w:t>
                  </w:r>
                  <w:r>
                    <w:rPr>
                      <w:rFonts w:hint="eastAsia" w:ascii="Times New Roman" w:hAnsi="Times New Roman" w:eastAsia="宋体" w:cs="Times New Roman"/>
                      <w:b w:val="0"/>
                      <w:bCs w:val="0"/>
                      <w:caps w:val="0"/>
                      <w:color w:val="auto"/>
                      <w:sz w:val="21"/>
                      <w:szCs w:val="21"/>
                      <w:highlight w:val="none"/>
                      <w:vertAlign w:val="baseline"/>
                      <w:lang w:val="en-US" w:eastAsia="zh-CN"/>
                    </w:rPr>
                    <w:t>4年第二季度环境质量公报》</w:t>
                  </w:r>
                  <w:bookmarkEnd w:id="14"/>
                  <w:r>
                    <w:rPr>
                      <w:rFonts w:hint="eastAsia" w:ascii="Times New Roman" w:hAnsi="Times New Roman" w:eastAsia="宋体" w:cs="Times New Roman"/>
                      <w:b w:val="0"/>
                      <w:bCs w:val="0"/>
                      <w:caps w:val="0"/>
                      <w:color w:val="auto"/>
                      <w:sz w:val="21"/>
                      <w:szCs w:val="21"/>
                      <w:highlight w:val="none"/>
                      <w:vertAlign w:val="baseline"/>
                      <w:lang w:val="en-US" w:eastAsia="zh-CN"/>
                    </w:rPr>
                    <w:t>；化桃箐水库饮用水水源保护区</w:t>
                  </w:r>
                  <w:r>
                    <w:rPr>
                      <w:rFonts w:hint="default" w:ascii="Times New Roman" w:hAnsi="Times New Roman" w:eastAsia="宋体" w:cs="Times New Roman"/>
                      <w:b w:val="0"/>
                      <w:bCs w:val="0"/>
                      <w:caps w:val="0"/>
                      <w:color w:val="auto"/>
                      <w:sz w:val="21"/>
                      <w:szCs w:val="21"/>
                      <w:highlight w:val="none"/>
                      <w:vertAlign w:val="baseline"/>
                      <w:lang w:val="en-US" w:eastAsia="zh-CN"/>
                    </w:rPr>
                    <w:t>本次环评环境质量现状监测</w:t>
                  </w:r>
                </w:p>
              </w:tc>
            </w:tr>
          </w:tbl>
          <w:p w14:paraId="52CCE9A3">
            <w:pPr>
              <w:pStyle w:val="162"/>
              <w:keepNext w:val="0"/>
              <w:keepLines w:val="0"/>
              <w:suppressLineNumbers w:val="0"/>
              <w:spacing w:before="0" w:beforeAutospacing="0" w:after="0" w:afterAutospacing="0"/>
              <w:ind w:left="0" w:right="0" w:firstLine="480"/>
              <w:jc w:val="left"/>
              <w:rPr>
                <w:rFonts w:hint="default"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本工程所在区域主要为乡村区域</w:t>
            </w:r>
            <w:r>
              <w:rPr>
                <w:rFonts w:hint="eastAsia" w:ascii="Times New Roman" w:hAnsi="Times New Roman" w:cs="Times New Roman"/>
                <w:caps w:val="0"/>
                <w:color w:val="auto"/>
                <w:kern w:val="2"/>
                <w:sz w:val="24"/>
                <w:szCs w:val="24"/>
                <w:highlight w:val="none"/>
                <w:lang w:val="en-US" w:eastAsia="zh-CN" w:bidi="ar-SA"/>
              </w:rPr>
              <w:t>，</w:t>
            </w:r>
            <w:r>
              <w:rPr>
                <w:rFonts w:hint="default" w:ascii="Times New Roman" w:hAnsi="Times New Roman" w:eastAsia="宋体" w:cs="Times New Roman"/>
                <w:caps w:val="0"/>
                <w:color w:val="auto"/>
                <w:kern w:val="2"/>
                <w:sz w:val="24"/>
                <w:szCs w:val="24"/>
                <w:highlight w:val="none"/>
                <w:lang w:val="en-US" w:eastAsia="zh-CN" w:bidi="ar-SA"/>
              </w:rPr>
              <w:t>根据生态环境质量公报及现状监测结果可知，工程区域的声环境、大气环境、</w:t>
            </w:r>
            <w:r>
              <w:rPr>
                <w:rFonts w:hint="eastAsia" w:ascii="Times New Roman" w:hAnsi="Times New Roman" w:cs="Times New Roman"/>
                <w:caps w:val="0"/>
                <w:color w:val="auto"/>
                <w:kern w:val="2"/>
                <w:sz w:val="24"/>
                <w:szCs w:val="24"/>
                <w:highlight w:val="none"/>
                <w:lang w:val="en-US" w:eastAsia="zh-CN" w:bidi="ar-SA"/>
              </w:rPr>
              <w:t>地表水</w:t>
            </w:r>
            <w:r>
              <w:rPr>
                <w:rFonts w:hint="default" w:ascii="Times New Roman" w:hAnsi="Times New Roman" w:eastAsia="宋体" w:cs="Times New Roman"/>
                <w:caps w:val="0"/>
                <w:color w:val="auto"/>
                <w:kern w:val="2"/>
                <w:sz w:val="24"/>
                <w:szCs w:val="24"/>
                <w:highlight w:val="none"/>
                <w:lang w:val="en-US" w:eastAsia="zh-CN" w:bidi="ar-SA"/>
              </w:rPr>
              <w:t>环境均能够满足相应的标准要求。工程运营期排放的污染因素主要为固废、噪声等，废变压器油暂存于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default" w:ascii="Times New Roman" w:hAnsi="Times New Roman" w:eastAsia="宋体" w:cs="Times New Roman"/>
                <w:color w:val="auto"/>
                <w:sz w:val="24"/>
                <w:szCs w:val="24"/>
                <w:highlight w:val="none"/>
                <w:lang w:val="en-US" w:eastAsia="zh-CN"/>
              </w:rPr>
              <w:t>升压站</w:t>
            </w:r>
            <w:r>
              <w:rPr>
                <w:rFonts w:hint="default" w:ascii="Times New Roman" w:hAnsi="Times New Roman" w:eastAsia="宋体" w:cs="Times New Roman"/>
                <w:caps w:val="0"/>
                <w:color w:val="auto"/>
                <w:kern w:val="2"/>
                <w:sz w:val="24"/>
                <w:szCs w:val="24"/>
                <w:highlight w:val="none"/>
                <w:lang w:val="en-US" w:eastAsia="zh-CN" w:bidi="ar-SA"/>
              </w:rPr>
              <w:t>危废</w:t>
            </w:r>
            <w:r>
              <w:rPr>
                <w:rFonts w:hint="eastAsia" w:ascii="Times New Roman" w:hAnsi="Times New Roman" w:cs="Times New Roman"/>
                <w:caps w:val="0"/>
                <w:color w:val="auto"/>
                <w:kern w:val="2"/>
                <w:sz w:val="24"/>
                <w:szCs w:val="24"/>
                <w:highlight w:val="none"/>
                <w:lang w:val="en-US" w:eastAsia="zh-CN" w:bidi="ar-SA"/>
              </w:rPr>
              <w:t>贮存库</w:t>
            </w:r>
            <w:r>
              <w:rPr>
                <w:rFonts w:hint="default" w:ascii="Times New Roman" w:hAnsi="Times New Roman" w:eastAsia="宋体" w:cs="Times New Roman"/>
                <w:caps w:val="0"/>
                <w:color w:val="auto"/>
                <w:kern w:val="2"/>
                <w:sz w:val="24"/>
                <w:szCs w:val="24"/>
                <w:highlight w:val="none"/>
                <w:lang w:val="en-US" w:eastAsia="zh-CN" w:bidi="ar-SA"/>
              </w:rPr>
              <w:t>后委托有资质单位进行处置；噪声经过采取隔声减振等措施及距离衰减后可满足国家排放标准要求。</w:t>
            </w:r>
          </w:p>
          <w:p w14:paraId="16957140">
            <w:pPr>
              <w:pStyle w:val="162"/>
              <w:keepNext w:val="0"/>
              <w:keepLines w:val="0"/>
              <w:suppressLineNumbers w:val="0"/>
              <w:spacing w:before="0" w:beforeAutospacing="0" w:after="0" w:afterAutospacing="0"/>
              <w:ind w:left="0" w:right="0" w:firstLine="480"/>
              <w:jc w:val="left"/>
              <w:rPr>
                <w:rFonts w:hint="default"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本工程属非生产性建设项目，运营后对周边环境质量现状影响较小，所在区域各环境要素环境质量现状可维持现有水平，不会降低工程区域环境质量，符合环境质量底线要求。</w:t>
            </w:r>
          </w:p>
          <w:p w14:paraId="709BD26B">
            <w:pPr>
              <w:pStyle w:val="162"/>
              <w:keepNext w:val="0"/>
              <w:keepLines w:val="0"/>
              <w:suppressLineNumbers w:val="0"/>
              <w:spacing w:before="0" w:beforeAutospacing="0" w:after="0" w:afterAutospacing="0"/>
              <w:ind w:left="0" w:right="0" w:firstLine="480"/>
              <w:jc w:val="left"/>
              <w:rPr>
                <w:rFonts w:hint="default"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本项目为复合型光伏发电</w:t>
            </w:r>
            <w:r>
              <w:rPr>
                <w:rFonts w:hint="eastAsia" w:ascii="Times New Roman" w:hAnsi="Times New Roman" w:eastAsia="宋体" w:cs="Times New Roman"/>
                <w:caps w:val="0"/>
                <w:color w:val="auto"/>
                <w:kern w:val="2"/>
                <w:sz w:val="24"/>
                <w:szCs w:val="24"/>
                <w:highlight w:val="none"/>
                <w:lang w:val="en-US" w:eastAsia="zh-CN" w:bidi="ar-SA"/>
              </w:rPr>
              <w:t>项目</w:t>
            </w:r>
            <w:r>
              <w:rPr>
                <w:rFonts w:hint="default" w:ascii="Times New Roman" w:hAnsi="Times New Roman" w:eastAsia="宋体" w:cs="Times New Roman"/>
                <w:caps w:val="0"/>
                <w:color w:val="auto"/>
                <w:kern w:val="2"/>
                <w:sz w:val="24"/>
                <w:szCs w:val="24"/>
                <w:highlight w:val="none"/>
                <w:lang w:val="en-US" w:eastAsia="zh-CN" w:bidi="ar-SA"/>
              </w:rPr>
              <w:t>，占地类型主要为林地、草地、交通运输用地，不</w:t>
            </w:r>
            <w:r>
              <w:rPr>
                <w:rFonts w:hint="eastAsia" w:ascii="Times New Roman" w:hAnsi="Times New Roman" w:cs="Times New Roman"/>
                <w:caps w:val="0"/>
                <w:color w:val="auto"/>
                <w:kern w:val="2"/>
                <w:sz w:val="24"/>
                <w:szCs w:val="24"/>
                <w:highlight w:val="none"/>
                <w:lang w:val="en-US" w:eastAsia="zh-CN" w:bidi="ar-SA"/>
              </w:rPr>
              <w:t>占用</w:t>
            </w:r>
            <w:r>
              <w:rPr>
                <w:rFonts w:hint="default" w:ascii="Times New Roman" w:hAnsi="Times New Roman" w:eastAsia="宋体" w:cs="Times New Roman"/>
                <w:caps w:val="0"/>
                <w:color w:val="auto"/>
                <w:kern w:val="2"/>
                <w:sz w:val="24"/>
                <w:szCs w:val="24"/>
                <w:highlight w:val="none"/>
                <w:lang w:val="en-US" w:eastAsia="zh-CN" w:bidi="ar-SA"/>
              </w:rPr>
              <w:t>基本农田、稳定耕地。</w:t>
            </w:r>
          </w:p>
          <w:p w14:paraId="52CDF785">
            <w:pPr>
              <w:pStyle w:val="162"/>
              <w:keepNext w:val="0"/>
              <w:keepLines w:val="0"/>
              <w:suppressLineNumbers w:val="0"/>
              <w:spacing w:before="0" w:beforeAutospacing="0" w:after="0" w:afterAutospacing="0"/>
              <w:ind w:left="0" w:right="0" w:firstLine="480"/>
              <w:jc w:val="left"/>
              <w:rPr>
                <w:rFonts w:hint="eastAsia" w:ascii="Times New Roman" w:hAnsi="Times New Roman" w:eastAsia="宋体" w:cs="Times New Roman"/>
                <w:caps w:val="0"/>
                <w:color w:val="auto"/>
                <w:kern w:val="2"/>
                <w:sz w:val="24"/>
                <w:szCs w:val="24"/>
                <w:highlight w:val="none"/>
                <w:lang w:val="en-US" w:eastAsia="zh-CN" w:bidi="ar-SA"/>
              </w:rPr>
            </w:pPr>
            <w:r>
              <w:rPr>
                <w:rFonts w:hint="default" w:ascii="Times New Roman" w:hAnsi="Times New Roman" w:eastAsia="宋体" w:cs="Times New Roman"/>
                <w:caps w:val="0"/>
                <w:color w:val="auto"/>
                <w:kern w:val="2"/>
                <w:sz w:val="24"/>
                <w:szCs w:val="24"/>
                <w:highlight w:val="none"/>
                <w:lang w:val="en-US" w:eastAsia="zh-CN" w:bidi="ar-SA"/>
              </w:rPr>
              <w:t>本项目施工过程中消耗一定的水、电，不开采地下水，</w:t>
            </w:r>
            <w:r>
              <w:rPr>
                <w:rFonts w:hint="default" w:ascii="Times New Roman" w:hAnsi="Times New Roman" w:cs="Times New Roman"/>
                <w:caps w:val="0"/>
                <w:color w:val="auto"/>
                <w:kern w:val="2"/>
                <w:sz w:val="24"/>
                <w:szCs w:val="24"/>
                <w:highlight w:val="none"/>
                <w:lang w:val="en-US" w:eastAsia="zh-CN" w:bidi="ar-SA"/>
              </w:rPr>
              <w:t>仅占用寻甸县国土面积</w:t>
            </w:r>
            <w:r>
              <w:rPr>
                <w:rFonts w:hint="default" w:ascii="Times New Roman" w:hAnsi="Times New Roman" w:cs="Times New Roman"/>
                <w:color w:val="auto"/>
                <w:sz w:val="24"/>
                <w:szCs w:val="24"/>
                <w:highlight w:val="none"/>
              </w:rPr>
              <w:t>54.97</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aps w:val="0"/>
                <w:color w:val="auto"/>
                <w:kern w:val="2"/>
                <w:sz w:val="24"/>
                <w:szCs w:val="24"/>
                <w:highlight w:val="none"/>
                <w:lang w:val="en-US" w:eastAsia="zh-CN" w:bidi="ar-SA"/>
              </w:rPr>
              <w:t>，其中永久用地仅为0.04</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aps w:val="0"/>
                <w:color w:val="auto"/>
                <w:kern w:val="2"/>
                <w:sz w:val="24"/>
                <w:szCs w:val="24"/>
                <w:highlight w:val="none"/>
                <w:lang w:val="en-US" w:eastAsia="zh-CN" w:bidi="ar-SA"/>
              </w:rPr>
              <w:t>项目资源消耗量占区域资源利用总量较少；项目为复合型光伏发电</w:t>
            </w:r>
            <w:r>
              <w:rPr>
                <w:rFonts w:hint="eastAsia" w:ascii="Times New Roman" w:hAnsi="Times New Roman" w:eastAsia="宋体" w:cs="Times New Roman"/>
                <w:caps w:val="0"/>
                <w:color w:val="auto"/>
                <w:kern w:val="2"/>
                <w:sz w:val="24"/>
                <w:szCs w:val="24"/>
                <w:highlight w:val="none"/>
                <w:lang w:val="en-US" w:eastAsia="zh-CN" w:bidi="ar-SA"/>
              </w:rPr>
              <w:t>项目</w:t>
            </w:r>
            <w:r>
              <w:rPr>
                <w:rFonts w:hint="default" w:ascii="Times New Roman" w:hAnsi="Times New Roman" w:eastAsia="宋体" w:cs="Times New Roman"/>
                <w:caps w:val="0"/>
                <w:color w:val="auto"/>
                <w:kern w:val="2"/>
                <w:sz w:val="24"/>
                <w:szCs w:val="24"/>
                <w:highlight w:val="none"/>
                <w:lang w:val="en-US" w:eastAsia="zh-CN" w:bidi="ar-SA"/>
              </w:rPr>
              <w:t>，建成后可减少供电区域依赖不可再生能源发电的程度，维持或减少供电区域不可再生能源利用的比例，符合资源利用上线要求。</w:t>
            </w:r>
          </w:p>
          <w:p w14:paraId="43BCC8AC">
            <w:pPr>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④生态环境准入清单调整结果</w:t>
            </w:r>
          </w:p>
          <w:p w14:paraId="71C27492">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结合昆明市不同生态环境管控单元的生态环境主要特征、突出问题和环境质量目标，提出以改善生态环境质量为导向、对应到各环境管控单元、可操作的管控要求。</w:t>
            </w:r>
          </w:p>
          <w:p w14:paraId="23528BEA">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昆明市的优先保护单元和一般管控单元管控要求以共性要求为基础，对存在的个例问题制定相应的管控要求。重点管控单元聚焦单元突出的环境问题，以解决现状环境问题为目的</w:t>
            </w:r>
            <w:r>
              <w:rPr>
                <w:rFonts w:hint="eastAsia" w:cs="Times New Roman"/>
                <w:color w:val="auto"/>
                <w:sz w:val="24"/>
                <w:highlight w:val="none"/>
                <w:lang w:eastAsia="zh-CN"/>
              </w:rPr>
              <w:t>提</w:t>
            </w:r>
            <w:r>
              <w:rPr>
                <w:rFonts w:hint="default" w:ascii="Times New Roman" w:hAnsi="Times New Roman" w:eastAsia="宋体" w:cs="Times New Roman"/>
                <w:color w:val="auto"/>
                <w:sz w:val="24"/>
                <w:highlight w:val="none"/>
              </w:rPr>
              <w:t>管控要求，增补了减污降碳协同管控相关要求，调整了重点管控单元相应的管控内容。</w:t>
            </w:r>
          </w:p>
          <w:p w14:paraId="6BEDF343">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本工程不属于高污染、高能耗和资源型的产业类型，不在区域负面清单内，因此本工程应为环境准入允许类别。</w:t>
            </w:r>
          </w:p>
          <w:p w14:paraId="3DE60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rPr>
            </w:pPr>
            <w:r>
              <w:rPr>
                <w:rFonts w:hint="eastAsia" w:ascii="Times New Roman" w:hAnsi="Times New Roman" w:eastAsia="宋体"/>
                <w:smallCaps w:val="0"/>
                <w:snapToGrid w:val="0"/>
                <w:color w:val="auto"/>
                <w:kern w:val="0"/>
                <w:sz w:val="24"/>
                <w:highlight w:val="none"/>
                <w:lang w:eastAsia="zh-CN"/>
              </w:rPr>
              <w:t>根据</w:t>
            </w:r>
            <w:r>
              <w:rPr>
                <w:rFonts w:hint="eastAsia" w:cs="Times New Roman"/>
                <w:b w:val="0"/>
                <w:bCs w:val="0"/>
                <w:color w:val="auto"/>
                <w:sz w:val="24"/>
                <w:szCs w:val="24"/>
                <w:highlight w:val="none"/>
                <w:lang w:val="en-US" w:eastAsia="zh-CN"/>
              </w:rPr>
              <w:t>昆明市生态环境工程评估中心关于查询白石岩光伏发电项目涉及生态环境分区管控情况的复函（昆环评估复函〔2024〕120号）</w:t>
            </w:r>
            <w:r>
              <w:rPr>
                <w:rFonts w:hint="eastAsia" w:ascii="Times New Roman" w:hAnsi="Times New Roman" w:eastAsia="宋体"/>
                <w:smallCaps w:val="0"/>
                <w:snapToGrid w:val="0"/>
                <w:color w:val="auto"/>
                <w:kern w:val="0"/>
                <w:sz w:val="24"/>
                <w:lang w:eastAsia="zh-CN"/>
              </w:rPr>
              <w:t>，</w:t>
            </w:r>
            <w:r>
              <w:rPr>
                <w:rFonts w:hint="eastAsia" w:ascii="Times New Roman" w:hAnsi="Times New Roman" w:eastAsia="宋体"/>
                <w:smallCaps w:val="0"/>
                <w:color w:val="auto"/>
                <w:spacing w:val="0"/>
                <w:sz w:val="24"/>
                <w:lang w:eastAsia="zh-CN"/>
              </w:rPr>
              <w:t>本项目涉及昆明市生态环境管控单元中的</w:t>
            </w:r>
            <w:r>
              <w:rPr>
                <w:rFonts w:hint="eastAsia" w:ascii="Times New Roman" w:hAnsi="Times New Roman" w:eastAsia="宋体"/>
                <w:smallCaps w:val="0"/>
                <w:color w:val="auto"/>
                <w:spacing w:val="0"/>
                <w:sz w:val="24"/>
                <w:highlight w:val="none"/>
                <w:lang w:eastAsia="zh-CN"/>
              </w:rPr>
              <w:t>“</w:t>
            </w:r>
            <w:r>
              <w:rPr>
                <w:rFonts w:hint="eastAsia" w:cs="Times New Roman"/>
                <w:color w:val="auto"/>
                <w:kern w:val="0"/>
                <w:sz w:val="24"/>
                <w:lang w:val="en-US" w:eastAsia="zh-CN" w:bidi="ar"/>
              </w:rPr>
              <w:t>寻甸县</w:t>
            </w:r>
            <w:r>
              <w:rPr>
                <w:rFonts w:hint="eastAsia" w:ascii="Times New Roman" w:hAnsi="Times New Roman" w:eastAsia="宋体"/>
                <w:smallCaps w:val="0"/>
                <w:color w:val="auto"/>
                <w:spacing w:val="0"/>
                <w:sz w:val="24"/>
                <w:highlight w:val="none"/>
                <w:lang w:eastAsia="zh-CN"/>
              </w:rPr>
              <w:t>一般生态空间优先保护单元”</w:t>
            </w:r>
            <w:r>
              <w:rPr>
                <w:rFonts w:hint="eastAsia"/>
                <w:smallCaps w:val="0"/>
                <w:color w:val="auto"/>
                <w:spacing w:val="0"/>
                <w:sz w:val="24"/>
                <w:highlight w:val="none"/>
                <w:lang w:val="en-US" w:eastAsia="zh-CN"/>
              </w:rPr>
              <w:t>和</w:t>
            </w:r>
            <w:r>
              <w:rPr>
                <w:rFonts w:hint="eastAsia" w:ascii="Times New Roman" w:hAnsi="Times New Roman" w:eastAsia="宋体"/>
                <w:smallCaps w:val="0"/>
                <w:color w:val="auto"/>
                <w:spacing w:val="0"/>
                <w:sz w:val="24"/>
                <w:highlight w:val="none"/>
                <w:lang w:eastAsia="zh-CN"/>
              </w:rPr>
              <w:t>“</w:t>
            </w:r>
            <w:r>
              <w:rPr>
                <w:rFonts w:hint="eastAsia" w:cs="Times New Roman"/>
                <w:color w:val="auto"/>
                <w:kern w:val="0"/>
                <w:sz w:val="24"/>
                <w:lang w:val="en-US" w:eastAsia="zh-CN" w:bidi="ar"/>
              </w:rPr>
              <w:t>寻甸县</w:t>
            </w:r>
            <w:r>
              <w:rPr>
                <w:rFonts w:hint="eastAsia" w:ascii="Times New Roman" w:hAnsi="Times New Roman" w:eastAsia="宋体"/>
                <w:smallCaps w:val="0"/>
                <w:color w:val="auto"/>
                <w:spacing w:val="0"/>
                <w:sz w:val="24"/>
                <w:highlight w:val="none"/>
                <w:lang w:eastAsia="zh-CN"/>
              </w:rPr>
              <w:t>一般管控单元”</w:t>
            </w:r>
            <w:r>
              <w:rPr>
                <w:rFonts w:hint="eastAsia" w:ascii="Times New Roman" w:hAnsi="Times New Roman" w:eastAsia="宋体" w:cs="Times New Roman"/>
                <w:caps w:val="0"/>
                <w:color w:val="auto"/>
                <w:sz w:val="24"/>
                <w:szCs w:val="24"/>
                <w:highlight w:val="none"/>
                <w:lang w:eastAsia="zh-CN"/>
              </w:rPr>
              <w:t>。</w:t>
            </w:r>
          </w:p>
          <w:p w14:paraId="34FF9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default"/>
                <w:color w:val="auto"/>
              </w:rPr>
              <w:drawing>
                <wp:inline distT="0" distB="0" distL="114300" distR="114300">
                  <wp:extent cx="4626610" cy="6712585"/>
                  <wp:effectExtent l="0" t="0" r="2540" b="1206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
                          <a:stretch>
                            <a:fillRect/>
                          </a:stretch>
                        </pic:blipFill>
                        <pic:spPr>
                          <a:xfrm>
                            <a:off x="0" y="0"/>
                            <a:ext cx="4626610" cy="6712585"/>
                          </a:xfrm>
                          <a:prstGeom prst="rect">
                            <a:avLst/>
                          </a:prstGeom>
                          <a:noFill/>
                          <a:ln>
                            <a:noFill/>
                          </a:ln>
                        </pic:spPr>
                      </pic:pic>
                    </a:graphicData>
                  </a:graphic>
                </wp:inline>
              </w:drawing>
            </w:r>
          </w:p>
          <w:p w14:paraId="4EEA8B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auto"/>
              </w:rPr>
            </w:pPr>
            <w:r>
              <w:rPr>
                <w:rFonts w:hint="eastAsia" w:ascii="Times New Roman" w:hAnsi="Times New Roman" w:eastAsia="宋体" w:cs="Times New Roman"/>
                <w:b/>
                <w:bCs w:val="0"/>
                <w:color w:val="auto"/>
                <w:sz w:val="21"/>
                <w:szCs w:val="21"/>
                <w:highlight w:val="none"/>
                <w:lang w:val="en-US" w:eastAsia="zh-CN"/>
              </w:rPr>
              <w:t xml:space="preserve">图1-1  </w:t>
            </w:r>
            <w:r>
              <w:rPr>
                <w:rFonts w:hint="eastAsia" w:ascii="Times New Roman" w:hAnsi="Times New Roman" w:cs="Times New Roman"/>
                <w:b/>
                <w:bCs w:val="0"/>
                <w:color w:val="auto"/>
                <w:sz w:val="21"/>
                <w:szCs w:val="21"/>
                <w:highlight w:val="none"/>
                <w:lang w:val="en-US" w:eastAsia="zh-CN"/>
              </w:rPr>
              <w:t>西南片区</w:t>
            </w:r>
            <w:r>
              <w:rPr>
                <w:rFonts w:hint="eastAsia" w:ascii="Times New Roman" w:hAnsi="Times New Roman" w:eastAsia="宋体" w:cs="Times New Roman"/>
                <w:b/>
                <w:bCs w:val="0"/>
                <w:color w:val="auto"/>
                <w:sz w:val="21"/>
                <w:szCs w:val="21"/>
                <w:highlight w:val="none"/>
                <w:lang w:val="en-US" w:eastAsia="zh-CN"/>
              </w:rPr>
              <w:t>与</w:t>
            </w:r>
            <w:r>
              <w:rPr>
                <w:rFonts w:hint="eastAsia" w:ascii="Times New Roman" w:hAnsi="Times New Roman" w:cs="Times New Roman"/>
                <w:b/>
                <w:bCs w:val="0"/>
                <w:color w:val="auto"/>
                <w:sz w:val="21"/>
                <w:szCs w:val="21"/>
                <w:highlight w:val="none"/>
                <w:lang w:val="en-US" w:eastAsia="zh-CN"/>
              </w:rPr>
              <w:t>寻甸县</w:t>
            </w:r>
            <w:r>
              <w:rPr>
                <w:rFonts w:hint="eastAsia" w:ascii="Times New Roman" w:hAnsi="Times New Roman" w:eastAsia="宋体" w:cs="Times New Roman"/>
                <w:b/>
                <w:bCs w:val="0"/>
                <w:color w:val="auto"/>
                <w:sz w:val="21"/>
                <w:szCs w:val="21"/>
                <w:highlight w:val="none"/>
                <w:lang w:val="en-US" w:eastAsia="zh-CN"/>
              </w:rPr>
              <w:t>生态空间管控分区关系图</w:t>
            </w:r>
          </w:p>
          <w:p w14:paraId="721F1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default"/>
                <w:color w:val="auto"/>
              </w:rPr>
              <w:drawing>
                <wp:inline distT="0" distB="0" distL="114300" distR="114300">
                  <wp:extent cx="4630420" cy="6574155"/>
                  <wp:effectExtent l="0" t="0" r="17780" b="1714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0"/>
                          <a:stretch>
                            <a:fillRect/>
                          </a:stretch>
                        </pic:blipFill>
                        <pic:spPr>
                          <a:xfrm>
                            <a:off x="0" y="0"/>
                            <a:ext cx="4630420" cy="6574155"/>
                          </a:xfrm>
                          <a:prstGeom prst="rect">
                            <a:avLst/>
                          </a:prstGeom>
                          <a:noFill/>
                          <a:ln>
                            <a:noFill/>
                          </a:ln>
                        </pic:spPr>
                      </pic:pic>
                    </a:graphicData>
                  </a:graphic>
                </wp:inline>
              </w:drawing>
            </w:r>
          </w:p>
          <w:p w14:paraId="3717BF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图1-</w:t>
            </w:r>
            <w:r>
              <w:rPr>
                <w:rFonts w:hint="eastAsia" w:ascii="Times New Roman" w:hAnsi="Times New Roman" w:cs="Times New Roman"/>
                <w:b/>
                <w:bCs w:val="0"/>
                <w:color w:val="auto"/>
                <w:sz w:val="21"/>
                <w:szCs w:val="21"/>
                <w:highlight w:val="none"/>
                <w:lang w:val="en-US" w:eastAsia="zh-CN"/>
              </w:rPr>
              <w:t>2</w:t>
            </w:r>
            <w:r>
              <w:rPr>
                <w:rFonts w:hint="eastAsia" w:ascii="Times New Roman" w:hAnsi="Times New Roman" w:eastAsia="宋体" w:cs="Times New Roman"/>
                <w:b/>
                <w:bCs w:val="0"/>
                <w:color w:val="auto"/>
                <w:sz w:val="21"/>
                <w:szCs w:val="21"/>
                <w:highlight w:val="none"/>
                <w:lang w:val="en-US" w:eastAsia="zh-CN"/>
              </w:rPr>
              <w:t xml:space="preserve">  </w:t>
            </w:r>
            <w:r>
              <w:rPr>
                <w:rFonts w:hint="eastAsia" w:ascii="Times New Roman" w:hAnsi="Times New Roman" w:cs="Times New Roman"/>
                <w:b/>
                <w:bCs w:val="0"/>
                <w:color w:val="auto"/>
                <w:sz w:val="21"/>
                <w:szCs w:val="21"/>
                <w:highlight w:val="none"/>
                <w:lang w:val="en-US" w:eastAsia="zh-CN"/>
              </w:rPr>
              <w:t>东北片区</w:t>
            </w:r>
            <w:r>
              <w:rPr>
                <w:rFonts w:hint="eastAsia" w:ascii="Times New Roman" w:hAnsi="Times New Roman" w:eastAsia="宋体" w:cs="Times New Roman"/>
                <w:b/>
                <w:bCs w:val="0"/>
                <w:color w:val="auto"/>
                <w:sz w:val="21"/>
                <w:szCs w:val="21"/>
                <w:highlight w:val="none"/>
                <w:lang w:val="en-US" w:eastAsia="zh-CN"/>
              </w:rPr>
              <w:t>与</w:t>
            </w:r>
            <w:r>
              <w:rPr>
                <w:rFonts w:hint="eastAsia" w:ascii="Times New Roman" w:hAnsi="Times New Roman" w:cs="Times New Roman"/>
                <w:b/>
                <w:bCs w:val="0"/>
                <w:color w:val="auto"/>
                <w:sz w:val="21"/>
                <w:szCs w:val="21"/>
                <w:highlight w:val="none"/>
                <w:lang w:val="en-US" w:eastAsia="zh-CN"/>
              </w:rPr>
              <w:t>寻甸县</w:t>
            </w:r>
            <w:r>
              <w:rPr>
                <w:rFonts w:hint="eastAsia" w:ascii="Times New Roman" w:hAnsi="Times New Roman" w:eastAsia="宋体" w:cs="Times New Roman"/>
                <w:b/>
                <w:bCs w:val="0"/>
                <w:color w:val="auto"/>
                <w:sz w:val="21"/>
                <w:szCs w:val="21"/>
                <w:highlight w:val="none"/>
                <w:lang w:val="en-US" w:eastAsia="zh-CN"/>
              </w:rPr>
              <w:t>生态空间管控分区关系图</w:t>
            </w:r>
          </w:p>
          <w:p w14:paraId="198475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表1-</w:t>
            </w:r>
            <w:r>
              <w:rPr>
                <w:rFonts w:hint="eastAsia" w:cs="Times New Roman"/>
                <w:b/>
                <w:bCs w:val="0"/>
                <w:color w:val="auto"/>
                <w:sz w:val="21"/>
                <w:szCs w:val="21"/>
                <w:highlight w:val="none"/>
                <w:lang w:val="en-US" w:eastAsia="zh-CN"/>
              </w:rPr>
              <w:t>4</w:t>
            </w:r>
            <w:r>
              <w:rPr>
                <w:rFonts w:hint="eastAsia" w:ascii="Times New Roman" w:hAnsi="Times New Roman" w:eastAsia="宋体" w:cs="Times New Roman"/>
                <w:b/>
                <w:bCs w:val="0"/>
                <w:color w:val="auto"/>
                <w:sz w:val="21"/>
                <w:szCs w:val="21"/>
                <w:highlight w:val="none"/>
                <w:lang w:val="en-US" w:eastAsia="zh-CN"/>
              </w:rPr>
              <w:t xml:space="preserve">  项目与昆明市环境管控单元生态环境总体准入要求的符合性</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3439"/>
              <w:gridCol w:w="2461"/>
              <w:gridCol w:w="782"/>
            </w:tblGrid>
            <w:tr w14:paraId="46DC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5E7BC1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内容</w:t>
                  </w:r>
                </w:p>
              </w:tc>
              <w:tc>
                <w:tcPr>
                  <w:tcW w:w="2353" w:type="pct"/>
                  <w:vAlign w:val="center"/>
                </w:tcPr>
                <w:p w14:paraId="5A97AA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要求</w:t>
                  </w:r>
                </w:p>
              </w:tc>
              <w:tc>
                <w:tcPr>
                  <w:tcW w:w="1684" w:type="pct"/>
                  <w:vAlign w:val="center"/>
                </w:tcPr>
                <w:p w14:paraId="04B8B8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项目情况</w:t>
                  </w:r>
                </w:p>
              </w:tc>
              <w:tc>
                <w:tcPr>
                  <w:tcW w:w="535" w:type="pct"/>
                  <w:vAlign w:val="center"/>
                </w:tcPr>
                <w:p w14:paraId="4835D0B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符合性</w:t>
                  </w:r>
                </w:p>
              </w:tc>
            </w:tr>
            <w:tr w14:paraId="217E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15072C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空间布局约束</w:t>
                  </w:r>
                </w:p>
              </w:tc>
              <w:tc>
                <w:tcPr>
                  <w:tcW w:w="2353" w:type="pct"/>
                  <w:vAlign w:val="center"/>
                </w:tcPr>
                <w:p w14:paraId="50079C5C">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1</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根据《昆明市国土空间总体规划（2021</w:t>
                  </w:r>
                  <w:r>
                    <w:rPr>
                      <w:rFonts w:hint="eastAsia" w:ascii="Times New Roman" w:hAnsi="Times New Roman"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rPr>
                    <w:t>2035年）》进行空间管控。</w:t>
                  </w:r>
                </w:p>
                <w:p w14:paraId="0DE3BF96">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2</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牛栏江流域内，严格按照《云南省牛栏江保护条例》相关要求对水环境进行分区管控。</w:t>
                  </w:r>
                </w:p>
                <w:p w14:paraId="39BA81D6">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3</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滇池流域内，严格按照《云南省</w:t>
                  </w:r>
                  <w:r>
                    <w:rPr>
                      <w:rFonts w:hint="eastAsia" w:ascii="宋体" w:hAnsi="宋体" w:eastAsia="宋体" w:cs="宋体"/>
                      <w:color w:val="auto"/>
                      <w:spacing w:val="0"/>
                      <w:sz w:val="21"/>
                      <w:szCs w:val="21"/>
                    </w:rPr>
                    <w:t>滇池湖滨生态红线及湖泊生态黄线“两线”划定方案》相关要求进行分区管控。</w:t>
                  </w:r>
                </w:p>
                <w:p w14:paraId="08FFBBA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4</w:t>
                  </w:r>
                  <w:r>
                    <w:rPr>
                      <w:rFonts w:hint="eastAsia" w:ascii="Times New Roman" w:hAnsi="Times New Roman" w:cs="Times New Roman"/>
                      <w:color w:val="auto"/>
                      <w:spacing w:val="0"/>
                      <w:sz w:val="21"/>
                      <w:szCs w:val="21"/>
                      <w:lang w:eastAsia="zh-CN"/>
                    </w:rPr>
                    <w:t>）</w:t>
                  </w:r>
                  <w:r>
                    <w:rPr>
                      <w:rFonts w:hint="default" w:ascii="Times New Roman" w:hAnsi="Times New Roman" w:eastAsia="宋体" w:cs="Times New Roman"/>
                      <w:color w:val="auto"/>
                      <w:spacing w:val="0"/>
                      <w:sz w:val="21"/>
                      <w:szCs w:val="21"/>
                    </w:rPr>
                    <w:t>阳宗海流域内，严格按照《云南省阳宗海湖滨生态红线及湖泊生态黄线“两线”划定方案》相关要求进行分区管控。</w:t>
                  </w:r>
                </w:p>
              </w:tc>
              <w:tc>
                <w:tcPr>
                  <w:tcW w:w="1684" w:type="pct"/>
                  <w:vAlign w:val="center"/>
                </w:tcPr>
                <w:p w14:paraId="7B282D0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项目建设</w:t>
                  </w:r>
                  <w:r>
                    <w:rPr>
                      <w:rFonts w:hint="default" w:ascii="Times New Roman" w:hAnsi="Times New Roman" w:eastAsia="宋体" w:cs="Times New Roman"/>
                      <w:color w:val="auto"/>
                      <w:spacing w:val="0"/>
                      <w:sz w:val="21"/>
                      <w:szCs w:val="21"/>
                    </w:rPr>
                    <w:t>根据《昆明市国土空间总体规划（2021</w:t>
                  </w:r>
                  <w:r>
                    <w:rPr>
                      <w:rFonts w:hint="eastAsia" w:ascii="Times New Roman" w:hAnsi="Times New Roman"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rPr>
                    <w:t>2035年）》进行空间管控</w:t>
                  </w:r>
                  <w:r>
                    <w:rPr>
                      <w:rFonts w:hint="eastAsia" w:ascii="Times New Roman" w:hAnsi="Times New Roman" w:cs="Times New Roman"/>
                      <w:color w:val="auto"/>
                      <w:spacing w:val="0"/>
                      <w:sz w:val="21"/>
                      <w:szCs w:val="21"/>
                      <w:lang w:val="en-US" w:eastAsia="zh-CN"/>
                    </w:rPr>
                    <w:t>。</w:t>
                  </w:r>
                </w:p>
                <w:p w14:paraId="09B68D5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w:t>
                  </w:r>
                  <w:r>
                    <w:rPr>
                      <w:rFonts w:hint="eastAsia"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rPr>
                    <w:t>牛栏江流域</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建设运营过程将</w:t>
                  </w:r>
                  <w:r>
                    <w:rPr>
                      <w:rFonts w:hint="default" w:ascii="Times New Roman" w:hAnsi="Times New Roman" w:eastAsia="宋体" w:cs="Times New Roman"/>
                      <w:color w:val="auto"/>
                      <w:sz w:val="21"/>
                      <w:szCs w:val="21"/>
                    </w:rPr>
                    <w:t>严格按照《云南省牛栏江保护条例》相关要求对水环境区进行分区管控。</w:t>
                  </w:r>
                </w:p>
                <w:p w14:paraId="1AE4809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3</w:t>
                  </w:r>
                  <w:r>
                    <w:rPr>
                      <w:rFonts w:hint="eastAsia" w:ascii="Times New Roman" w:hAnsi="Times New Roman" w:cs="Times New Roman"/>
                      <w:color w:val="auto"/>
                      <w:spacing w:val="0"/>
                      <w:sz w:val="21"/>
                      <w:szCs w:val="21"/>
                      <w:lang w:eastAsia="zh-CN"/>
                    </w:rPr>
                    <w:t>）</w:t>
                  </w:r>
                  <w:r>
                    <w:rPr>
                      <w:rFonts w:hint="eastAsia" w:cs="Times New Roman"/>
                      <w:color w:val="auto"/>
                      <w:spacing w:val="0"/>
                      <w:sz w:val="21"/>
                      <w:szCs w:val="21"/>
                      <w:lang w:eastAsia="zh-CN"/>
                    </w:rPr>
                    <w:t>、</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项目</w:t>
                  </w:r>
                  <w:r>
                    <w:rPr>
                      <w:rFonts w:hint="eastAsia"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rPr>
                    <w:t>牛栏江流域</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pacing w:val="0"/>
                      <w:sz w:val="21"/>
                      <w:szCs w:val="21"/>
                    </w:rPr>
                    <w:t>滇池</w:t>
                  </w:r>
                  <w:r>
                    <w:rPr>
                      <w:rFonts w:hint="eastAsia" w:ascii="Times New Roman" w:hAnsi="Times New Roman" w:eastAsia="宋体" w:cs="Times New Roman"/>
                      <w:color w:val="auto"/>
                      <w:spacing w:val="0"/>
                      <w:sz w:val="21"/>
                      <w:szCs w:val="21"/>
                      <w:lang w:val="en-US" w:eastAsia="zh-CN"/>
                    </w:rPr>
                    <w:t>和</w:t>
                  </w:r>
                  <w:r>
                    <w:rPr>
                      <w:rFonts w:hint="default" w:ascii="Times New Roman" w:hAnsi="Times New Roman" w:eastAsia="宋体" w:cs="Times New Roman"/>
                      <w:color w:val="auto"/>
                      <w:spacing w:val="0"/>
                      <w:sz w:val="21"/>
                      <w:szCs w:val="21"/>
                    </w:rPr>
                    <w:t>阳宗海流域</w:t>
                  </w:r>
                  <w:r>
                    <w:rPr>
                      <w:rFonts w:hint="default" w:ascii="Times New Roman" w:hAnsi="Times New Roman" w:eastAsia="宋体" w:cs="Times New Roman"/>
                      <w:color w:val="auto"/>
                      <w:sz w:val="21"/>
                      <w:szCs w:val="21"/>
                    </w:rPr>
                    <w:t>。</w:t>
                  </w:r>
                </w:p>
              </w:tc>
              <w:tc>
                <w:tcPr>
                  <w:tcW w:w="535" w:type="pct"/>
                  <w:vAlign w:val="center"/>
                </w:tcPr>
                <w:p w14:paraId="377BD04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17E3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427" w:type="pct"/>
                  <w:vAlign w:val="center"/>
                </w:tcPr>
                <w:p w14:paraId="6C9271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污染物排放管控</w:t>
                  </w:r>
                </w:p>
              </w:tc>
              <w:tc>
                <w:tcPr>
                  <w:tcW w:w="2353" w:type="pct"/>
                  <w:vAlign w:val="center"/>
                </w:tcPr>
                <w:p w14:paraId="3023B997">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昆明市地表水国、省控断面达到或好于III类水体比例应达到81.5%；滇池草海水质稳定达到IV类、外海水质达到IV类（COD≤40mg/L），阳宗海水质稳定达到Ⅲ类水标准，县级及以上集中式饮用水水源地水质达标率100%。化学需氧量重点工程减排量10243t，氨氮重点工程减排量1009t。</w:t>
                  </w:r>
                </w:p>
                <w:p w14:paraId="02B907A6">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到2025年，昆明市环境空气质量优良天数比例应达到99.1%，城市细颗粒物（PM</w:t>
                  </w:r>
                  <w:r>
                    <w:rPr>
                      <w:rFonts w:hint="default" w:ascii="Times New Roman" w:hAnsi="Times New Roman" w:eastAsia="宋体" w:cs="Times New Roman"/>
                      <w:color w:val="auto"/>
                      <w:spacing w:val="0"/>
                      <w:kern w:val="0"/>
                      <w:sz w:val="21"/>
                      <w:szCs w:val="21"/>
                      <w:vertAlign w:val="subscript"/>
                    </w:rPr>
                    <w:t>2.5</w:t>
                  </w:r>
                  <w:r>
                    <w:rPr>
                      <w:rFonts w:hint="default" w:ascii="Times New Roman" w:hAnsi="Times New Roman" w:eastAsia="宋体" w:cs="Times New Roman"/>
                      <w:color w:val="auto"/>
                      <w:spacing w:val="0"/>
                      <w:kern w:val="0"/>
                      <w:sz w:val="21"/>
                      <w:szCs w:val="21"/>
                    </w:rPr>
                    <w:t>）平均浓度应达到24μg/m³；氮氧化物重点工程减排量2237t，挥发性有机物重点工程减排量1684t。</w:t>
                  </w:r>
                </w:p>
                <w:p w14:paraId="5E3A8455">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36681CB1">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建立完善源头、过程和末端的VOCs全过程控制体系，实施VOCs排放总量控制。</w:t>
                  </w:r>
                </w:p>
                <w:p w14:paraId="0546626C">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推进农业废弃物综合利用，2025年底前综合利用率达90%以上。</w:t>
                  </w:r>
                </w:p>
                <w:p w14:paraId="75C70838">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0C05C067">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7</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0C970755">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5B80FEC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推动昆明市磷石膏综合利用率2023年达到52%，2024年达到64%，2025年确保达到73%，力争达到75%；到2025年底，中心城区污泥无害化处置率达到95%以上，县城污泥无害化处置率达到90%以上。</w:t>
                  </w:r>
                </w:p>
              </w:tc>
              <w:tc>
                <w:tcPr>
                  <w:tcW w:w="1684" w:type="pct"/>
                  <w:vAlign w:val="center"/>
                </w:tcPr>
                <w:p w14:paraId="179931D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（1）项目周围水域主要为</w:t>
                  </w:r>
                  <w:r>
                    <w:rPr>
                      <w:rFonts w:hint="eastAsia" w:cs="Times New Roman"/>
                      <w:color w:val="auto"/>
                      <w:kern w:val="0"/>
                      <w:sz w:val="21"/>
                      <w:szCs w:val="21"/>
                      <w:lang w:val="en-US" w:eastAsia="zh-CN" w:bidi="ar-SA"/>
                    </w:rPr>
                    <w:t>牛栏江</w:t>
                  </w:r>
                  <w:r>
                    <w:rPr>
                      <w:rFonts w:hint="eastAsia" w:ascii="Times New Roman" w:hAnsi="Times New Roman" w:eastAsia="宋体" w:cs="Times New Roman"/>
                      <w:color w:val="auto"/>
                      <w:sz w:val="21"/>
                      <w:szCs w:val="21"/>
                      <w:lang w:val="en-US" w:eastAsia="zh-CN"/>
                    </w:rPr>
                    <w:t>，根据</w:t>
                  </w:r>
                  <w:r>
                    <w:rPr>
                      <w:rFonts w:hint="eastAsia" w:ascii="Times New Roman" w:hAnsi="Times New Roman" w:eastAsia="宋体" w:cs="Times New Roman"/>
                      <w:color w:val="auto"/>
                      <w:kern w:val="0"/>
                      <w:sz w:val="21"/>
                      <w:szCs w:val="21"/>
                      <w:lang w:val="en-US" w:eastAsia="zh-CN" w:bidi="ar-SA"/>
                    </w:rPr>
                    <w:t>《寻甸县2024年第二季度环境质量公报》</w:t>
                  </w:r>
                  <w:r>
                    <w:rPr>
                      <w:rFonts w:hint="default" w:ascii="Times New Roman" w:hAnsi="Times New Roman" w:eastAsia="宋体" w:cs="Times New Roman"/>
                      <w:color w:val="auto"/>
                      <w:sz w:val="21"/>
                      <w:szCs w:val="21"/>
                      <w:lang w:val="en-US" w:eastAsia="zh-CN"/>
                    </w:rPr>
                    <w:t>，</w:t>
                  </w:r>
                  <w:r>
                    <w:rPr>
                      <w:rFonts w:hint="eastAsia" w:cs="Times New Roman"/>
                      <w:color w:val="auto"/>
                      <w:kern w:val="0"/>
                      <w:sz w:val="21"/>
                      <w:szCs w:val="21"/>
                      <w:lang w:val="en-US" w:eastAsia="zh-CN" w:bidi="ar-SA"/>
                    </w:rPr>
                    <w:t>牛栏江</w:t>
                  </w:r>
                  <w:r>
                    <w:rPr>
                      <w:rFonts w:hint="eastAsia" w:ascii="Times New Roman" w:hAnsi="Times New Roman" w:eastAsia="宋体" w:cs="Times New Roman"/>
                      <w:color w:val="auto"/>
                      <w:kern w:val="0"/>
                      <w:sz w:val="21"/>
                      <w:szCs w:val="21"/>
                      <w:lang w:val="en-US" w:eastAsia="zh-CN" w:bidi="ar-SA"/>
                    </w:rPr>
                    <w:t>河口糯基桥断面水质类别为Ⅱ类</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达到水质考核目标要求</w:t>
                  </w:r>
                  <w:r>
                    <w:rPr>
                      <w:rFonts w:hint="eastAsia"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《地表水环境质量标准》（GB3838-2002）</w:t>
                  </w:r>
                  <w:r>
                    <w:rPr>
                      <w:rFonts w:hint="eastAsia" w:ascii="Times New Roman" w:hAnsi="Times New Roman" w:eastAsia="宋体" w:cs="Times New Roman"/>
                      <w:color w:val="auto"/>
                      <w:kern w:val="0"/>
                      <w:sz w:val="21"/>
                      <w:szCs w:val="21"/>
                      <w:lang w:val="en-US" w:eastAsia="zh-CN" w:bidi="ar-SA"/>
                    </w:rPr>
                    <w:t>Ⅲ</w:t>
                  </w:r>
                  <w:r>
                    <w:rPr>
                      <w:rFonts w:hint="eastAsia" w:ascii="Times New Roman" w:hAnsi="Times New Roman" w:eastAsia="宋体" w:cs="Times New Roman"/>
                      <w:color w:val="auto"/>
                      <w:sz w:val="21"/>
                      <w:szCs w:val="21"/>
                      <w:lang w:val="en-US" w:eastAsia="zh-CN"/>
                    </w:rPr>
                    <w:t>类水标准</w:t>
                  </w:r>
                  <w:r>
                    <w:rPr>
                      <w:rFonts w:hint="default" w:ascii="Times New Roman" w:hAnsi="Times New Roman" w:eastAsia="宋体" w:cs="Times New Roman"/>
                      <w:color w:val="auto"/>
                      <w:sz w:val="21"/>
                      <w:szCs w:val="21"/>
                      <w:lang w:val="en-US" w:eastAsia="zh-CN"/>
                    </w:rPr>
                    <w:t>。项目为</w:t>
                  </w:r>
                  <w:r>
                    <w:rPr>
                      <w:rFonts w:hint="eastAsia" w:ascii="宋体" w:hAnsi="宋体" w:cs="宋体"/>
                      <w:color w:val="auto"/>
                      <w:spacing w:val="-3"/>
                      <w:sz w:val="21"/>
                      <w:szCs w:val="21"/>
                      <w:lang w:val="en-US" w:eastAsia="zh-CN"/>
                    </w:rPr>
                    <w:t>光伏发电</w:t>
                  </w:r>
                  <w:r>
                    <w:rPr>
                      <w:rFonts w:hint="default" w:ascii="宋体" w:hAnsi="宋体" w:eastAsia="宋体" w:cs="宋体"/>
                      <w:color w:val="auto"/>
                      <w:spacing w:val="-3"/>
                      <w:sz w:val="21"/>
                      <w:szCs w:val="21"/>
                    </w:rPr>
                    <w:t>项目</w:t>
                  </w:r>
                  <w:r>
                    <w:rPr>
                      <w:rFonts w:hint="eastAsia"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lang w:val="en-US" w:eastAsia="zh-CN"/>
                    </w:rPr>
                    <w:t>氮氧化物</w:t>
                  </w:r>
                  <w:r>
                    <w:rPr>
                      <w:rFonts w:hint="eastAsia"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lang w:val="en-US" w:eastAsia="zh-CN"/>
                    </w:rPr>
                    <w:t>挥发性有机物重点工程。</w:t>
                  </w:r>
                </w:p>
                <w:p w14:paraId="7E3915A2">
                  <w:pPr>
                    <w:keepNext w:val="0"/>
                    <w:keepLines w:val="0"/>
                    <w:suppressLineNumbers w:val="0"/>
                    <w:spacing w:before="0" w:beforeAutospacing="0" w:after="0" w:afterAutospacing="0" w:line="240" w:lineRule="auto"/>
                    <w:ind w:left="0" w:right="0"/>
                    <w:jc w:val="left"/>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（2）根据《2023年度昆明市生态环境状况公报》，主城区空气质量优189天，良好167天，空气质量优良率97.53%</w:t>
                  </w:r>
                  <w:r>
                    <w:rPr>
                      <w:rFonts w:hint="eastAsia" w:cs="Times New Roman"/>
                      <w:color w:val="auto"/>
                      <w:sz w:val="21"/>
                      <w:szCs w:val="21"/>
                      <w:lang w:val="en-US" w:eastAsia="zh-CN"/>
                    </w:rPr>
                    <w:t>，满足要求</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本项目为</w:t>
                  </w:r>
                  <w:r>
                    <w:rPr>
                      <w:rFonts w:hint="eastAsia" w:ascii="宋体" w:hAnsi="宋体" w:cs="宋体"/>
                      <w:color w:val="auto"/>
                      <w:spacing w:val="-3"/>
                      <w:sz w:val="21"/>
                      <w:szCs w:val="21"/>
                      <w:lang w:val="en-US" w:eastAsia="zh-CN"/>
                    </w:rPr>
                    <w:t>光伏发电</w:t>
                  </w:r>
                  <w:r>
                    <w:rPr>
                      <w:rFonts w:hint="default" w:ascii="宋体" w:hAnsi="宋体" w:eastAsia="宋体" w:cs="宋体"/>
                      <w:color w:val="auto"/>
                      <w:spacing w:val="-3"/>
                      <w:sz w:val="21"/>
                      <w:szCs w:val="21"/>
                    </w:rPr>
                    <w:t>项目</w:t>
                  </w:r>
                  <w:r>
                    <w:rPr>
                      <w:rFonts w:hint="eastAsia" w:cs="Times New Roman"/>
                      <w:color w:val="auto"/>
                      <w:sz w:val="21"/>
                      <w:szCs w:val="21"/>
                      <w:lang w:val="en-US" w:eastAsia="zh-CN"/>
                    </w:rPr>
                    <w:t>，</w:t>
                  </w:r>
                  <w:r>
                    <w:rPr>
                      <w:rFonts w:hint="eastAsia" w:ascii="Times New Roman" w:hAnsi="Times New Roman" w:eastAsia="宋体" w:cs="Times New Roman"/>
                      <w:color w:val="auto"/>
                      <w:spacing w:val="0"/>
                      <w:kern w:val="0"/>
                      <w:sz w:val="21"/>
                      <w:szCs w:val="21"/>
                      <w:lang w:val="en-US" w:eastAsia="zh-CN"/>
                    </w:rPr>
                    <w:t>不属于</w:t>
                  </w:r>
                  <w:r>
                    <w:rPr>
                      <w:rFonts w:hint="default" w:ascii="Times New Roman" w:hAnsi="Times New Roman" w:eastAsia="宋体" w:cs="Times New Roman"/>
                      <w:color w:val="auto"/>
                      <w:spacing w:val="0"/>
                      <w:kern w:val="0"/>
                      <w:sz w:val="21"/>
                      <w:szCs w:val="21"/>
                      <w:lang w:val="en-US" w:eastAsia="zh-CN"/>
                    </w:rPr>
                    <w:t>氮氧化物</w:t>
                  </w:r>
                  <w:r>
                    <w:rPr>
                      <w:rFonts w:hint="eastAsia" w:ascii="Times New Roman" w:hAnsi="Times New Roman" w:eastAsia="宋体" w:cs="Times New Roman"/>
                      <w:color w:val="auto"/>
                      <w:spacing w:val="0"/>
                      <w:kern w:val="0"/>
                      <w:sz w:val="21"/>
                      <w:szCs w:val="21"/>
                      <w:lang w:val="en-US" w:eastAsia="zh-CN"/>
                    </w:rPr>
                    <w:t>和</w:t>
                  </w:r>
                  <w:r>
                    <w:rPr>
                      <w:rFonts w:hint="default" w:ascii="Times New Roman" w:hAnsi="Times New Roman" w:eastAsia="宋体" w:cs="Times New Roman"/>
                      <w:color w:val="auto"/>
                      <w:spacing w:val="0"/>
                      <w:kern w:val="0"/>
                      <w:sz w:val="21"/>
                      <w:szCs w:val="21"/>
                      <w:lang w:val="en-US" w:eastAsia="zh-CN"/>
                    </w:rPr>
                    <w:t>挥发</w:t>
                  </w:r>
                  <w:r>
                    <w:rPr>
                      <w:rFonts w:hint="default" w:ascii="Times New Roman" w:hAnsi="Times New Roman" w:eastAsia="宋体" w:cs="Times New Roman"/>
                      <w:color w:val="auto"/>
                      <w:spacing w:val="0"/>
                      <w:kern w:val="0"/>
                      <w:sz w:val="21"/>
                      <w:szCs w:val="21"/>
                      <w:lang w:eastAsia="zh-CN"/>
                    </w:rPr>
                    <w:t>性有机物重点工程。</w:t>
                  </w:r>
                </w:p>
                <w:p w14:paraId="31E6A42C">
                  <w:pPr>
                    <w:keepNext w:val="0"/>
                    <w:keepLines w:val="0"/>
                    <w:numPr>
                      <w:ilvl w:val="0"/>
                      <w:numId w:val="0"/>
                    </w:numPr>
                    <w:suppressLineNumbers w:val="0"/>
                    <w:spacing w:before="0" w:beforeAutospacing="0" w:after="0" w:afterAutospacing="0" w:line="240" w:lineRule="auto"/>
                    <w:ind w:left="0" w:right="0" w:rightChars="0"/>
                    <w:jc w:val="left"/>
                    <w:rPr>
                      <w:rFonts w:hint="eastAsia"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highlight w:val="none"/>
                      <w:lang w:val="en-US" w:eastAsia="zh-CN"/>
                    </w:rPr>
                    <w:t>~（9）项目不涉及</w:t>
                  </w:r>
                  <w:r>
                    <w:rPr>
                      <w:rFonts w:hint="eastAsia" w:ascii="Times New Roman" w:hAnsi="Times New Roman" w:eastAsia="宋体" w:cs="Times New Roman"/>
                      <w:color w:val="auto"/>
                      <w:spacing w:val="0"/>
                      <w:kern w:val="0"/>
                      <w:sz w:val="21"/>
                      <w:szCs w:val="21"/>
                      <w:lang w:eastAsia="zh-CN"/>
                    </w:rPr>
                    <w:t>。</w:t>
                  </w:r>
                </w:p>
              </w:tc>
              <w:tc>
                <w:tcPr>
                  <w:tcW w:w="535" w:type="pct"/>
                  <w:vAlign w:val="center"/>
                </w:tcPr>
                <w:p w14:paraId="332C8B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3A50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7A8D2F5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环境风险防控</w:t>
                  </w:r>
                </w:p>
              </w:tc>
              <w:tc>
                <w:tcPr>
                  <w:tcW w:w="2353" w:type="pct"/>
                  <w:vAlign w:val="center"/>
                </w:tcPr>
                <w:p w14:paraId="47CDF7C3">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大放射性物质、电磁辐射、危险废物、医疗废物、尾矿库渣场、危险化学品、重金属等风险要素防控力度，全过程监控风险要素产生、使用、储存、运输、处理处置，实现智能化预警与报警，有效降低各类环境风险。</w:t>
                  </w:r>
                </w:p>
                <w:p w14:paraId="1D71FA6A">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针对持久性有机污染物、内分泌干扰物等新污染物，制定实施新污染物治理行动方案，开展新污染物筛查与评估，建立清单，开展化学物质生产使用信息调查，实施调查监测和环境风险评估。</w:t>
                  </w:r>
                </w:p>
                <w:p w14:paraId="724FE2A9">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开展重点区域、重点领域环境风险调查评估，加强源头预防、过程管控、末端治理；建设环境应急技术库和物资库，推动各地更新扩充应急物资和防护装备，提升环境应急指挥信息化水平，完善环境应急管理体系。</w:t>
                  </w:r>
                </w:p>
                <w:p w14:paraId="191B5C44">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开展“千吨万人”农村饮用水水源保护区环境风险排查整治，加强农村水源水质监测。</w:t>
                  </w:r>
                </w:p>
                <w:p w14:paraId="37B255CB">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4DB4137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严格新（改、扩）建尾矿库环境准入，健全尾矿库环境监管清单，加强尾矿库分类分级环境监管。严格落实《云南省尾矿库专项整治工作实施方案》。</w:t>
                  </w:r>
                </w:p>
              </w:tc>
              <w:tc>
                <w:tcPr>
                  <w:tcW w:w="1684" w:type="pct"/>
                  <w:vAlign w:val="center"/>
                </w:tcPr>
                <w:p w14:paraId="6972D3C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eastAsia" w:ascii="Times New Roman" w:hAnsi="Times New Roman" w:eastAsia="宋体" w:cs="Times New Roman"/>
                      <w:color w:val="auto"/>
                      <w:spacing w:val="0"/>
                      <w:kern w:val="0"/>
                      <w:sz w:val="21"/>
                      <w:szCs w:val="21"/>
                      <w:lang w:val="en-US" w:eastAsia="zh-CN"/>
                    </w:rPr>
                    <w:t>运营期产生的废变压器油</w:t>
                  </w:r>
                  <w:r>
                    <w:rPr>
                      <w:rFonts w:hint="eastAsia" w:ascii="Times New Roman" w:hAnsi="Times New Roman" w:cs="Times New Roman"/>
                      <w:color w:val="auto"/>
                      <w:spacing w:val="0"/>
                      <w:kern w:val="0"/>
                      <w:sz w:val="21"/>
                      <w:szCs w:val="21"/>
                      <w:lang w:val="en-US" w:eastAsia="zh-CN"/>
                    </w:rPr>
                    <w:t>暂存事故油池及</w:t>
                  </w:r>
                  <w:r>
                    <w:rPr>
                      <w:rFonts w:hint="eastAsia" w:ascii="Times New Roman" w:hAnsi="Times New Roman" w:cs="Times New Roman"/>
                      <w:color w:val="auto"/>
                      <w:sz w:val="21"/>
                      <w:szCs w:val="21"/>
                      <w:highlight w:val="none"/>
                      <w:shd w:val="clear" w:color="auto" w:fill="auto"/>
                      <w:lang w:val="en-US" w:eastAsia="zh-CN"/>
                    </w:rPr>
                    <w:t>竹园沟光伏发电项目</w:t>
                  </w:r>
                  <w:r>
                    <w:rPr>
                      <w:rFonts w:hint="default" w:ascii="Times New Roman" w:hAnsi="Times New Roman" w:eastAsia="宋体" w:cs="Times New Roman"/>
                      <w:color w:val="auto"/>
                      <w:sz w:val="21"/>
                      <w:szCs w:val="21"/>
                      <w:highlight w:val="none"/>
                      <w:lang w:val="en-US" w:eastAsia="zh-CN"/>
                    </w:rPr>
                    <w:t>升压站</w:t>
                  </w:r>
                  <w:r>
                    <w:rPr>
                      <w:rFonts w:hint="eastAsia" w:ascii="Times New Roman" w:hAnsi="Times New Roman" w:cs="Times New Roman"/>
                      <w:color w:val="auto"/>
                      <w:spacing w:val="0"/>
                      <w:kern w:val="0"/>
                      <w:sz w:val="21"/>
                      <w:szCs w:val="21"/>
                      <w:lang w:val="en-US" w:eastAsia="zh-CN"/>
                    </w:rPr>
                    <w:t>危废</w:t>
                  </w:r>
                  <w:r>
                    <w:rPr>
                      <w:rFonts w:hint="eastAsia" w:cs="Times New Roman"/>
                      <w:color w:val="auto"/>
                      <w:spacing w:val="0"/>
                      <w:kern w:val="0"/>
                      <w:sz w:val="21"/>
                      <w:szCs w:val="21"/>
                      <w:lang w:val="en-US" w:eastAsia="zh-CN"/>
                    </w:rPr>
                    <w:t>贮存库</w:t>
                  </w:r>
                  <w:r>
                    <w:rPr>
                      <w:rFonts w:hint="eastAsia" w:ascii="Times New Roman" w:hAnsi="Times New Roman" w:cs="Times New Roman"/>
                      <w:color w:val="auto"/>
                      <w:spacing w:val="0"/>
                      <w:kern w:val="0"/>
                      <w:sz w:val="21"/>
                      <w:szCs w:val="21"/>
                      <w:lang w:val="en-US" w:eastAsia="zh-CN"/>
                    </w:rPr>
                    <w:t>，委托有资质单位处置，通过采取以上防控措施，可有效降低环境风险</w:t>
                  </w:r>
                  <w:r>
                    <w:rPr>
                      <w:rFonts w:hint="default" w:ascii="Times New Roman" w:hAnsi="Times New Roman" w:eastAsia="宋体" w:cs="Times New Roman"/>
                      <w:color w:val="auto"/>
                      <w:spacing w:val="0"/>
                      <w:kern w:val="0"/>
                      <w:sz w:val="21"/>
                      <w:szCs w:val="21"/>
                      <w:lang w:eastAsia="zh-CN"/>
                    </w:rPr>
                    <w:t>。</w:t>
                  </w:r>
                </w:p>
                <w:p w14:paraId="45AC66B5">
                  <w:pPr>
                    <w:keepNext w:val="0"/>
                    <w:keepLines w:val="0"/>
                    <w:suppressLineNumbers w:val="0"/>
                    <w:spacing w:before="0" w:beforeAutospacing="0" w:after="0" w:afterAutospacing="0" w:line="240" w:lineRule="auto"/>
                    <w:ind w:left="0" w:right="0"/>
                    <w:jc w:val="left"/>
                    <w:rPr>
                      <w:rFonts w:hint="eastAsia" w:eastAsia="宋体" w:cs="Times New Roman"/>
                      <w:color w:val="auto"/>
                      <w:spacing w:val="0"/>
                      <w:kern w:val="0"/>
                      <w:sz w:val="21"/>
                      <w:szCs w:val="21"/>
                      <w:lang w:eastAsia="zh-CN"/>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2</w:t>
                  </w:r>
                  <w:r>
                    <w:rPr>
                      <w:rFonts w:hint="eastAsia"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lang w:val="en-US" w:eastAsia="zh-CN"/>
                    </w:rPr>
                    <w:t>项目</w:t>
                  </w:r>
                  <w:r>
                    <w:rPr>
                      <w:rFonts w:hint="eastAsia" w:ascii="Times New Roman" w:hAnsi="Times New Roman" w:eastAsia="宋体" w:cs="Times New Roman"/>
                      <w:color w:val="auto"/>
                      <w:spacing w:val="0"/>
                      <w:kern w:val="0"/>
                      <w:sz w:val="21"/>
                      <w:szCs w:val="21"/>
                      <w:lang w:val="en-US" w:eastAsia="zh-CN"/>
                    </w:rPr>
                    <w:t>不涉及</w:t>
                  </w:r>
                  <w:r>
                    <w:rPr>
                      <w:rFonts w:hint="eastAsia" w:cs="Times New Roman"/>
                      <w:color w:val="auto"/>
                      <w:sz w:val="21"/>
                      <w:szCs w:val="21"/>
                      <w:lang w:eastAsia="zh-CN"/>
                    </w:rPr>
                    <w:t>。</w:t>
                  </w:r>
                </w:p>
                <w:p w14:paraId="25E0764C">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pacing w:val="0"/>
                      <w:kern w:val="0"/>
                      <w:sz w:val="21"/>
                      <w:szCs w:val="21"/>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3</w:t>
                  </w:r>
                  <w:r>
                    <w:rPr>
                      <w:rFonts w:hint="eastAsia"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lang w:val="en-US" w:eastAsia="zh-CN"/>
                    </w:rPr>
                    <w:t>项目从施工期到运营期制定了一系列的环境保护措施，</w:t>
                  </w:r>
                  <w:r>
                    <w:rPr>
                      <w:rFonts w:hint="default" w:ascii="Times New Roman" w:hAnsi="Times New Roman" w:eastAsia="宋体" w:cs="Times New Roman"/>
                      <w:color w:val="auto"/>
                      <w:spacing w:val="0"/>
                      <w:kern w:val="0"/>
                      <w:sz w:val="21"/>
                      <w:szCs w:val="21"/>
                      <w:lang w:eastAsia="zh-CN"/>
                    </w:rPr>
                    <w:t>项目后续将按要求编制</w:t>
                  </w:r>
                  <w:r>
                    <w:rPr>
                      <w:rFonts w:hint="default" w:ascii="Times New Roman" w:hAnsi="Times New Roman" w:eastAsia="宋体" w:cs="Times New Roman"/>
                      <w:color w:val="auto"/>
                      <w:spacing w:val="0"/>
                      <w:kern w:val="0"/>
                      <w:sz w:val="21"/>
                      <w:szCs w:val="21"/>
                    </w:rPr>
                    <w:t>突发环境事件应急预案，建立环境风险预测预警体系，提高预警能力。</w:t>
                  </w:r>
                </w:p>
                <w:p w14:paraId="0DF81BAD">
                  <w:pPr>
                    <w:keepNext w:val="0"/>
                    <w:keepLines w:val="0"/>
                    <w:suppressLineNumbers w:val="0"/>
                    <w:spacing w:before="0" w:beforeAutospacing="0" w:after="0" w:afterAutospacing="0" w:line="240" w:lineRule="auto"/>
                    <w:ind w:left="0" w:right="0"/>
                    <w:jc w:val="left"/>
                    <w:rPr>
                      <w:rFonts w:hint="eastAsia" w:cs="Times New Roman"/>
                      <w:color w:val="auto"/>
                      <w:spacing w:val="0"/>
                      <w:kern w:val="0"/>
                      <w:sz w:val="21"/>
                      <w:szCs w:val="21"/>
                      <w:lang w:eastAsia="zh-CN"/>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4</w:t>
                  </w: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本项目不涉及</w:t>
                  </w:r>
                  <w:r>
                    <w:rPr>
                      <w:rFonts w:hint="default" w:ascii="Times New Roman" w:hAnsi="Times New Roman" w:eastAsia="宋体" w:cs="Times New Roman"/>
                      <w:color w:val="auto"/>
                      <w:spacing w:val="0"/>
                      <w:kern w:val="0"/>
                      <w:sz w:val="21"/>
                      <w:szCs w:val="21"/>
                    </w:rPr>
                    <w:t>农村饮用水水源保护区环境风险排查整治</w:t>
                  </w:r>
                  <w:r>
                    <w:rPr>
                      <w:rFonts w:hint="eastAsia" w:cs="Times New Roman"/>
                      <w:color w:val="auto"/>
                      <w:spacing w:val="0"/>
                      <w:kern w:val="0"/>
                      <w:sz w:val="21"/>
                      <w:szCs w:val="21"/>
                      <w:lang w:eastAsia="zh-CN"/>
                    </w:rPr>
                    <w:t>。</w:t>
                  </w:r>
                </w:p>
                <w:p w14:paraId="4CFD3E57">
                  <w:pPr>
                    <w:keepNext w:val="0"/>
                    <w:keepLines w:val="0"/>
                    <w:suppressLineNumbers w:val="0"/>
                    <w:spacing w:before="0" w:beforeAutospacing="0" w:after="0" w:afterAutospacing="0" w:line="240" w:lineRule="auto"/>
                    <w:ind w:left="0" w:right="0"/>
                    <w:jc w:val="left"/>
                    <w:rPr>
                      <w:rFonts w:hint="eastAsia" w:cs="Times New Roman"/>
                      <w:color w:val="auto"/>
                      <w:sz w:val="21"/>
                      <w:szCs w:val="21"/>
                      <w:highlight w:val="none"/>
                      <w:lang w:eastAsia="zh-CN"/>
                    </w:rPr>
                  </w:pPr>
                  <w:r>
                    <w:rPr>
                      <w:rFonts w:hint="eastAsia" w:cs="Times New Roman"/>
                      <w:color w:val="auto"/>
                      <w:spacing w:val="0"/>
                      <w:kern w:val="0"/>
                      <w:sz w:val="21"/>
                      <w:szCs w:val="21"/>
                      <w:lang w:eastAsia="zh-CN"/>
                    </w:rPr>
                    <w:t>（</w:t>
                  </w:r>
                  <w:r>
                    <w:rPr>
                      <w:rFonts w:hint="eastAsia" w:cs="Times New Roman"/>
                      <w:color w:val="auto"/>
                      <w:spacing w:val="0"/>
                      <w:kern w:val="0"/>
                      <w:sz w:val="21"/>
                      <w:szCs w:val="21"/>
                      <w:lang w:val="en-US" w:eastAsia="zh-CN"/>
                    </w:rPr>
                    <w:t>5</w:t>
                  </w:r>
                  <w:r>
                    <w:rPr>
                      <w:rFonts w:hint="eastAsia"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lang w:val="en-US" w:eastAsia="zh-CN"/>
                    </w:rPr>
                    <w:t>项目涉及的危险废物为废变压器油，拟建</w:t>
                  </w:r>
                  <w:r>
                    <w:rPr>
                      <w:rFonts w:hint="eastAsia" w:cs="Times New Roman"/>
                      <w:color w:val="auto"/>
                      <w:spacing w:val="0"/>
                      <w:kern w:val="0"/>
                      <w:sz w:val="21"/>
                      <w:szCs w:val="21"/>
                      <w:lang w:val="en-US" w:eastAsia="zh-CN"/>
                    </w:rPr>
                    <w:t>箱变</w:t>
                  </w:r>
                  <w:r>
                    <w:rPr>
                      <w:rFonts w:hint="eastAsia" w:ascii="Times New Roman" w:hAnsi="Times New Roman" w:eastAsia="宋体" w:cs="Times New Roman"/>
                      <w:color w:val="auto"/>
                      <w:spacing w:val="0"/>
                      <w:kern w:val="0"/>
                      <w:sz w:val="21"/>
                      <w:szCs w:val="21"/>
                      <w:lang w:val="en-US" w:eastAsia="zh-CN"/>
                    </w:rPr>
                    <w:t>配置了事故油池，废变压器油进入事故油池</w:t>
                  </w:r>
                  <w:r>
                    <w:rPr>
                      <w:rFonts w:hint="eastAsia" w:cs="Times New Roman"/>
                      <w:color w:val="auto"/>
                      <w:spacing w:val="0"/>
                      <w:kern w:val="0"/>
                      <w:sz w:val="21"/>
                      <w:szCs w:val="21"/>
                      <w:lang w:val="en-US" w:eastAsia="zh-CN"/>
                    </w:rPr>
                    <w:t>收集后</w:t>
                  </w:r>
                  <w:r>
                    <w:rPr>
                      <w:rFonts w:hint="eastAsia" w:ascii="Times New Roman" w:hAnsi="Times New Roman" w:eastAsia="宋体" w:cs="Times New Roman"/>
                      <w:color w:val="auto"/>
                      <w:spacing w:val="0"/>
                      <w:kern w:val="0"/>
                      <w:sz w:val="21"/>
                      <w:szCs w:val="21"/>
                      <w:lang w:val="en-US" w:eastAsia="zh-CN"/>
                    </w:rPr>
                    <w:t>暂存后委托有资质单位进行处置，废旧蓄电池暂存于</w:t>
                  </w:r>
                  <w:r>
                    <w:rPr>
                      <w:rFonts w:hint="eastAsia" w:ascii="Times New Roman" w:hAnsi="Times New Roman" w:cs="Times New Roman"/>
                      <w:color w:val="auto"/>
                      <w:sz w:val="21"/>
                      <w:szCs w:val="21"/>
                      <w:highlight w:val="none"/>
                      <w:shd w:val="clear" w:color="auto" w:fill="auto"/>
                      <w:lang w:val="en-US" w:eastAsia="zh-CN"/>
                    </w:rPr>
                    <w:t>竹园沟光伏发电项目</w:t>
                  </w:r>
                  <w:r>
                    <w:rPr>
                      <w:rFonts w:hint="default" w:ascii="Times New Roman" w:hAnsi="Times New Roman" w:eastAsia="宋体" w:cs="Times New Roman"/>
                      <w:color w:val="auto"/>
                      <w:sz w:val="21"/>
                      <w:szCs w:val="21"/>
                      <w:highlight w:val="none"/>
                      <w:lang w:val="en-US" w:eastAsia="zh-CN"/>
                    </w:rPr>
                    <w:t>升压站</w:t>
                  </w:r>
                  <w:r>
                    <w:rPr>
                      <w:rFonts w:hint="eastAsia" w:ascii="Times New Roman" w:hAnsi="Times New Roman" w:cs="Times New Roman"/>
                      <w:color w:val="auto"/>
                      <w:spacing w:val="0"/>
                      <w:kern w:val="0"/>
                      <w:sz w:val="21"/>
                      <w:szCs w:val="21"/>
                      <w:lang w:val="en-US" w:eastAsia="zh-CN"/>
                    </w:rPr>
                    <w:t>危废</w:t>
                  </w:r>
                  <w:r>
                    <w:rPr>
                      <w:rFonts w:hint="eastAsia" w:cs="Times New Roman"/>
                      <w:color w:val="auto"/>
                      <w:spacing w:val="0"/>
                      <w:kern w:val="0"/>
                      <w:sz w:val="21"/>
                      <w:szCs w:val="21"/>
                      <w:lang w:val="en-US" w:eastAsia="zh-CN"/>
                    </w:rPr>
                    <w:t>贮存库</w:t>
                  </w:r>
                  <w:r>
                    <w:rPr>
                      <w:rFonts w:hint="eastAsia" w:ascii="Times New Roman" w:hAnsi="Times New Roman" w:eastAsia="宋体" w:cs="Times New Roman"/>
                      <w:color w:val="auto"/>
                      <w:spacing w:val="0"/>
                      <w:kern w:val="0"/>
                      <w:sz w:val="21"/>
                      <w:szCs w:val="21"/>
                      <w:lang w:val="en-US" w:eastAsia="zh-CN"/>
                    </w:rPr>
                    <w:t>，委托有危废处理资质的单位进行处理。</w:t>
                  </w:r>
                </w:p>
                <w:p w14:paraId="0EEF1F8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6</w:t>
                  </w:r>
                  <w:r>
                    <w:rPr>
                      <w:rFonts w:hint="eastAsia" w:cs="Times New Roman"/>
                      <w:color w:val="auto"/>
                      <w:sz w:val="21"/>
                      <w:szCs w:val="21"/>
                      <w:highlight w:val="none"/>
                      <w:lang w:eastAsia="zh-CN"/>
                    </w:rPr>
                    <w:t>）</w:t>
                  </w:r>
                  <w:r>
                    <w:rPr>
                      <w:rFonts w:hint="eastAsia" w:ascii="Times New Roman" w:hAnsi="Times New Roman" w:eastAsia="宋体" w:cs="Times New Roman"/>
                      <w:color w:val="auto"/>
                      <w:spacing w:val="0"/>
                      <w:kern w:val="0"/>
                      <w:sz w:val="21"/>
                      <w:szCs w:val="21"/>
                      <w:lang w:val="en-US" w:eastAsia="zh-CN"/>
                    </w:rPr>
                    <w:t>项目不涉及</w:t>
                  </w:r>
                  <w:r>
                    <w:rPr>
                      <w:rFonts w:hint="eastAsia" w:cs="Times New Roman"/>
                      <w:color w:val="auto"/>
                      <w:spacing w:val="0"/>
                      <w:kern w:val="0"/>
                      <w:sz w:val="21"/>
                      <w:szCs w:val="21"/>
                      <w:lang w:val="en-US" w:eastAsia="zh-CN"/>
                    </w:rPr>
                    <w:t>。</w:t>
                  </w:r>
                </w:p>
              </w:tc>
              <w:tc>
                <w:tcPr>
                  <w:tcW w:w="535" w:type="pct"/>
                  <w:vAlign w:val="center"/>
                </w:tcPr>
                <w:p w14:paraId="2B5A5D3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1EED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427" w:type="pct"/>
                  <w:vAlign w:val="center"/>
                </w:tcPr>
                <w:p w14:paraId="2BCA7F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资源利用效率</w:t>
                  </w:r>
                </w:p>
              </w:tc>
              <w:tc>
                <w:tcPr>
                  <w:tcW w:w="2353" w:type="pct"/>
                  <w:vAlign w:val="center"/>
                </w:tcPr>
                <w:p w14:paraId="0F08EBB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到2025年，基本建成与经济社会高质量发展和生态文明建设要求相适应、与由全面建成小康社会向基本实现现代化迈进起步期相协同的水安全保障体系。</w:t>
                  </w:r>
                </w:p>
                <w:p w14:paraId="181291C9">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节水型生产和生活方式初步建立，用水效率和效益显著提高，全社会节水意识明显增强，新时代节水型社会基本建成。全市用水总量控制在35.48亿m</w:t>
                  </w:r>
                  <w:r>
                    <w:rPr>
                      <w:rFonts w:hint="default" w:ascii="Times New Roman" w:hAnsi="Times New Roman" w:eastAsia="宋体" w:cs="Times New Roman"/>
                      <w:color w:val="auto"/>
                      <w:spacing w:val="0"/>
                      <w:kern w:val="0"/>
                      <w:sz w:val="21"/>
                      <w:szCs w:val="21"/>
                      <w:vertAlign w:val="superscript"/>
                    </w:rPr>
                    <w:t>3</w:t>
                  </w:r>
                  <w:r>
                    <w:rPr>
                      <w:rFonts w:hint="default" w:ascii="Times New Roman" w:hAnsi="Times New Roman" w:eastAsia="宋体" w:cs="Times New Roman"/>
                      <w:color w:val="auto"/>
                      <w:spacing w:val="0"/>
                      <w:kern w:val="0"/>
                      <w:sz w:val="21"/>
                      <w:szCs w:val="21"/>
                    </w:rPr>
                    <w:t>以内，万元GDP用水量较2020年下降10%，万元工业增加值用水量较2020年下降10%，农田灌溉水有效利用系数提高到0.55以上。</w:t>
                  </w:r>
                </w:p>
                <w:p w14:paraId="55C27170">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万元工业增加值用水量≤30（立方米/万元）。</w:t>
                  </w:r>
                </w:p>
                <w:p w14:paraId="0E0B853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2025年底前，全市单位地区生产总值能源消耗较2020年下降14%，能源消费总量得到合理控制。</w:t>
                  </w:r>
                </w:p>
                <w:p w14:paraId="4F1B42E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单位GDP能源消耗累计下降23.6%，不低于省级下达目标。</w:t>
                  </w:r>
                </w:p>
                <w:p w14:paraId="7687231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对照国家有关高耗能行业重点领域能效标杆水平，实施钢铁、有色金属、冶炼等17个高耗能行业节能降碳改造升级，加快提升重点行业、企业能效水平。</w:t>
                  </w:r>
                </w:p>
                <w:p w14:paraId="41DBCC6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7</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加强节能监察和探索用能预算管理，实施电机、变压器等重点用能设备能效提升三年行动，推广先进节能技术。</w:t>
                  </w:r>
                </w:p>
                <w:p w14:paraId="39604F2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到2025年，钢铁行业全面完成超低排放改造。</w:t>
                  </w:r>
                </w:p>
                <w:p w14:paraId="6E11DD2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加快推进有色、化工、印染、烟草等行业清洁生产和工业废水资源化利用。</w:t>
                  </w:r>
                </w:p>
                <w:p w14:paraId="11D5E36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10</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到2025年，全市新建大型及以上数据中心绿色低碳等级达到4A以上，电源使用效率（PUE）达到1.3以下，逐步组织电源使用效率超过1.5的数据中心进行节能降碳改造。</w:t>
                  </w:r>
                </w:p>
                <w:p w14:paraId="045B8500">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11</w:t>
                  </w:r>
                  <w:r>
                    <w:rPr>
                      <w:rFonts w:hint="eastAsia" w:ascii="Times New Roman" w:hAnsi="Times New Roman" w:cs="Times New Roman"/>
                      <w:color w:val="auto"/>
                      <w:spacing w:val="0"/>
                      <w:kern w:val="0"/>
                      <w:sz w:val="21"/>
                      <w:szCs w:val="21"/>
                      <w:lang w:eastAsia="zh-CN"/>
                    </w:rPr>
                    <w:t>）</w:t>
                  </w:r>
                  <w:r>
                    <w:rPr>
                      <w:rFonts w:hint="eastAsia" w:ascii="宋体" w:hAnsi="宋体" w:eastAsia="宋体" w:cs="宋体"/>
                      <w:color w:val="auto"/>
                      <w:spacing w:val="0"/>
                      <w:kern w:val="0"/>
                      <w:sz w:val="21"/>
                      <w:szCs w:val="21"/>
                    </w:rPr>
                    <w:t>“十四五”期</w:t>
                  </w:r>
                  <w:r>
                    <w:rPr>
                      <w:rFonts w:hint="default" w:ascii="Times New Roman" w:hAnsi="Times New Roman" w:eastAsia="宋体" w:cs="Times New Roman"/>
                      <w:color w:val="auto"/>
                      <w:spacing w:val="0"/>
                      <w:kern w:val="0"/>
                      <w:sz w:val="21"/>
                      <w:szCs w:val="21"/>
                    </w:rPr>
                    <w:t>间，全市规模以上工业单位增加值能耗下降14.5%，万元工业增加值用水量下降12%。</w:t>
                  </w:r>
                </w:p>
                <w:p w14:paraId="0B2BEFC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12</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到2025年，通过实施节能降碳提升工程，钢铁、电解铝、水泥、平板玻璃、炼油、乙烯、合成氨、电石等重点行业产能和数据中心达到能效标杆水平的比例超过30%。</w:t>
                  </w:r>
                </w:p>
                <w:p w14:paraId="64F6A9C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13</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公共机构单位建筑面积碳排放量比2020年下降7%。</w:t>
                  </w:r>
                </w:p>
                <w:p w14:paraId="0B2A3EB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非化石能源消费占一次能源消费比重达到40%以上，完成省级下达目标。</w:t>
                  </w:r>
                </w:p>
                <w:p w14:paraId="79D5C2D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15</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单位GDP二氧化碳排放累计下降23%，不低于省级下达目标。</w:t>
                  </w:r>
                </w:p>
                <w:p w14:paraId="03661DE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严把新上项目的碳排放关，严格环境影响评价审批，加强固定资产投资项目节能审查，推动新建“两高一低”项目能效水平应提尽提。</w:t>
                  </w:r>
                </w:p>
                <w:p w14:paraId="79F7B832">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17</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25F23E9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加快淘汰落后和低端低效产能退出。</w:t>
                  </w:r>
                </w:p>
                <w:p w14:paraId="23B01DA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指导金融机构加强“两高一低”项目贷前审核。</w:t>
                  </w:r>
                </w:p>
              </w:tc>
              <w:tc>
                <w:tcPr>
                  <w:tcW w:w="1684" w:type="pct"/>
                  <w:vAlign w:val="center"/>
                </w:tcPr>
                <w:p w14:paraId="29B51A1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项目不涉及。</w:t>
                  </w:r>
                </w:p>
                <w:p w14:paraId="146D539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2</w:t>
                  </w:r>
                  <w:r>
                    <w:rPr>
                      <w:rFonts w:hint="eastAsia" w:ascii="Times New Roman" w:hAnsi="Times New Roman" w:cs="Times New Roman"/>
                      <w:color w:val="auto"/>
                      <w:spacing w:val="0"/>
                      <w:kern w:val="0"/>
                      <w:sz w:val="21"/>
                      <w:szCs w:val="21"/>
                      <w:lang w:eastAsia="zh-CN"/>
                    </w:rPr>
                    <w:t>）</w:t>
                  </w:r>
                  <w:r>
                    <w:rPr>
                      <w:rFonts w:hint="eastAsia" w:cs="Times New Roman"/>
                      <w:color w:val="auto"/>
                      <w:spacing w:val="0"/>
                      <w:kern w:val="0"/>
                      <w:sz w:val="21"/>
                      <w:szCs w:val="21"/>
                      <w:lang w:val="en-US"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3</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项目用水仅为</w:t>
                  </w:r>
                  <w:r>
                    <w:rPr>
                      <w:rFonts w:hint="eastAsia" w:cs="Times New Roman"/>
                      <w:color w:val="auto"/>
                      <w:spacing w:val="0"/>
                      <w:kern w:val="0"/>
                      <w:sz w:val="21"/>
                      <w:szCs w:val="21"/>
                      <w:lang w:val="en-US" w:eastAsia="zh-CN"/>
                    </w:rPr>
                    <w:t>施工期施工废水和运营期</w:t>
                  </w:r>
                  <w:r>
                    <w:rPr>
                      <w:rFonts w:hint="eastAsia" w:ascii="Times New Roman" w:hAnsi="Times New Roman" w:cs="Times New Roman"/>
                      <w:color w:val="auto"/>
                      <w:spacing w:val="0"/>
                      <w:kern w:val="0"/>
                      <w:sz w:val="21"/>
                      <w:szCs w:val="21"/>
                      <w:lang w:val="en-US" w:eastAsia="zh-CN"/>
                    </w:rPr>
                    <w:t>生活用水，用水量较少</w:t>
                  </w:r>
                  <w:r>
                    <w:rPr>
                      <w:rFonts w:hint="eastAsia" w:ascii="Times New Roman" w:hAnsi="Times New Roman" w:cs="Times New Roman"/>
                      <w:color w:val="auto"/>
                      <w:spacing w:val="0"/>
                      <w:kern w:val="0"/>
                      <w:sz w:val="21"/>
                      <w:szCs w:val="21"/>
                      <w:lang w:eastAsia="zh-CN"/>
                    </w:rPr>
                    <w:t>。</w:t>
                  </w:r>
                </w:p>
                <w:p w14:paraId="5CB5FFF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4</w:t>
                  </w:r>
                  <w:r>
                    <w:rPr>
                      <w:rFonts w:hint="eastAsia" w:ascii="Times New Roman" w:hAnsi="Times New Roman" w:cs="Times New Roman"/>
                      <w:color w:val="auto"/>
                      <w:spacing w:val="0"/>
                      <w:kern w:val="0"/>
                      <w:sz w:val="21"/>
                      <w:szCs w:val="21"/>
                      <w:lang w:eastAsia="zh-CN"/>
                    </w:rPr>
                    <w:t>）</w:t>
                  </w:r>
                  <w:r>
                    <w:rPr>
                      <w:rFonts w:hint="eastAsia" w:cs="Times New Roman"/>
                      <w:color w:val="auto"/>
                      <w:spacing w:val="0"/>
                      <w:kern w:val="0"/>
                      <w:sz w:val="21"/>
                      <w:szCs w:val="21"/>
                      <w:lang w:val="en-US"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5</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w:t>
                  </w:r>
                  <w:r>
                    <w:rPr>
                      <w:rFonts w:hint="default" w:ascii="宋体" w:hAnsi="宋体" w:eastAsia="宋体" w:cs="宋体"/>
                      <w:color w:val="auto"/>
                      <w:spacing w:val="-3"/>
                      <w:sz w:val="21"/>
                      <w:szCs w:val="21"/>
                    </w:rPr>
                    <w:t>为</w:t>
                  </w:r>
                  <w:r>
                    <w:rPr>
                      <w:rFonts w:hint="eastAsia" w:ascii="宋体" w:hAnsi="宋体" w:cs="宋体"/>
                      <w:color w:val="auto"/>
                      <w:spacing w:val="-3"/>
                      <w:sz w:val="21"/>
                      <w:szCs w:val="21"/>
                      <w:lang w:val="en-US" w:eastAsia="zh-CN"/>
                    </w:rPr>
                    <w:t>光伏发电</w:t>
                  </w:r>
                  <w:r>
                    <w:rPr>
                      <w:rFonts w:hint="default" w:ascii="宋体" w:hAnsi="宋体" w:eastAsia="宋体" w:cs="宋体"/>
                      <w:color w:val="auto"/>
                      <w:spacing w:val="-3"/>
                      <w:sz w:val="21"/>
                      <w:szCs w:val="21"/>
                    </w:rPr>
                    <w:t>项目</w:t>
                  </w:r>
                  <w:r>
                    <w:rPr>
                      <w:rFonts w:hint="eastAsia" w:ascii="Times New Roman" w:hAnsi="Times New Roman" w:cs="Times New Roman"/>
                      <w:color w:val="auto"/>
                      <w:spacing w:val="0"/>
                      <w:kern w:val="0"/>
                      <w:sz w:val="21"/>
                      <w:szCs w:val="21"/>
                      <w:lang w:val="en-US" w:eastAsia="zh-CN"/>
                    </w:rPr>
                    <w:t>，运营期输送电力能源，消耗的能源较少。</w:t>
                  </w:r>
                </w:p>
                <w:p w14:paraId="100C772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6</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不属于</w:t>
                  </w:r>
                  <w:r>
                    <w:rPr>
                      <w:rFonts w:hint="default" w:ascii="Times New Roman" w:hAnsi="Times New Roman" w:eastAsia="宋体" w:cs="Times New Roman"/>
                      <w:color w:val="auto"/>
                      <w:spacing w:val="0"/>
                      <w:kern w:val="0"/>
                      <w:sz w:val="21"/>
                      <w:szCs w:val="21"/>
                    </w:rPr>
                    <w:t>高耗能行业</w:t>
                  </w:r>
                  <w:r>
                    <w:rPr>
                      <w:rFonts w:hint="eastAsia" w:ascii="Times New Roman" w:hAnsi="Times New Roman" w:cs="Times New Roman"/>
                      <w:color w:val="auto"/>
                      <w:spacing w:val="0"/>
                      <w:kern w:val="0"/>
                      <w:sz w:val="21"/>
                      <w:szCs w:val="21"/>
                      <w:lang w:eastAsia="zh-CN"/>
                    </w:rPr>
                    <w:t>。</w:t>
                  </w:r>
                </w:p>
                <w:p w14:paraId="6B534A5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7</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项目设计选用能效高级环保型设备，且项目输送电能，能为社会提供较好的能源效益。</w:t>
                  </w:r>
                </w:p>
                <w:p w14:paraId="1477D32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8</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p>
                <w:p w14:paraId="146B676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r>
                    <w:rPr>
                      <w:rFonts w:hint="eastAsia" w:ascii="Times New Roman" w:hAnsi="Times New Roman" w:eastAsia="宋体" w:cs="Times New Roman"/>
                      <w:color w:val="auto"/>
                      <w:spacing w:val="0"/>
                      <w:kern w:val="0"/>
                      <w:sz w:val="21"/>
                      <w:szCs w:val="21"/>
                      <w:highlight w:val="none"/>
                      <w:lang w:val="en-US" w:eastAsia="zh-CN"/>
                    </w:rPr>
                    <w:t>。</w:t>
                  </w:r>
                </w:p>
                <w:p w14:paraId="6CFCA23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10</w:t>
                  </w:r>
                  <w:r>
                    <w:rPr>
                      <w:rFonts w:hint="eastAsia" w:ascii="Times New Roman" w:hAnsi="Times New Roman"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highlight w:val="none"/>
                      <w:lang w:val="en-US" w:eastAsia="zh-CN"/>
                    </w:rPr>
                    <w:t>项目</w:t>
                  </w:r>
                  <w:r>
                    <w:rPr>
                      <w:rFonts w:hint="eastAsia" w:ascii="Times New Roman" w:hAnsi="Times New Roman" w:eastAsia="宋体" w:cs="Times New Roman"/>
                      <w:color w:val="auto"/>
                      <w:spacing w:val="0"/>
                      <w:kern w:val="0"/>
                      <w:sz w:val="21"/>
                      <w:szCs w:val="21"/>
                      <w:lang w:val="en-US" w:eastAsia="zh-CN"/>
                    </w:rPr>
                    <w:t>为</w:t>
                  </w:r>
                  <w:r>
                    <w:rPr>
                      <w:rFonts w:hint="eastAsia" w:cs="Times New Roman"/>
                      <w:color w:val="auto"/>
                      <w:spacing w:val="0"/>
                      <w:kern w:val="0"/>
                      <w:sz w:val="21"/>
                      <w:szCs w:val="21"/>
                      <w:lang w:val="en-US" w:eastAsia="zh-CN"/>
                    </w:rPr>
                    <w:t>光伏发电</w:t>
                  </w:r>
                  <w:r>
                    <w:rPr>
                      <w:rFonts w:hint="eastAsia" w:ascii="Times New Roman" w:hAnsi="Times New Roman" w:eastAsia="宋体" w:cs="Times New Roman"/>
                      <w:color w:val="auto"/>
                      <w:spacing w:val="0"/>
                      <w:kern w:val="0"/>
                      <w:sz w:val="21"/>
                      <w:szCs w:val="21"/>
                      <w:lang w:val="en-US" w:eastAsia="zh-CN"/>
                    </w:rPr>
                    <w:t>项目</w:t>
                  </w:r>
                  <w:r>
                    <w:rPr>
                      <w:rFonts w:hint="eastAsia" w:ascii="Times New Roman" w:hAnsi="Times New Roman" w:eastAsia="宋体" w:cs="Times New Roman"/>
                      <w:color w:val="auto"/>
                      <w:spacing w:val="0"/>
                      <w:kern w:val="0"/>
                      <w:sz w:val="21"/>
                      <w:szCs w:val="21"/>
                      <w:highlight w:val="none"/>
                      <w:lang w:val="en-US" w:eastAsia="zh-CN"/>
                    </w:rPr>
                    <w:t>，本身消耗的能源较少。</w:t>
                  </w:r>
                </w:p>
                <w:p w14:paraId="5A669E79">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11</w:t>
                  </w:r>
                  <w:r>
                    <w:rPr>
                      <w:rFonts w:hint="eastAsia" w:ascii="Times New Roman" w:hAnsi="Times New Roman"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highlight w:val="none"/>
                      <w:lang w:val="en-US" w:eastAsia="zh-CN"/>
                    </w:rPr>
                    <w:t>项目运营期消耗的能源较少，且不属于工业单位。</w:t>
                  </w:r>
                </w:p>
                <w:p w14:paraId="2C023AE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12</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14</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p>
                <w:p w14:paraId="57AC822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15</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highlight w:val="none"/>
                      <w:lang w:val="en-US" w:eastAsia="zh-CN"/>
                    </w:rPr>
                    <w:t>项目运营期不产生废气。</w:t>
                  </w:r>
                </w:p>
                <w:p w14:paraId="0C67A07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16</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项目不属于“</w:t>
                  </w:r>
                  <w:r>
                    <w:rPr>
                      <w:rFonts w:hint="eastAsia" w:ascii="Times New Roman" w:hAnsi="Times New Roman" w:eastAsia="宋体" w:cs="Times New Roman"/>
                      <w:color w:val="auto"/>
                      <w:spacing w:val="0"/>
                      <w:kern w:val="0"/>
                      <w:sz w:val="21"/>
                      <w:szCs w:val="21"/>
                      <w:lang w:val="en-US" w:eastAsia="zh-CN"/>
                    </w:rPr>
                    <w:t>两高一低</w:t>
                  </w:r>
                  <w:r>
                    <w:rPr>
                      <w:rFonts w:hint="eastAsia" w:ascii="Times New Roman" w:hAnsi="Times New Roman" w:cs="Times New Roman"/>
                      <w:color w:val="auto"/>
                      <w:spacing w:val="0"/>
                      <w:kern w:val="0"/>
                      <w:sz w:val="21"/>
                      <w:szCs w:val="21"/>
                      <w:lang w:val="en-US" w:eastAsia="zh-CN"/>
                    </w:rPr>
                    <w:t>”项目。</w:t>
                  </w:r>
                </w:p>
                <w:p w14:paraId="5D1056C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pacing w:val="0"/>
                      <w:kern w:val="0"/>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17</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项目不属于“</w:t>
                  </w:r>
                  <w:r>
                    <w:rPr>
                      <w:rFonts w:hint="eastAsia" w:ascii="Times New Roman" w:hAnsi="Times New Roman" w:eastAsia="宋体" w:cs="Times New Roman"/>
                      <w:color w:val="auto"/>
                      <w:spacing w:val="0"/>
                      <w:kern w:val="0"/>
                      <w:sz w:val="21"/>
                      <w:szCs w:val="21"/>
                      <w:lang w:val="en-US" w:eastAsia="zh-CN"/>
                    </w:rPr>
                    <w:t>两高一低</w:t>
                  </w:r>
                  <w:r>
                    <w:rPr>
                      <w:rFonts w:hint="eastAsia" w:ascii="Times New Roman" w:hAnsi="Times New Roman" w:cs="Times New Roman"/>
                      <w:color w:val="auto"/>
                      <w:spacing w:val="0"/>
                      <w:kern w:val="0"/>
                      <w:sz w:val="21"/>
                      <w:szCs w:val="21"/>
                      <w:lang w:val="en-US" w:eastAsia="zh-CN"/>
                    </w:rPr>
                    <w:t>”项目，项目的建设符合相关政策要求，不属于未批先建项目。</w:t>
                  </w:r>
                </w:p>
                <w:p w14:paraId="4DB16B8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18</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w:t>
                  </w:r>
                  <w:r>
                    <w:rPr>
                      <w:rFonts w:hint="eastAsia" w:ascii="Times New Roman" w:hAnsi="Times New Roman" w:cs="Times New Roman"/>
                      <w:color w:val="auto"/>
                      <w:spacing w:val="0"/>
                      <w:kern w:val="0"/>
                      <w:sz w:val="21"/>
                      <w:szCs w:val="21"/>
                      <w:lang w:eastAsia="zh-CN"/>
                    </w:rPr>
                    <w:t>（</w:t>
                  </w:r>
                  <w:r>
                    <w:rPr>
                      <w:rFonts w:hint="eastAsia" w:ascii="Times New Roman" w:hAnsi="Times New Roman" w:cs="Times New Roman"/>
                      <w:color w:val="auto"/>
                      <w:spacing w:val="0"/>
                      <w:kern w:val="0"/>
                      <w:sz w:val="21"/>
                      <w:szCs w:val="21"/>
                      <w:lang w:val="en-US" w:eastAsia="zh-CN"/>
                    </w:rPr>
                    <w:t>19</w:t>
                  </w:r>
                  <w:r>
                    <w:rPr>
                      <w:rFonts w:hint="eastAsia" w:ascii="Times New Roman" w:hAnsi="Times New Roman"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highlight w:val="none"/>
                    </w:rPr>
                    <w:t>项目</w:t>
                  </w:r>
                  <w:r>
                    <w:rPr>
                      <w:rFonts w:hint="eastAsia" w:ascii="Times New Roman" w:hAnsi="Times New Roman" w:cs="Times New Roman"/>
                      <w:color w:val="auto"/>
                      <w:spacing w:val="0"/>
                      <w:kern w:val="0"/>
                      <w:sz w:val="21"/>
                      <w:szCs w:val="21"/>
                      <w:highlight w:val="none"/>
                      <w:lang w:val="en-US" w:eastAsia="zh-CN"/>
                    </w:rPr>
                    <w:t>不涉及。</w:t>
                  </w:r>
                </w:p>
              </w:tc>
              <w:tc>
                <w:tcPr>
                  <w:tcW w:w="535" w:type="pct"/>
                  <w:vAlign w:val="center"/>
                </w:tcPr>
                <w:p w14:paraId="3D701C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bl>
          <w:p w14:paraId="11D90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表1-</w:t>
            </w:r>
            <w:r>
              <w:rPr>
                <w:rFonts w:hint="eastAsia" w:cs="Times New Roman"/>
                <w:b/>
                <w:bCs w:val="0"/>
                <w:color w:val="auto"/>
                <w:sz w:val="21"/>
                <w:szCs w:val="21"/>
                <w:highlight w:val="none"/>
                <w:lang w:val="en-US" w:eastAsia="zh-CN"/>
              </w:rPr>
              <w:t>5</w:t>
            </w:r>
            <w:r>
              <w:rPr>
                <w:rFonts w:hint="eastAsia" w:ascii="Times New Roman" w:hAnsi="Times New Roman" w:eastAsia="宋体" w:cs="Times New Roman"/>
                <w:b/>
                <w:bCs w:val="0"/>
                <w:color w:val="auto"/>
                <w:sz w:val="21"/>
                <w:szCs w:val="21"/>
                <w:highlight w:val="none"/>
                <w:lang w:val="en-US" w:eastAsia="zh-CN"/>
              </w:rPr>
              <w:t xml:space="preserve">  </w:t>
            </w:r>
            <w:r>
              <w:rPr>
                <w:rFonts w:hint="eastAsia" w:cs="Times New Roman"/>
                <w:b/>
                <w:bCs w:val="0"/>
                <w:color w:val="auto"/>
                <w:sz w:val="21"/>
                <w:szCs w:val="21"/>
                <w:highlight w:val="none"/>
                <w:lang w:val="en-US" w:eastAsia="zh-CN"/>
              </w:rPr>
              <w:t>寻甸县</w:t>
            </w:r>
            <w:r>
              <w:rPr>
                <w:rFonts w:hint="eastAsia" w:ascii="Times New Roman" w:hAnsi="Times New Roman" w:eastAsia="宋体" w:cs="Times New Roman"/>
                <w:b/>
                <w:bCs w:val="0"/>
                <w:color w:val="auto"/>
                <w:sz w:val="21"/>
                <w:szCs w:val="21"/>
                <w:highlight w:val="none"/>
                <w:lang w:val="en-US" w:eastAsia="zh-CN"/>
              </w:rPr>
              <w:t>生态环境准入清单</w:t>
            </w:r>
          </w:p>
          <w:tbl>
            <w:tblPr>
              <w:tblStyle w:val="4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1"/>
              <w:gridCol w:w="608"/>
              <w:gridCol w:w="2573"/>
              <w:gridCol w:w="2864"/>
              <w:gridCol w:w="640"/>
            </w:tblGrid>
            <w:tr w14:paraId="203C2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1" w:type="pct"/>
                  <w:gridSpan w:val="2"/>
                  <w:tcBorders>
                    <w:tl2br w:val="nil"/>
                    <w:tr2bl w:val="nil"/>
                  </w:tcBorders>
                  <w:noWrap w:val="0"/>
                  <w:tcMar>
                    <w:top w:w="15" w:type="dxa"/>
                    <w:left w:w="15" w:type="dxa"/>
                    <w:right w:w="15" w:type="dxa"/>
                  </w:tcMar>
                  <w:vAlign w:val="center"/>
                </w:tcPr>
                <w:p w14:paraId="6ACA1D17">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lang w:val="en-US" w:eastAsia="zh-CN"/>
                    </w:rPr>
                    <w:t>名称</w:t>
                  </w:r>
                </w:p>
              </w:tc>
              <w:tc>
                <w:tcPr>
                  <w:tcW w:w="1760" w:type="pct"/>
                  <w:tcBorders>
                    <w:tl2br w:val="nil"/>
                    <w:tr2bl w:val="nil"/>
                  </w:tcBorders>
                  <w:noWrap w:val="0"/>
                  <w:tcMar>
                    <w:top w:w="15" w:type="dxa"/>
                    <w:left w:w="15" w:type="dxa"/>
                    <w:right w:w="15" w:type="dxa"/>
                  </w:tcMar>
                  <w:vAlign w:val="center"/>
                </w:tcPr>
                <w:p w14:paraId="617AE7F3">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lang w:val="en-US"/>
                    </w:rPr>
                  </w:pPr>
                  <w:r>
                    <w:rPr>
                      <w:rFonts w:hint="default" w:ascii="Times New Roman" w:hAnsi="Times New Roman" w:eastAsia="宋体" w:cs="Times New Roman"/>
                      <w:b/>
                      <w:bCs/>
                      <w:color w:val="auto"/>
                      <w:spacing w:val="0"/>
                      <w:sz w:val="21"/>
                      <w:szCs w:val="21"/>
                      <w:lang w:val="en-US" w:eastAsia="zh-CN"/>
                    </w:rPr>
                    <w:t>管控要求</w:t>
                  </w:r>
                </w:p>
              </w:tc>
              <w:tc>
                <w:tcPr>
                  <w:tcW w:w="1959" w:type="pct"/>
                  <w:tcBorders>
                    <w:tl2br w:val="nil"/>
                    <w:tr2bl w:val="nil"/>
                  </w:tcBorders>
                  <w:noWrap w:val="0"/>
                  <w:tcMar>
                    <w:top w:w="15" w:type="dxa"/>
                    <w:left w:w="15" w:type="dxa"/>
                    <w:right w:w="15" w:type="dxa"/>
                  </w:tcMar>
                  <w:vAlign w:val="center"/>
                </w:tcPr>
                <w:p w14:paraId="1035DD29">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本项目</w:t>
                  </w:r>
                </w:p>
              </w:tc>
              <w:tc>
                <w:tcPr>
                  <w:tcW w:w="438" w:type="pct"/>
                  <w:tcBorders>
                    <w:tl2br w:val="nil"/>
                    <w:tr2bl w:val="nil"/>
                  </w:tcBorders>
                  <w:noWrap w:val="0"/>
                  <w:tcMar>
                    <w:top w:w="15" w:type="dxa"/>
                    <w:left w:w="15" w:type="dxa"/>
                    <w:right w:w="15" w:type="dxa"/>
                  </w:tcMar>
                  <w:vAlign w:val="center"/>
                </w:tcPr>
                <w:p w14:paraId="4952CE04">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符合性</w:t>
                  </w:r>
                </w:p>
              </w:tc>
            </w:tr>
            <w:tr w14:paraId="4EDC2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restart"/>
                  <w:tcBorders>
                    <w:tl2br w:val="nil"/>
                    <w:tr2bl w:val="nil"/>
                  </w:tcBorders>
                  <w:noWrap w:val="0"/>
                  <w:tcMar>
                    <w:top w:w="15" w:type="dxa"/>
                    <w:left w:w="15" w:type="dxa"/>
                    <w:right w:w="15" w:type="dxa"/>
                  </w:tcMar>
                  <w:vAlign w:val="center"/>
                </w:tcPr>
                <w:p w14:paraId="202B25BE">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eastAsia" w:ascii="Times New Roman" w:hAnsi="Times New Roman" w:eastAsia="宋体" w:cs="Times New Roman"/>
                      <w:color w:val="auto"/>
                      <w:spacing w:val="0"/>
                      <w:sz w:val="21"/>
                      <w:szCs w:val="21"/>
                      <w:lang w:val="en-US" w:eastAsia="zh-CN"/>
                    </w:rPr>
                    <w:t>寻甸</w:t>
                  </w:r>
                  <w:r>
                    <w:rPr>
                      <w:rFonts w:hint="default" w:ascii="Times New Roman" w:hAnsi="Times New Roman" w:eastAsia="宋体" w:cs="Times New Roman"/>
                      <w:color w:val="auto"/>
                      <w:spacing w:val="0"/>
                      <w:sz w:val="21"/>
                      <w:szCs w:val="21"/>
                      <w:lang w:val="zh-CN" w:eastAsia="zh-CN"/>
                    </w:rPr>
                    <w:t>县一般生态空间优先保护单元</w:t>
                  </w:r>
                </w:p>
              </w:tc>
              <w:tc>
                <w:tcPr>
                  <w:tcW w:w="416" w:type="pct"/>
                  <w:tcBorders>
                    <w:bottom w:val="single" w:color="auto" w:sz="4" w:space="0"/>
                    <w:tl2br w:val="nil"/>
                    <w:tr2bl w:val="nil"/>
                  </w:tcBorders>
                  <w:noWrap w:val="0"/>
                  <w:tcMar>
                    <w:top w:w="15" w:type="dxa"/>
                    <w:left w:w="15" w:type="dxa"/>
                    <w:right w:w="15" w:type="dxa"/>
                  </w:tcMar>
                  <w:vAlign w:val="center"/>
                </w:tcPr>
                <w:p w14:paraId="62DEC563">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空间布局约束</w:t>
                  </w:r>
                </w:p>
              </w:tc>
              <w:tc>
                <w:tcPr>
                  <w:tcW w:w="1760" w:type="pct"/>
                  <w:tcBorders>
                    <w:tl2br w:val="nil"/>
                    <w:tr2bl w:val="nil"/>
                  </w:tcBorders>
                  <w:noWrap w:val="0"/>
                  <w:tcMar>
                    <w:top w:w="15" w:type="dxa"/>
                    <w:left w:w="15" w:type="dxa"/>
                    <w:right w:w="15" w:type="dxa"/>
                  </w:tcMar>
                  <w:vAlign w:val="center"/>
                </w:tcPr>
                <w:p w14:paraId="201BF71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相关法律法规规定，没有明确规定的，加强论证和管理。</w:t>
                  </w:r>
                </w:p>
                <w:p w14:paraId="6E935D6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暂未纳入生态保护红线的自然保护地按照相关保护地法律法规进行管理；公益林依据《国家级公益林管理办法》《云南省公益林管理办法》进行管理；天然林依据《国家林业局关于严格保护天然林的通知》（林资发〔2015〕181号）《中共中央办公厅 国务院办公厅关于印发〈天然林保护修复制度方案〉的通知》（厅字〔2019〕39号）等进行管理。</w:t>
                  </w:r>
                </w:p>
              </w:tc>
              <w:tc>
                <w:tcPr>
                  <w:tcW w:w="1959" w:type="pct"/>
                  <w:tcBorders>
                    <w:tl2br w:val="nil"/>
                    <w:tr2bl w:val="nil"/>
                  </w:tcBorders>
                  <w:noWrap w:val="0"/>
                  <w:tcMar>
                    <w:top w:w="15" w:type="dxa"/>
                    <w:left w:w="15" w:type="dxa"/>
                    <w:right w:w="15" w:type="dxa"/>
                  </w:tcMar>
                  <w:vAlign w:val="center"/>
                </w:tcPr>
                <w:p w14:paraId="08CD147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项目位于云南省昆明市寻甸回族彝族自治县河口镇、功山镇境内，根据《云南省主体功能区规划》，项目所在区域属于国家重点开发区域，项目为光伏发电项目，涉及地类现状主要为林地、草地、交通运输用地，项目建设不会破坏生态系统稳定。</w:t>
                  </w:r>
                </w:p>
                <w:p w14:paraId="3E15839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2.项目涉及142196.87m</w:t>
                  </w:r>
                  <w:r>
                    <w:rPr>
                      <w:rFonts w:hint="eastAsia" w:cs="Times New Roman"/>
                      <w:color w:val="auto"/>
                      <w:spacing w:val="0"/>
                      <w:kern w:val="0"/>
                      <w:sz w:val="21"/>
                      <w:szCs w:val="21"/>
                      <w:highlight w:val="none"/>
                      <w:vertAlign w:val="superscript"/>
                      <w:lang w:val="en-US" w:eastAsia="zh-CN"/>
                    </w:rPr>
                    <w:t>2</w:t>
                  </w:r>
                  <w:r>
                    <w:rPr>
                      <w:rFonts w:hint="eastAsia" w:cs="Times New Roman"/>
                      <w:color w:val="auto"/>
                      <w:spacing w:val="0"/>
                      <w:kern w:val="0"/>
                      <w:sz w:val="21"/>
                      <w:szCs w:val="21"/>
                      <w:highlight w:val="none"/>
                      <w:lang w:val="en-US" w:eastAsia="zh-CN"/>
                    </w:rPr>
                    <w:t>的省级公益林，公益林依据《国家级公益林管理办法》《云南省公益林管理办法》进行管理；天然林依据《国家林业局关于严格保护天然林的通知》（林资发〔2015〕181号）《中共中央办公厅 国务院办公厅关于印发〈天然林保护修复制度方案〉的通知》（厅字〔2019〕39号）等进行管理。</w:t>
                  </w:r>
                </w:p>
              </w:tc>
              <w:tc>
                <w:tcPr>
                  <w:tcW w:w="438" w:type="pct"/>
                  <w:tcBorders>
                    <w:tl2br w:val="nil"/>
                    <w:tr2bl w:val="nil"/>
                  </w:tcBorders>
                  <w:noWrap w:val="0"/>
                  <w:tcMar>
                    <w:top w:w="15" w:type="dxa"/>
                    <w:left w:w="15" w:type="dxa"/>
                    <w:right w:w="15" w:type="dxa"/>
                  </w:tcMar>
                  <w:vAlign w:val="center"/>
                </w:tcPr>
                <w:p w14:paraId="23EBBFE8">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27D63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Borders>
                    <w:tl2br w:val="nil"/>
                    <w:tr2bl w:val="nil"/>
                  </w:tcBorders>
                  <w:noWrap w:val="0"/>
                  <w:tcMar>
                    <w:top w:w="15" w:type="dxa"/>
                    <w:left w:w="15" w:type="dxa"/>
                    <w:right w:w="15" w:type="dxa"/>
                  </w:tcMar>
                  <w:vAlign w:val="center"/>
                </w:tcPr>
                <w:p w14:paraId="0B95DF21">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tcBorders>
                    <w:tl2br w:val="nil"/>
                    <w:tr2bl w:val="nil"/>
                  </w:tcBorders>
                  <w:noWrap w:val="0"/>
                  <w:tcMar>
                    <w:top w:w="15" w:type="dxa"/>
                    <w:left w:w="15" w:type="dxa"/>
                    <w:right w:w="15" w:type="dxa"/>
                  </w:tcMar>
                  <w:vAlign w:val="center"/>
                </w:tcPr>
                <w:p w14:paraId="1B14E232">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污染物排放管控</w:t>
                  </w:r>
                </w:p>
              </w:tc>
              <w:tc>
                <w:tcPr>
                  <w:tcW w:w="1760" w:type="pct"/>
                  <w:tcBorders>
                    <w:tl2br w:val="nil"/>
                    <w:tr2bl w:val="nil"/>
                  </w:tcBorders>
                  <w:noWrap w:val="0"/>
                  <w:tcMar>
                    <w:top w:w="15" w:type="dxa"/>
                    <w:left w:w="15" w:type="dxa"/>
                    <w:right w:w="15" w:type="dxa"/>
                  </w:tcMar>
                  <w:vAlign w:val="center"/>
                </w:tcPr>
                <w:p w14:paraId="30BA1A7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1.禁止在二十五度以上陡坡地开垦种植农作物。</w:t>
                  </w:r>
                </w:p>
                <w:p w14:paraId="7E2ADBEA">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2.禁止围湖造田和侵占江河滩地。</w:t>
                  </w:r>
                </w:p>
                <w:p w14:paraId="358D9A3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3.畜禽养殖严格执行禁养区规定。对草原实行以草定蓄、</w:t>
                  </w:r>
                  <w:r>
                    <w:rPr>
                      <w:rFonts w:hint="eastAsia" w:cs="Times New Roman"/>
                      <w:color w:val="auto"/>
                      <w:spacing w:val="0"/>
                      <w:kern w:val="0"/>
                      <w:sz w:val="21"/>
                      <w:szCs w:val="21"/>
                      <w:lang w:val="en-US" w:eastAsia="zh-CN"/>
                    </w:rPr>
                    <w:t>草畜平衡</w:t>
                  </w:r>
                  <w:r>
                    <w:rPr>
                      <w:rFonts w:hint="default" w:ascii="Times New Roman" w:hAnsi="Times New Roman" w:eastAsia="宋体" w:cs="Times New Roman"/>
                      <w:color w:val="auto"/>
                      <w:spacing w:val="0"/>
                      <w:kern w:val="0"/>
                      <w:sz w:val="21"/>
                      <w:szCs w:val="21"/>
                      <w:lang w:val="en-US" w:eastAsia="zh-CN"/>
                    </w:rPr>
                    <w:t>制度，禁止过度放牧。</w:t>
                  </w:r>
                </w:p>
              </w:tc>
              <w:tc>
                <w:tcPr>
                  <w:tcW w:w="1959" w:type="pct"/>
                  <w:tcBorders>
                    <w:tl2br w:val="nil"/>
                    <w:tr2bl w:val="nil"/>
                  </w:tcBorders>
                  <w:noWrap w:val="0"/>
                  <w:tcMar>
                    <w:top w:w="15" w:type="dxa"/>
                    <w:left w:w="15" w:type="dxa"/>
                    <w:right w:w="15" w:type="dxa"/>
                  </w:tcMar>
                  <w:vAlign w:val="center"/>
                </w:tcPr>
                <w:p w14:paraId="5E98B9C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1.</w:t>
                  </w:r>
                  <w:r>
                    <w:rPr>
                      <w:rFonts w:hint="default" w:ascii="Times New Roman" w:hAnsi="Times New Roman" w:eastAsia="宋体" w:cs="Times New Roman"/>
                      <w:color w:val="auto"/>
                      <w:spacing w:val="0"/>
                      <w:kern w:val="0"/>
                      <w:sz w:val="21"/>
                      <w:szCs w:val="21"/>
                      <w:lang w:eastAsia="zh-CN"/>
                    </w:rPr>
                    <w:t>项目为复合型光伏发电，相关种植工程将避开</w:t>
                  </w:r>
                  <w:r>
                    <w:rPr>
                      <w:rFonts w:hint="default" w:ascii="Times New Roman" w:hAnsi="Times New Roman" w:eastAsia="宋体" w:cs="Times New Roman"/>
                      <w:color w:val="auto"/>
                      <w:spacing w:val="0"/>
                      <w:kern w:val="0"/>
                      <w:sz w:val="21"/>
                      <w:szCs w:val="21"/>
                    </w:rPr>
                    <w:t>二十五度以上陡坡</w:t>
                  </w:r>
                  <w:r>
                    <w:rPr>
                      <w:rFonts w:hint="default" w:ascii="Times New Roman" w:hAnsi="Times New Roman" w:eastAsia="宋体" w:cs="Times New Roman"/>
                      <w:color w:val="auto"/>
                      <w:spacing w:val="0"/>
                      <w:kern w:val="0"/>
                      <w:sz w:val="21"/>
                      <w:szCs w:val="21"/>
                      <w:lang w:eastAsia="zh-CN"/>
                    </w:rPr>
                    <w:t>区域。</w:t>
                  </w:r>
                </w:p>
                <w:p w14:paraId="7E89EFD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2.</w:t>
                  </w:r>
                  <w:r>
                    <w:rPr>
                      <w:rFonts w:hint="default" w:ascii="Times New Roman" w:hAnsi="Times New Roman" w:eastAsia="宋体" w:cs="Times New Roman"/>
                      <w:color w:val="auto"/>
                      <w:spacing w:val="0"/>
                      <w:kern w:val="0"/>
                      <w:sz w:val="21"/>
                      <w:szCs w:val="21"/>
                      <w:lang w:eastAsia="zh-CN"/>
                    </w:rPr>
                    <w:t>项目不涉及</w:t>
                  </w:r>
                  <w:r>
                    <w:rPr>
                      <w:rFonts w:hint="default" w:ascii="Times New Roman" w:hAnsi="Times New Roman" w:eastAsia="宋体" w:cs="Times New Roman"/>
                      <w:color w:val="auto"/>
                      <w:spacing w:val="0"/>
                      <w:kern w:val="0"/>
                      <w:sz w:val="21"/>
                      <w:szCs w:val="21"/>
                    </w:rPr>
                    <w:t>围湖造田和侵占江河滩地</w:t>
                  </w:r>
                  <w:r>
                    <w:rPr>
                      <w:rFonts w:hint="default" w:ascii="Times New Roman" w:hAnsi="Times New Roman" w:eastAsia="宋体" w:cs="Times New Roman"/>
                      <w:color w:val="auto"/>
                      <w:spacing w:val="0"/>
                      <w:kern w:val="0"/>
                      <w:sz w:val="21"/>
                      <w:szCs w:val="21"/>
                      <w:lang w:eastAsia="zh-CN"/>
                    </w:rPr>
                    <w:t>。</w:t>
                  </w:r>
                </w:p>
                <w:p w14:paraId="5A67455D">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rPr>
                    <w:t>3.</w:t>
                  </w:r>
                  <w:r>
                    <w:rPr>
                      <w:rFonts w:hint="default" w:ascii="Times New Roman" w:hAnsi="Times New Roman" w:eastAsia="宋体" w:cs="Times New Roman"/>
                      <w:color w:val="auto"/>
                      <w:spacing w:val="0"/>
                      <w:kern w:val="0"/>
                      <w:sz w:val="21"/>
                      <w:szCs w:val="21"/>
                      <w:lang w:eastAsia="zh-CN"/>
                    </w:rPr>
                    <w:t>项目不涉及</w:t>
                  </w:r>
                  <w:r>
                    <w:rPr>
                      <w:rFonts w:hint="default" w:ascii="Times New Roman" w:hAnsi="Times New Roman" w:eastAsia="宋体" w:cs="Times New Roman"/>
                      <w:color w:val="auto"/>
                      <w:spacing w:val="0"/>
                      <w:kern w:val="0"/>
                      <w:sz w:val="21"/>
                      <w:szCs w:val="21"/>
                    </w:rPr>
                    <w:t>畜禽养殖</w:t>
                  </w:r>
                  <w:r>
                    <w:rPr>
                      <w:rFonts w:hint="default" w:ascii="Times New Roman" w:hAnsi="Times New Roman" w:eastAsia="宋体" w:cs="Times New Roman"/>
                      <w:color w:val="auto"/>
                      <w:spacing w:val="0"/>
                      <w:kern w:val="0"/>
                      <w:sz w:val="21"/>
                      <w:szCs w:val="21"/>
                      <w:lang w:eastAsia="zh-CN"/>
                    </w:rPr>
                    <w:t>。</w:t>
                  </w:r>
                </w:p>
              </w:tc>
              <w:tc>
                <w:tcPr>
                  <w:tcW w:w="438" w:type="pct"/>
                  <w:tcBorders>
                    <w:tl2br w:val="nil"/>
                    <w:tr2bl w:val="nil"/>
                  </w:tcBorders>
                  <w:noWrap w:val="0"/>
                  <w:tcMar>
                    <w:top w:w="15" w:type="dxa"/>
                    <w:left w:w="15" w:type="dxa"/>
                    <w:right w:w="15" w:type="dxa"/>
                  </w:tcMar>
                  <w:vAlign w:val="center"/>
                </w:tcPr>
                <w:p w14:paraId="5B54A33D">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62BF8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Borders>
                    <w:tl2br w:val="nil"/>
                    <w:tr2bl w:val="nil"/>
                  </w:tcBorders>
                  <w:noWrap w:val="0"/>
                  <w:tcMar>
                    <w:top w:w="15" w:type="dxa"/>
                    <w:left w:w="15" w:type="dxa"/>
                    <w:right w:w="15" w:type="dxa"/>
                  </w:tcMar>
                  <w:vAlign w:val="center"/>
                </w:tcPr>
                <w:p w14:paraId="7D255396">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tcBorders>
                    <w:tl2br w:val="nil"/>
                    <w:tr2bl w:val="nil"/>
                  </w:tcBorders>
                  <w:noWrap w:val="0"/>
                  <w:tcMar>
                    <w:top w:w="15" w:type="dxa"/>
                    <w:left w:w="15" w:type="dxa"/>
                    <w:right w:w="15" w:type="dxa"/>
                  </w:tcMar>
                  <w:vAlign w:val="center"/>
                </w:tcPr>
                <w:p w14:paraId="36FF3032">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default" w:ascii="Times New Roman" w:hAnsi="Times New Roman" w:eastAsia="宋体" w:cs="Times New Roman"/>
                      <w:color w:val="auto"/>
                      <w:spacing w:val="0"/>
                      <w:sz w:val="21"/>
                      <w:szCs w:val="21"/>
                      <w:lang w:val="zh-CN" w:eastAsia="zh-CN"/>
                    </w:rPr>
                    <w:t>环境风险防控</w:t>
                  </w:r>
                </w:p>
              </w:tc>
              <w:tc>
                <w:tcPr>
                  <w:tcW w:w="1760" w:type="pct"/>
                  <w:tcBorders>
                    <w:tl2br w:val="nil"/>
                    <w:tr2bl w:val="nil"/>
                  </w:tcBorders>
                  <w:noWrap w:val="0"/>
                  <w:tcMar>
                    <w:top w:w="15" w:type="dxa"/>
                    <w:left w:w="15" w:type="dxa"/>
                    <w:right w:w="15" w:type="dxa"/>
                  </w:tcMar>
                  <w:vAlign w:val="center"/>
                </w:tcPr>
                <w:p w14:paraId="54238426">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zh-CN" w:eastAsia="zh-CN"/>
                    </w:rPr>
                    <w:t>执行昆</w:t>
                  </w:r>
                  <w:r>
                    <w:rPr>
                      <w:rFonts w:hint="eastAsia" w:ascii="Times New Roman" w:hAnsi="Times New Roman" w:eastAsia="宋体" w:cs="Times New Roman"/>
                      <w:color w:val="auto"/>
                      <w:spacing w:val="0"/>
                      <w:kern w:val="0"/>
                      <w:sz w:val="21"/>
                      <w:szCs w:val="21"/>
                      <w:lang w:val="zh-CN" w:eastAsia="zh-CN" w:bidi="ar-SA"/>
                    </w:rPr>
                    <w:t>明市总体要求。</w:t>
                  </w:r>
                </w:p>
              </w:tc>
              <w:tc>
                <w:tcPr>
                  <w:tcW w:w="1959" w:type="pct"/>
                  <w:tcBorders>
                    <w:tl2br w:val="nil"/>
                    <w:tr2bl w:val="nil"/>
                  </w:tcBorders>
                  <w:noWrap w:val="0"/>
                  <w:tcMar>
                    <w:top w:w="15" w:type="dxa"/>
                    <w:left w:w="15" w:type="dxa"/>
                    <w:right w:w="15" w:type="dxa"/>
                  </w:tcMar>
                  <w:vAlign w:val="center"/>
                </w:tcPr>
                <w:p w14:paraId="6BC904DE">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Style w:val="150"/>
                      <w:rFonts w:hint="eastAsia" w:ascii="Times New Roman" w:hAnsi="Times New Roman" w:eastAsia="宋体" w:cs="Times New Roman"/>
                      <w:color w:val="auto"/>
                      <w:kern w:val="0"/>
                      <w:szCs w:val="21"/>
                      <w:lang w:val="en-US" w:eastAsia="zh-CN"/>
                    </w:rPr>
                    <w:t>详见</w:t>
                  </w:r>
                  <w:r>
                    <w:rPr>
                      <w:rStyle w:val="150"/>
                      <w:rFonts w:hint="eastAsia" w:ascii="Times New Roman" w:hAnsi="Times New Roman" w:eastAsia="宋体" w:cs="Times New Roman"/>
                      <w:color w:val="auto"/>
                      <w:kern w:val="0"/>
                      <w:szCs w:val="21"/>
                      <w:highlight w:val="none"/>
                      <w:lang w:val="en-US" w:eastAsia="zh-CN"/>
                    </w:rPr>
                    <w:t>表1-</w:t>
                  </w:r>
                  <w:r>
                    <w:rPr>
                      <w:rStyle w:val="150"/>
                      <w:rFonts w:hint="eastAsia" w:cs="Times New Roman"/>
                      <w:color w:val="auto"/>
                      <w:kern w:val="0"/>
                      <w:szCs w:val="21"/>
                      <w:highlight w:val="none"/>
                      <w:lang w:val="en-US" w:eastAsia="zh-CN"/>
                    </w:rPr>
                    <w:t>4</w:t>
                  </w:r>
                  <w:r>
                    <w:rPr>
                      <w:rStyle w:val="150"/>
                      <w:rFonts w:hint="eastAsia" w:ascii="Times New Roman" w:hAnsi="Times New Roman" w:eastAsia="宋体" w:cs="Times New Roman"/>
                      <w:color w:val="auto"/>
                      <w:kern w:val="0"/>
                      <w:szCs w:val="21"/>
                      <w:highlight w:val="none"/>
                      <w:lang w:val="en-US" w:eastAsia="zh-CN"/>
                    </w:rPr>
                    <w:t>项</w:t>
                  </w:r>
                  <w:r>
                    <w:rPr>
                      <w:rStyle w:val="150"/>
                      <w:rFonts w:hint="eastAsia" w:ascii="Times New Roman" w:hAnsi="Times New Roman" w:eastAsia="宋体" w:cs="Times New Roman"/>
                      <w:color w:val="auto"/>
                      <w:kern w:val="0"/>
                      <w:szCs w:val="21"/>
                      <w:lang w:val="en-US" w:eastAsia="zh-CN"/>
                    </w:rPr>
                    <w:t>目与昆明市环境管控单元生态环境总体准入要求相符性分析中的环境风险防控要求符合性分析。</w:t>
                  </w:r>
                </w:p>
              </w:tc>
              <w:tc>
                <w:tcPr>
                  <w:tcW w:w="438" w:type="pct"/>
                  <w:tcBorders>
                    <w:tl2br w:val="nil"/>
                    <w:tr2bl w:val="nil"/>
                  </w:tcBorders>
                  <w:noWrap w:val="0"/>
                  <w:tcMar>
                    <w:top w:w="15" w:type="dxa"/>
                    <w:left w:w="15" w:type="dxa"/>
                    <w:right w:w="15" w:type="dxa"/>
                  </w:tcMar>
                  <w:vAlign w:val="center"/>
                </w:tcPr>
                <w:p w14:paraId="285B6360">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2C32E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restart"/>
                  <w:tcBorders>
                    <w:tl2br w:val="nil"/>
                    <w:tr2bl w:val="nil"/>
                  </w:tcBorders>
                  <w:noWrap w:val="0"/>
                  <w:tcMar>
                    <w:top w:w="15" w:type="dxa"/>
                    <w:left w:w="15" w:type="dxa"/>
                    <w:right w:w="15" w:type="dxa"/>
                  </w:tcMar>
                  <w:vAlign w:val="center"/>
                </w:tcPr>
                <w:p w14:paraId="7657E7E9">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寻甸</w:t>
                  </w:r>
                  <w:r>
                    <w:rPr>
                      <w:rFonts w:hint="default" w:ascii="Times New Roman" w:hAnsi="Times New Roman" w:eastAsia="宋体" w:cs="Times New Roman"/>
                      <w:color w:val="auto"/>
                      <w:spacing w:val="0"/>
                      <w:sz w:val="21"/>
                      <w:szCs w:val="21"/>
                      <w:lang w:val="zh-CN" w:eastAsia="zh-CN"/>
                    </w:rPr>
                    <w:t>县</w:t>
                  </w:r>
                  <w:r>
                    <w:rPr>
                      <w:rFonts w:hint="eastAsia" w:ascii="Times New Roman" w:hAnsi="Times New Roman" w:eastAsia="宋体" w:cs="Times New Roman"/>
                      <w:color w:val="auto"/>
                      <w:spacing w:val="0"/>
                      <w:sz w:val="21"/>
                      <w:szCs w:val="21"/>
                      <w:lang w:val="en-US" w:eastAsia="zh-CN"/>
                    </w:rPr>
                    <w:t>一般管控</w:t>
                  </w:r>
                  <w:r>
                    <w:rPr>
                      <w:rFonts w:hint="default" w:ascii="Times New Roman" w:hAnsi="Times New Roman" w:eastAsia="宋体" w:cs="Times New Roman"/>
                      <w:color w:val="auto"/>
                      <w:spacing w:val="0"/>
                      <w:sz w:val="21"/>
                      <w:szCs w:val="21"/>
                      <w:lang w:val="zh-CN" w:eastAsia="zh-CN"/>
                    </w:rPr>
                    <w:t>单元</w:t>
                  </w:r>
                </w:p>
              </w:tc>
              <w:tc>
                <w:tcPr>
                  <w:tcW w:w="416" w:type="pct"/>
                  <w:tcBorders>
                    <w:tl2br w:val="nil"/>
                    <w:tr2bl w:val="nil"/>
                  </w:tcBorders>
                  <w:noWrap w:val="0"/>
                  <w:tcMar>
                    <w:top w:w="15" w:type="dxa"/>
                    <w:left w:w="15" w:type="dxa"/>
                    <w:right w:w="15" w:type="dxa"/>
                  </w:tcMar>
                  <w:vAlign w:val="center"/>
                </w:tcPr>
                <w:p w14:paraId="37F41E25">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空间布局约束</w:t>
                  </w:r>
                </w:p>
              </w:tc>
              <w:tc>
                <w:tcPr>
                  <w:tcW w:w="1760" w:type="pct"/>
                  <w:tcBorders>
                    <w:tl2br w:val="nil"/>
                    <w:tr2bl w:val="nil"/>
                  </w:tcBorders>
                  <w:noWrap w:val="0"/>
                  <w:tcMar>
                    <w:top w:w="15" w:type="dxa"/>
                    <w:left w:w="15" w:type="dxa"/>
                    <w:right w:w="15" w:type="dxa"/>
                  </w:tcMar>
                  <w:vAlign w:val="center"/>
                </w:tcPr>
                <w:p w14:paraId="403FF892">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1.禁止在林地、河湖管理范围内新建、改建、扩建房地产开发项目。</w:t>
                  </w:r>
                </w:p>
                <w:p w14:paraId="0FFA278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2.禁止围湖造田和侵占江河滩地。</w:t>
                  </w:r>
                </w:p>
                <w:p w14:paraId="013B4955">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3.禁止企业向滩涂、沼泽、荒地等未利用地非法排污、倾倒有毒有害物质。</w:t>
                  </w:r>
                </w:p>
              </w:tc>
              <w:tc>
                <w:tcPr>
                  <w:tcW w:w="1959" w:type="pct"/>
                  <w:tcBorders>
                    <w:tl2br w:val="nil"/>
                    <w:tr2bl w:val="nil"/>
                  </w:tcBorders>
                  <w:noWrap w:val="0"/>
                  <w:tcMar>
                    <w:top w:w="15" w:type="dxa"/>
                    <w:left w:w="15" w:type="dxa"/>
                    <w:right w:w="15" w:type="dxa"/>
                  </w:tcMar>
                  <w:vAlign w:val="center"/>
                </w:tcPr>
                <w:p w14:paraId="2636BBCB">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w:t>
                  </w:r>
                  <w:r>
                    <w:rPr>
                      <w:rFonts w:hint="eastAsia" w:cs="Times New Roman"/>
                      <w:color w:val="auto"/>
                      <w:spacing w:val="0"/>
                      <w:kern w:val="0"/>
                      <w:sz w:val="21"/>
                      <w:szCs w:val="21"/>
                      <w:lang w:val="en-US" w:eastAsia="zh-CN"/>
                    </w:rPr>
                    <w:t>本</w:t>
                  </w:r>
                  <w:r>
                    <w:rPr>
                      <w:rFonts w:hint="default" w:ascii="Times New Roman" w:hAnsi="Times New Roman" w:eastAsia="宋体" w:cs="Times New Roman"/>
                      <w:color w:val="auto"/>
                      <w:spacing w:val="0"/>
                      <w:kern w:val="0"/>
                      <w:sz w:val="21"/>
                      <w:szCs w:val="21"/>
                      <w:lang w:eastAsia="zh-CN"/>
                    </w:rPr>
                    <w:t>项目不</w:t>
                  </w:r>
                  <w:r>
                    <w:rPr>
                      <w:rFonts w:hint="eastAsia" w:cs="Times New Roman"/>
                      <w:color w:val="auto"/>
                      <w:spacing w:val="0"/>
                      <w:kern w:val="0"/>
                      <w:sz w:val="21"/>
                      <w:szCs w:val="21"/>
                      <w:lang w:val="en-US" w:eastAsia="zh-CN"/>
                    </w:rPr>
                    <w:t>属于房地产开发项目</w:t>
                  </w:r>
                  <w:r>
                    <w:rPr>
                      <w:rFonts w:hint="default" w:ascii="Times New Roman" w:hAnsi="Times New Roman" w:eastAsia="宋体" w:cs="Times New Roman"/>
                      <w:color w:val="auto"/>
                      <w:spacing w:val="0"/>
                      <w:kern w:val="0"/>
                      <w:sz w:val="21"/>
                      <w:szCs w:val="21"/>
                    </w:rPr>
                    <w:t>。</w:t>
                  </w:r>
                </w:p>
                <w:p w14:paraId="2E21B9DC">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2.</w:t>
                  </w:r>
                  <w:r>
                    <w:rPr>
                      <w:rFonts w:hint="default" w:ascii="Times New Roman" w:hAnsi="Times New Roman" w:eastAsia="宋体" w:cs="Times New Roman"/>
                      <w:color w:val="auto"/>
                      <w:spacing w:val="0"/>
                      <w:kern w:val="0"/>
                      <w:sz w:val="21"/>
                      <w:szCs w:val="21"/>
                      <w:lang w:eastAsia="zh-CN"/>
                    </w:rPr>
                    <w:t>项目</w:t>
                  </w:r>
                  <w:r>
                    <w:rPr>
                      <w:rFonts w:hint="eastAsia" w:cs="Times New Roman"/>
                      <w:color w:val="auto"/>
                      <w:spacing w:val="0"/>
                      <w:kern w:val="0"/>
                      <w:sz w:val="21"/>
                      <w:szCs w:val="21"/>
                      <w:lang w:val="en-US" w:eastAsia="zh-CN"/>
                    </w:rPr>
                    <w:t>不涉及围湖造田和侵占江河滩地。</w:t>
                  </w:r>
                </w:p>
                <w:p w14:paraId="05B747E0">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rPr>
                    <w:t>3.</w:t>
                  </w:r>
                  <w:r>
                    <w:rPr>
                      <w:rFonts w:hint="eastAsia" w:cs="Times New Roman"/>
                      <w:color w:val="auto"/>
                      <w:spacing w:val="0"/>
                      <w:kern w:val="0"/>
                      <w:sz w:val="21"/>
                      <w:szCs w:val="21"/>
                      <w:lang w:val="en-US" w:eastAsia="zh-CN"/>
                    </w:rPr>
                    <w:t>项目运营期间</w:t>
                  </w:r>
                  <w:r>
                    <w:rPr>
                      <w:rFonts w:hint="default" w:ascii="Times New Roman" w:hAnsi="Times New Roman" w:eastAsia="宋体" w:cs="Times New Roman"/>
                      <w:color w:val="auto"/>
                      <w:spacing w:val="0"/>
                      <w:kern w:val="0"/>
                      <w:sz w:val="21"/>
                      <w:szCs w:val="21"/>
                      <w:lang w:eastAsia="zh-CN"/>
                    </w:rPr>
                    <w:t>损坏更换的电池组件由厂家回收处置；设备检修、更换产生的废油装桶封闭，进入</w:t>
                  </w:r>
                  <w:r>
                    <w:rPr>
                      <w:rFonts w:hint="eastAsia" w:ascii="Times New Roman" w:hAnsi="Times New Roman" w:eastAsia="宋体" w:cs="Times New Roman"/>
                      <w:color w:val="auto"/>
                      <w:spacing w:val="0"/>
                      <w:kern w:val="0"/>
                      <w:sz w:val="21"/>
                      <w:szCs w:val="21"/>
                      <w:lang w:val="en-US" w:eastAsia="zh-CN"/>
                    </w:rPr>
                    <w:t>竹园沟项目</w:t>
                  </w:r>
                  <w:r>
                    <w:rPr>
                      <w:rFonts w:hint="default" w:ascii="Times New Roman" w:hAnsi="Times New Roman" w:eastAsia="宋体" w:cs="Times New Roman"/>
                      <w:color w:val="auto"/>
                      <w:spacing w:val="0"/>
                      <w:kern w:val="0"/>
                      <w:sz w:val="21"/>
                      <w:szCs w:val="21"/>
                      <w:lang w:eastAsia="zh-CN"/>
                    </w:rPr>
                    <w:t>升压站危废</w:t>
                  </w:r>
                  <w:r>
                    <w:rPr>
                      <w:rFonts w:hint="eastAsia" w:ascii="Times New Roman" w:hAnsi="Times New Roman" w:eastAsia="宋体" w:cs="Times New Roman"/>
                      <w:color w:val="auto"/>
                      <w:spacing w:val="0"/>
                      <w:kern w:val="0"/>
                      <w:sz w:val="21"/>
                      <w:szCs w:val="21"/>
                      <w:lang w:val="en-US" w:eastAsia="zh-CN"/>
                    </w:rPr>
                    <w:t>贮存库</w:t>
                  </w:r>
                  <w:r>
                    <w:rPr>
                      <w:rFonts w:hint="default" w:ascii="Times New Roman" w:hAnsi="Times New Roman" w:eastAsia="宋体" w:cs="Times New Roman"/>
                      <w:color w:val="auto"/>
                      <w:spacing w:val="0"/>
                      <w:kern w:val="0"/>
                      <w:sz w:val="21"/>
                      <w:szCs w:val="21"/>
                      <w:lang w:eastAsia="zh-CN"/>
                    </w:rPr>
                    <w:t>暂存，定期交由有资质单位处理。固废全部</w:t>
                  </w:r>
                  <w:r>
                    <w:rPr>
                      <w:rFonts w:hint="default" w:ascii="Times New Roman" w:hAnsi="Times New Roman" w:eastAsia="宋体" w:cs="Times New Roman"/>
                      <w:color w:val="auto"/>
                      <w:spacing w:val="0"/>
                      <w:kern w:val="0"/>
                      <w:sz w:val="21"/>
                      <w:szCs w:val="21"/>
                      <w:lang w:val="en-US" w:eastAsia="zh-CN"/>
                    </w:rPr>
                    <w:t>100％处置，</w:t>
                  </w:r>
                  <w:r>
                    <w:rPr>
                      <w:rFonts w:hint="default" w:ascii="Times New Roman" w:hAnsi="Times New Roman" w:eastAsia="宋体" w:cs="Times New Roman"/>
                      <w:color w:val="auto"/>
                      <w:spacing w:val="0"/>
                      <w:kern w:val="0"/>
                      <w:sz w:val="21"/>
                      <w:szCs w:val="21"/>
                      <w:lang w:eastAsia="zh-CN"/>
                    </w:rPr>
                    <w:t>不</w:t>
                  </w:r>
                  <w:r>
                    <w:rPr>
                      <w:rFonts w:hint="default" w:ascii="Times New Roman" w:hAnsi="Times New Roman" w:eastAsia="宋体" w:cs="Times New Roman"/>
                      <w:color w:val="auto"/>
                      <w:spacing w:val="0"/>
                      <w:kern w:val="0"/>
                      <w:sz w:val="21"/>
                      <w:szCs w:val="21"/>
                    </w:rPr>
                    <w:t>向水域倾倒</w:t>
                  </w:r>
                  <w:r>
                    <w:rPr>
                      <w:rFonts w:hint="eastAsia" w:ascii="Times New Roman" w:hAnsi="Times New Roman" w:eastAsia="宋体" w:cs="Times New Roman"/>
                      <w:color w:val="auto"/>
                      <w:spacing w:val="0"/>
                      <w:kern w:val="0"/>
                      <w:sz w:val="21"/>
                      <w:szCs w:val="21"/>
                      <w:lang w:val="en-US" w:eastAsia="zh-CN"/>
                    </w:rPr>
                    <w:t>有毒有害物质</w:t>
                  </w:r>
                  <w:r>
                    <w:rPr>
                      <w:rFonts w:hint="default" w:ascii="Times New Roman" w:hAnsi="Times New Roman" w:eastAsia="宋体" w:cs="Times New Roman"/>
                      <w:color w:val="auto"/>
                      <w:spacing w:val="0"/>
                      <w:kern w:val="0"/>
                      <w:sz w:val="21"/>
                      <w:szCs w:val="21"/>
                    </w:rPr>
                    <w:t>。</w:t>
                  </w:r>
                </w:p>
              </w:tc>
              <w:tc>
                <w:tcPr>
                  <w:tcW w:w="438" w:type="pct"/>
                  <w:tcBorders>
                    <w:tl2br w:val="nil"/>
                    <w:tr2bl w:val="nil"/>
                  </w:tcBorders>
                  <w:noWrap w:val="0"/>
                  <w:tcMar>
                    <w:top w:w="15" w:type="dxa"/>
                    <w:left w:w="15" w:type="dxa"/>
                    <w:right w:w="15" w:type="dxa"/>
                  </w:tcMar>
                  <w:vAlign w:val="center"/>
                </w:tcPr>
                <w:p w14:paraId="1481F16B">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r w14:paraId="7B126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Pr>
                <w:p w14:paraId="25DEAB23">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vAlign w:val="center"/>
                </w:tcPr>
                <w:p w14:paraId="05F7FE8A">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default" w:ascii="Times New Roman" w:hAnsi="Times New Roman" w:eastAsia="宋体" w:cs="Times New Roman"/>
                      <w:color w:val="auto"/>
                      <w:spacing w:val="0"/>
                      <w:kern w:val="0"/>
                      <w:sz w:val="21"/>
                      <w:szCs w:val="21"/>
                      <w:lang w:val="en-US" w:eastAsia="zh-CN" w:bidi="ar-SA"/>
                    </w:rPr>
                    <w:t>污染物排放管控</w:t>
                  </w:r>
                </w:p>
              </w:tc>
              <w:tc>
                <w:tcPr>
                  <w:tcW w:w="1760" w:type="pct"/>
                  <w:vAlign w:val="center"/>
                </w:tcPr>
                <w:p w14:paraId="3A130264">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1.严格控制“两高”行业新增产能，新、改、扩建项目要实行产能等量或减量置换。</w:t>
                  </w:r>
                </w:p>
                <w:p w14:paraId="07B3F4A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2.严格用地准入，工业用地及商业用地供地前，自然资源部门需对拟供地块进行土壤环境状况调查，评估环境污染风险后方可供地。</w:t>
                  </w:r>
                </w:p>
                <w:p w14:paraId="1F25D5D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3.禁止使用炸鱼、毒鱼、电鱼等破坏渔业资源方法进行捕捞。</w:t>
                  </w:r>
                </w:p>
                <w:p w14:paraId="48266944">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4.禁止在禁渔区、禁渔期进行捕捞。禁止使用小于最小网目尺寸的网具进行捕捞，未依法取得捕捞许可证擅自捕捞。</w:t>
                  </w:r>
                </w:p>
              </w:tc>
              <w:tc>
                <w:tcPr>
                  <w:tcW w:w="1959" w:type="pct"/>
                  <w:vAlign w:val="center"/>
                </w:tcPr>
                <w:p w14:paraId="6A703C3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lang w:val="en-US" w:eastAsia="zh-CN"/>
                    </w:rPr>
                  </w:pPr>
                  <w:r>
                    <w:rPr>
                      <w:rFonts w:hint="eastAsia" w:cs="Times New Roman"/>
                      <w:color w:val="auto"/>
                      <w:spacing w:val="0"/>
                      <w:kern w:val="0"/>
                      <w:sz w:val="21"/>
                      <w:szCs w:val="21"/>
                      <w:lang w:val="en-US" w:eastAsia="zh-CN"/>
                    </w:rPr>
                    <w:t>1.本项目为光伏发电项目，不属于“两高”行业。</w:t>
                  </w:r>
                </w:p>
                <w:p w14:paraId="69791F1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lang w:val="en-US" w:eastAsia="zh-CN"/>
                    </w:rPr>
                  </w:pPr>
                  <w:r>
                    <w:rPr>
                      <w:rFonts w:hint="eastAsia" w:cs="Times New Roman"/>
                      <w:color w:val="auto"/>
                      <w:spacing w:val="0"/>
                      <w:kern w:val="0"/>
                      <w:sz w:val="21"/>
                      <w:szCs w:val="21"/>
                      <w:lang w:val="en-US" w:eastAsia="zh-CN"/>
                    </w:rPr>
                    <w:t>2.项目</w:t>
                  </w:r>
                  <w:r>
                    <w:rPr>
                      <w:rFonts w:hint="default" w:ascii="Times New Roman" w:hAnsi="Times New Roman" w:eastAsia="宋体" w:cs="Times New Roman"/>
                      <w:color w:val="auto"/>
                      <w:sz w:val="21"/>
                      <w:szCs w:val="21"/>
                      <w:vertAlign w:val="baseline"/>
                      <w:lang w:val="en-US" w:eastAsia="zh-CN"/>
                    </w:rPr>
                    <w:t>征占地性质</w:t>
                  </w:r>
                  <w:r>
                    <w:rPr>
                      <w:rFonts w:hint="eastAsia" w:cs="Times New Roman"/>
                      <w:color w:val="auto"/>
                      <w:spacing w:val="0"/>
                      <w:kern w:val="0"/>
                      <w:sz w:val="21"/>
                      <w:szCs w:val="21"/>
                      <w:lang w:val="en-US" w:eastAsia="zh-CN"/>
                    </w:rPr>
                    <w:t>不属于工业及商业用地。</w:t>
                  </w:r>
                </w:p>
                <w:p w14:paraId="1AAF0A7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lang w:val="en-US" w:eastAsia="zh-CN"/>
                    </w:rPr>
                  </w:pPr>
                  <w:r>
                    <w:rPr>
                      <w:rFonts w:hint="eastAsia" w:cs="Times New Roman"/>
                      <w:color w:val="auto"/>
                      <w:spacing w:val="0"/>
                      <w:kern w:val="0"/>
                      <w:sz w:val="21"/>
                      <w:szCs w:val="21"/>
                      <w:lang w:val="en-US" w:eastAsia="zh-CN"/>
                    </w:rPr>
                    <w:t>3~4.</w:t>
                  </w:r>
                  <w:r>
                    <w:rPr>
                      <w:rFonts w:hint="default" w:ascii="Times New Roman" w:hAnsi="Times New Roman" w:eastAsia="宋体" w:cs="Times New Roman"/>
                      <w:color w:val="auto"/>
                      <w:spacing w:val="0"/>
                      <w:kern w:val="0"/>
                      <w:sz w:val="21"/>
                      <w:szCs w:val="21"/>
                      <w:lang w:eastAsia="zh-CN"/>
                    </w:rPr>
                    <w:t>项目为</w:t>
                  </w:r>
                  <w:r>
                    <w:rPr>
                      <w:rFonts w:hint="eastAsia" w:ascii="Times New Roman" w:hAnsi="Times New Roman" w:eastAsia="宋体" w:cs="Times New Roman"/>
                      <w:color w:val="auto"/>
                      <w:spacing w:val="0"/>
                      <w:kern w:val="0"/>
                      <w:sz w:val="21"/>
                      <w:szCs w:val="21"/>
                      <w:lang w:val="en-US" w:eastAsia="zh-CN"/>
                    </w:rPr>
                    <w:t>林光</w:t>
                  </w:r>
                  <w:r>
                    <w:rPr>
                      <w:rFonts w:hint="default" w:ascii="Times New Roman" w:hAnsi="Times New Roman" w:eastAsia="宋体" w:cs="Times New Roman"/>
                      <w:color w:val="auto"/>
                      <w:spacing w:val="0"/>
                      <w:kern w:val="0"/>
                      <w:sz w:val="21"/>
                      <w:szCs w:val="21"/>
                      <w:lang w:val="en-US" w:eastAsia="zh-CN"/>
                    </w:rPr>
                    <w:t>复合型光伏发电</w:t>
                  </w:r>
                  <w:r>
                    <w:rPr>
                      <w:rFonts w:hint="eastAsia" w:cs="Times New Roman"/>
                      <w:color w:val="auto"/>
                      <w:spacing w:val="0"/>
                      <w:kern w:val="0"/>
                      <w:sz w:val="21"/>
                      <w:szCs w:val="21"/>
                      <w:lang w:val="en-US" w:eastAsia="zh-CN"/>
                    </w:rPr>
                    <w:t>，不涉及捕捞，不会破坏渔业资源。</w:t>
                  </w:r>
                </w:p>
                <w:p w14:paraId="0C8E604D">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rPr>
                  </w:pPr>
                </w:p>
              </w:tc>
              <w:tc>
                <w:tcPr>
                  <w:tcW w:w="438" w:type="pct"/>
                </w:tcPr>
                <w:p w14:paraId="67B3DD42">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r>
            <w:tr w14:paraId="258FF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5" w:type="pct"/>
                  <w:vMerge w:val="continue"/>
                </w:tcPr>
                <w:p w14:paraId="03F43C0C">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p>
              </w:tc>
              <w:tc>
                <w:tcPr>
                  <w:tcW w:w="416" w:type="pct"/>
                  <w:vAlign w:val="center"/>
                </w:tcPr>
                <w:p w14:paraId="221A9504">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zh-CN" w:eastAsia="zh-CN"/>
                    </w:rPr>
                  </w:pPr>
                  <w:r>
                    <w:rPr>
                      <w:rFonts w:hint="default" w:ascii="Times New Roman" w:hAnsi="Times New Roman" w:eastAsia="宋体" w:cs="Times New Roman"/>
                      <w:color w:val="auto"/>
                      <w:spacing w:val="0"/>
                      <w:sz w:val="21"/>
                      <w:szCs w:val="21"/>
                      <w:lang w:val="zh-CN" w:eastAsia="zh-CN"/>
                    </w:rPr>
                    <w:t>环境风险</w:t>
                  </w:r>
                </w:p>
                <w:p w14:paraId="64E8FE89">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zh-CN" w:eastAsia="zh-CN"/>
                    </w:rPr>
                    <w:t>防控</w:t>
                  </w:r>
                </w:p>
              </w:tc>
              <w:tc>
                <w:tcPr>
                  <w:tcW w:w="1760" w:type="pct"/>
                  <w:vAlign w:val="center"/>
                </w:tcPr>
                <w:p w14:paraId="63FB5DD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1.严格限制《环境保护综合名录》（2021年版）中“高污染、高环境风险”产品与工艺装备。</w:t>
                  </w:r>
                </w:p>
                <w:p w14:paraId="5D338C3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2.禁止使用剧毒、高残留以及可能二次中毒的农药。</w:t>
                  </w:r>
                </w:p>
                <w:p w14:paraId="334AB50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3.严格污染场地开发利用和流转审批，在影响健康地块修复达标之前，禁止建设居民区、学校、医疗和养老机构。</w:t>
                  </w:r>
                </w:p>
              </w:tc>
              <w:tc>
                <w:tcPr>
                  <w:tcW w:w="1959" w:type="pct"/>
                  <w:vAlign w:val="center"/>
                </w:tcPr>
                <w:p w14:paraId="7288871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1.</w:t>
                  </w:r>
                  <w:r>
                    <w:rPr>
                      <w:rFonts w:hint="default" w:ascii="Times New Roman" w:hAnsi="Times New Roman" w:eastAsia="宋体" w:cs="Times New Roman"/>
                      <w:color w:val="auto"/>
                      <w:spacing w:val="0"/>
                      <w:kern w:val="0"/>
                      <w:sz w:val="21"/>
                      <w:szCs w:val="21"/>
                      <w:lang w:eastAsia="zh-CN"/>
                    </w:rPr>
                    <w:t>项目为</w:t>
                  </w:r>
                  <w:r>
                    <w:rPr>
                      <w:rFonts w:hint="eastAsia" w:ascii="Times New Roman" w:hAnsi="Times New Roman" w:eastAsia="宋体" w:cs="Times New Roman"/>
                      <w:color w:val="auto"/>
                      <w:spacing w:val="0"/>
                      <w:kern w:val="0"/>
                      <w:sz w:val="21"/>
                      <w:szCs w:val="21"/>
                      <w:lang w:val="en-US" w:eastAsia="zh-CN"/>
                    </w:rPr>
                    <w:t>林光</w:t>
                  </w:r>
                  <w:r>
                    <w:rPr>
                      <w:rFonts w:hint="default" w:ascii="Times New Roman" w:hAnsi="Times New Roman" w:eastAsia="宋体" w:cs="Times New Roman"/>
                      <w:color w:val="auto"/>
                      <w:spacing w:val="0"/>
                      <w:kern w:val="0"/>
                      <w:sz w:val="21"/>
                      <w:szCs w:val="21"/>
                      <w:lang w:val="en-US" w:eastAsia="zh-CN"/>
                    </w:rPr>
                    <w:t>复合型光伏发电，</w:t>
                  </w:r>
                  <w:r>
                    <w:rPr>
                      <w:rFonts w:hint="default" w:ascii="Times New Roman" w:hAnsi="Times New Roman" w:eastAsia="宋体" w:cs="Times New Roman"/>
                      <w:color w:val="auto"/>
                      <w:sz w:val="21"/>
                      <w:szCs w:val="21"/>
                      <w:vertAlign w:val="baseline"/>
                      <w:lang w:val="en-US" w:eastAsia="zh-CN"/>
                    </w:rPr>
                    <w:t>不涉及高污染、高环境风险的产品及工艺装备。</w:t>
                  </w:r>
                </w:p>
                <w:p w14:paraId="1D34BD9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rPr>
                    <w:t>2.</w:t>
                  </w:r>
                  <w:r>
                    <w:rPr>
                      <w:rFonts w:hint="default" w:ascii="Times New Roman" w:hAnsi="Times New Roman" w:eastAsia="宋体" w:cs="Times New Roman"/>
                      <w:color w:val="auto"/>
                      <w:spacing w:val="0"/>
                      <w:kern w:val="0"/>
                      <w:sz w:val="21"/>
                      <w:szCs w:val="21"/>
                      <w:lang w:eastAsia="zh-CN"/>
                    </w:rPr>
                    <w:t>本项目不涉及</w:t>
                  </w:r>
                  <w:r>
                    <w:rPr>
                      <w:rFonts w:hint="default" w:ascii="Times New Roman" w:hAnsi="Times New Roman" w:eastAsia="宋体" w:cs="Times New Roman"/>
                      <w:color w:val="auto"/>
                      <w:spacing w:val="0"/>
                      <w:kern w:val="0"/>
                      <w:sz w:val="21"/>
                      <w:szCs w:val="21"/>
                    </w:rPr>
                    <w:t>高毒高风险农药使用。</w:t>
                  </w:r>
                </w:p>
                <w:p w14:paraId="437E9B55">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rPr>
                    <w:t>3.</w:t>
                  </w:r>
                  <w:r>
                    <w:rPr>
                      <w:rFonts w:hint="eastAsia" w:cs="Times New Roman"/>
                      <w:color w:val="auto"/>
                      <w:spacing w:val="0"/>
                      <w:kern w:val="0"/>
                      <w:sz w:val="21"/>
                      <w:szCs w:val="21"/>
                      <w:lang w:val="en-US" w:eastAsia="zh-CN"/>
                    </w:rPr>
                    <w:t>本项目为光伏发电项目，不涉及使用污染场地，不属于居民区、学校、医疗和养老机构。</w:t>
                  </w:r>
                </w:p>
              </w:tc>
              <w:tc>
                <w:tcPr>
                  <w:tcW w:w="438" w:type="pct"/>
                </w:tcPr>
                <w:p w14:paraId="121A01B0">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bl>
          <w:p w14:paraId="05FFAE2F">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eastAsia" w:ascii="Times New Roman" w:hAnsi="Times New Roman" w:eastAsia="黑体" w:cs="Times New Roman"/>
                <w:b w:val="0"/>
                <w:bCs w:val="0"/>
                <w:color w:val="auto"/>
                <w:kern w:val="0"/>
                <w:sz w:val="24"/>
                <w:szCs w:val="18"/>
                <w:highlight w:val="none"/>
                <w:lang w:val="en-US" w:eastAsia="zh-CN" w:bidi="ar-SA"/>
              </w:rPr>
            </w:pPr>
            <w:r>
              <w:rPr>
                <w:rFonts w:hint="default" w:ascii="Times New Roman" w:hAnsi="Times New Roman" w:eastAsia="宋体" w:cs="Times New Roman"/>
                <w:color w:val="auto"/>
                <w:sz w:val="24"/>
                <w:szCs w:val="24"/>
                <w:highlight w:val="none"/>
              </w:rPr>
              <w:t>综上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的建设</w:t>
            </w:r>
            <w:r>
              <w:rPr>
                <w:rFonts w:hint="eastAsia" w:ascii="Times New Roman" w:hAnsi="Times New Roman" w:eastAsia="宋体" w:cs="Times New Roman"/>
                <w:color w:val="auto"/>
                <w:sz w:val="24"/>
                <w:szCs w:val="24"/>
                <w:highlight w:val="none"/>
                <w:lang w:val="en-US" w:eastAsia="zh-CN"/>
              </w:rPr>
              <w:t>符合</w:t>
            </w:r>
            <w:r>
              <w:rPr>
                <w:rFonts w:hint="eastAsia" w:ascii="Times New Roman" w:hAnsi="Times New Roman" w:eastAsia="宋体" w:cs="Times New Roman"/>
                <w:color w:val="auto"/>
                <w:kern w:val="0"/>
                <w:sz w:val="24"/>
                <w:szCs w:val="24"/>
                <w:highlight w:val="none"/>
                <w:lang w:val="en-US" w:eastAsia="zh-CN" w:bidi="ar"/>
              </w:rPr>
              <w:t>《昆明市生态环境局关于公开征求《昆明市生态环境分区管控动态更新方案</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征求意见稿</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》意见的公告》</w:t>
            </w:r>
            <w:r>
              <w:rPr>
                <w:rFonts w:hint="default" w:ascii="Times New Roman" w:hAnsi="Times New Roman" w:eastAsia="宋体" w:cs="Times New Roman"/>
                <w:color w:val="auto"/>
                <w:sz w:val="24"/>
                <w:szCs w:val="24"/>
                <w:highlight w:val="none"/>
                <w:lang w:val="zh-CN" w:eastAsia="zh-CN"/>
              </w:rPr>
              <w:t>中生态环境准入要求。</w:t>
            </w:r>
          </w:p>
          <w:p w14:paraId="3BF85F72">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3</w:t>
            </w:r>
            <w:r>
              <w:rPr>
                <w:rFonts w:hint="eastAsia"/>
                <w:b/>
                <w:bCs/>
                <w:color w:val="auto"/>
                <w:kern w:val="0"/>
                <w:sz w:val="24"/>
                <w:highlight w:val="none"/>
                <w:shd w:val="clear" w:color="auto" w:fill="auto"/>
              </w:rPr>
              <w:t>、与《云南省主体功能区规划》的</w:t>
            </w:r>
            <w:r>
              <w:rPr>
                <w:rFonts w:hint="eastAsia"/>
                <w:b/>
                <w:bCs/>
                <w:color w:val="auto"/>
                <w:kern w:val="0"/>
                <w:sz w:val="24"/>
                <w:highlight w:val="none"/>
                <w:shd w:val="clear" w:color="auto" w:fill="auto"/>
                <w:lang w:eastAsia="zh-CN"/>
              </w:rPr>
              <w:t>符合性</w:t>
            </w:r>
            <w:r>
              <w:rPr>
                <w:rFonts w:hint="eastAsia"/>
                <w:b/>
                <w:bCs/>
                <w:color w:val="auto"/>
                <w:kern w:val="0"/>
                <w:sz w:val="24"/>
                <w:highlight w:val="none"/>
                <w:shd w:val="clear" w:color="auto" w:fill="auto"/>
              </w:rPr>
              <w:t>分析</w:t>
            </w:r>
          </w:p>
          <w:p w14:paraId="1A793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云南省人民政府于2014年1月6日发布</w:t>
            </w:r>
            <w:r>
              <w:rPr>
                <w:rFonts w:hint="eastAsia" w:ascii="宋体" w:hAnsi="宋体" w:eastAsia="宋体" w:cs="宋体"/>
                <w:color w:val="auto"/>
                <w:sz w:val="24"/>
                <w:szCs w:val="24"/>
              </w:rPr>
              <w:t>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云南省人民政府关于印发云南省主体功能区划的通知</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rPr>
              <w:t>（云政发〔2014〕1号），将云南省国土空间划分为重点开发区、限制开发区和禁止开发区3类区域。本项目位于</w:t>
            </w:r>
            <w:r>
              <w:rPr>
                <w:rFonts w:hint="default" w:ascii="Times New Roman" w:hAnsi="Times New Roman" w:eastAsia="宋体" w:cs="Times New Roman"/>
                <w:color w:val="auto"/>
                <w:sz w:val="24"/>
                <w:szCs w:val="24"/>
                <w:lang w:val="en-US" w:eastAsia="zh-CN"/>
              </w:rPr>
              <w:t>云南省昆明市寻甸回族彝族自治县河口镇</w:t>
            </w:r>
            <w:r>
              <w:rPr>
                <w:rFonts w:hint="eastAsia" w:ascii="宋体" w:hAnsi="宋体" w:cs="宋体"/>
                <w:color w:val="auto"/>
                <w:kern w:val="0"/>
                <w:sz w:val="24"/>
                <w:szCs w:val="24"/>
                <w:lang w:val="en-US" w:eastAsia="zh-CN" w:bidi="ar"/>
              </w:rPr>
              <w:t>、功山镇</w:t>
            </w:r>
            <w:r>
              <w:rPr>
                <w:rFonts w:hint="default" w:ascii="Times New Roman" w:hAnsi="Times New Roman" w:eastAsia="宋体" w:cs="Times New Roman"/>
                <w:color w:val="auto"/>
                <w:sz w:val="24"/>
                <w:szCs w:val="24"/>
                <w:lang w:val="en-US" w:eastAsia="zh-CN"/>
              </w:rPr>
              <w:t>境内</w:t>
            </w:r>
            <w:r>
              <w:rPr>
                <w:rFonts w:hint="default" w:ascii="Times New Roman" w:hAnsi="Times New Roman" w:eastAsia="宋体" w:cs="Times New Roman"/>
                <w:color w:val="auto"/>
                <w:sz w:val="24"/>
                <w:szCs w:val="24"/>
              </w:rPr>
              <w:t>，根据《云南省主体功能区规划》，</w:t>
            </w:r>
            <w:r>
              <w:rPr>
                <w:rFonts w:hint="default" w:ascii="Times New Roman" w:hAnsi="Times New Roman" w:eastAsia="宋体" w:cs="Times New Roman"/>
                <w:color w:val="auto"/>
                <w:sz w:val="24"/>
                <w:szCs w:val="24"/>
                <w:lang w:eastAsia="zh-CN"/>
              </w:rPr>
              <w:t>项目所在区域</w:t>
            </w:r>
            <w:r>
              <w:rPr>
                <w:rFonts w:hint="default" w:ascii="Times New Roman" w:hAnsi="Times New Roman" w:eastAsia="宋体" w:cs="Times New Roman"/>
                <w:color w:val="auto"/>
                <w:sz w:val="24"/>
                <w:szCs w:val="24"/>
              </w:rPr>
              <w:t>属于</w:t>
            </w:r>
            <w:r>
              <w:rPr>
                <w:rFonts w:hint="eastAsia" w:ascii="Times New Roman" w:hAnsi="Times New Roman" w:eastAsia="宋体"/>
                <w:color w:val="auto"/>
                <w:kern w:val="0"/>
                <w:sz w:val="24"/>
                <w:lang w:eastAsia="zh-CN"/>
              </w:rPr>
              <w:t>滇中国家层面重点开发区</w:t>
            </w:r>
            <w:r>
              <w:rPr>
                <w:rFonts w:hint="default" w:ascii="Times New Roman" w:hAnsi="Times New Roman" w:eastAsia="宋体" w:cs="Times New Roman"/>
                <w:color w:val="auto"/>
                <w:sz w:val="24"/>
                <w:szCs w:val="24"/>
              </w:rPr>
              <w:t>。</w:t>
            </w:r>
          </w:p>
          <w:p w14:paraId="5DA4F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区域功能定位</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：我国面向西南开放重要桥头堡建设的核心区，连接东南亚、南亚国家的陆路交通枢纽，面向东南亚、南亚对外开放的重要门户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全国重要的烟草、旅游、文化、能源和商贸物流基地，以化工、有色冶炼加工、生物为重点的区域性资源深加工基地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承接产业转移基地和外向型特色优势产业基地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我国城市化发展格局中特色鲜明的高原生态宜居城市群</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全省跨越发展的引擎，我国西南地区重要的经济增长极。</w:t>
            </w:r>
          </w:p>
          <w:p w14:paraId="7952C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rPr>
            </w:pPr>
            <w:r>
              <w:rPr>
                <w:rFonts w:hint="default" w:ascii="Times New Roman" w:hAnsi="Times New Roman" w:eastAsia="宋体" w:cs="Times New Roman"/>
                <w:color w:val="auto"/>
                <w:sz w:val="24"/>
                <w:szCs w:val="24"/>
              </w:rPr>
              <w:t>光伏发电是清洁的可再生能源，具有较好的环境效益，项目在节能减排、改善当地能源结构及促进区域经济发展等方面能产生积极的社会效益。</w:t>
            </w:r>
            <w:r>
              <w:rPr>
                <w:rFonts w:hint="eastAsia" w:cs="Times New Roman"/>
                <w:color w:val="auto"/>
                <w:sz w:val="24"/>
                <w:szCs w:val="24"/>
                <w:lang w:val="en-US" w:eastAsia="zh-CN"/>
              </w:rPr>
              <w:t>白石岩</w:t>
            </w:r>
            <w:r>
              <w:rPr>
                <w:rFonts w:hint="default" w:ascii="Times New Roman" w:hAnsi="Times New Roman" w:eastAsia="宋体" w:cs="Times New Roman"/>
                <w:color w:val="auto"/>
                <w:sz w:val="24"/>
                <w:szCs w:val="24"/>
                <w:lang w:eastAsia="zh-CN"/>
              </w:rPr>
              <w:t>光伏发电项目</w:t>
            </w:r>
            <w:r>
              <w:rPr>
                <w:rFonts w:hint="default" w:ascii="Times New Roman" w:hAnsi="Times New Roman" w:eastAsia="宋体" w:cs="Times New Roman"/>
                <w:color w:val="auto"/>
                <w:sz w:val="24"/>
                <w:szCs w:val="24"/>
              </w:rPr>
              <w:t>为清洁能源太阳能的开发利用项目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建成后，有利于优化地区能源结构，减少一次能源（如煤、石油、天然气）利用，从而减少因一次能源开发使用造成的污染排放等环境问题，促进地区清洁生产、促进清洁载能产业发展。因此，项目建设与《云南省主体功能区规划》中</w:t>
            </w:r>
            <w:r>
              <w:rPr>
                <w:rFonts w:hint="default" w:ascii="Times New Roman" w:hAnsi="Times New Roman" w:eastAsia="宋体" w:cs="Times New Roman"/>
                <w:color w:val="auto"/>
                <w:sz w:val="24"/>
                <w:szCs w:val="24"/>
                <w:lang w:eastAsia="zh-CN"/>
              </w:rPr>
              <w:t>对</w:t>
            </w:r>
            <w:r>
              <w:rPr>
                <w:rFonts w:hint="default" w:ascii="Times New Roman" w:hAnsi="Times New Roman" w:eastAsia="宋体" w:cs="Times New Roman"/>
                <w:color w:val="auto"/>
                <w:sz w:val="24"/>
                <w:szCs w:val="24"/>
              </w:rPr>
              <w:t>该区域的发展方向</w:t>
            </w:r>
            <w:r>
              <w:rPr>
                <w:rFonts w:hint="default" w:ascii="Times New Roman" w:hAnsi="Times New Roman" w:eastAsia="宋体" w:cs="Times New Roman"/>
                <w:color w:val="auto"/>
                <w:sz w:val="24"/>
                <w:szCs w:val="24"/>
                <w:lang w:eastAsia="zh-CN"/>
              </w:rPr>
              <w:t>定位</w:t>
            </w:r>
            <w:r>
              <w:rPr>
                <w:rFonts w:hint="default" w:ascii="Times New Roman" w:hAnsi="Times New Roman" w:eastAsia="宋体" w:cs="Times New Roman"/>
                <w:color w:val="auto"/>
                <w:sz w:val="24"/>
                <w:szCs w:val="24"/>
              </w:rPr>
              <w:t>相符合。</w:t>
            </w:r>
          </w:p>
          <w:p w14:paraId="18D609CA">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4</w:t>
            </w:r>
            <w:r>
              <w:rPr>
                <w:rFonts w:hint="eastAsia"/>
                <w:b/>
                <w:bCs/>
                <w:color w:val="auto"/>
                <w:kern w:val="0"/>
                <w:sz w:val="24"/>
                <w:highlight w:val="none"/>
                <w:shd w:val="clear" w:color="auto" w:fill="auto"/>
              </w:rPr>
              <w:t>、与《云南省生态功能区划》的符合性</w:t>
            </w:r>
          </w:p>
          <w:p w14:paraId="712A5F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《云南省生态功能区划》由原云南省环境保护厅于</w:t>
            </w:r>
            <w:r>
              <w:rPr>
                <w:rFonts w:hint="default" w:ascii="Times New Roman" w:hAnsi="Times New Roman" w:eastAsia="宋体" w:cs="Times New Roman"/>
                <w:color w:val="auto"/>
                <w:sz w:val="24"/>
                <w:szCs w:val="24"/>
              </w:rPr>
              <w:t>2009</w:t>
            </w:r>
            <w:r>
              <w:rPr>
                <w:rFonts w:hint="eastAsia"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rPr>
              <w:t>9</w:t>
            </w:r>
            <w:r>
              <w:rPr>
                <w:rFonts w:hint="eastAsia"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rPr>
              <w:t>7</w:t>
            </w:r>
            <w:r>
              <w:rPr>
                <w:rFonts w:hint="eastAsia" w:ascii="Times New Roman" w:hAnsi="Times New Roman" w:eastAsia="宋体" w:cs="Times New Roman"/>
                <w:color w:val="auto"/>
                <w:sz w:val="24"/>
                <w:szCs w:val="24"/>
              </w:rPr>
              <w:t>日发布实施。根据《云南省生态功能区划》云南省生态功能区共分一级区（生态区）</w:t>
            </w:r>
            <w:r>
              <w:rPr>
                <w:rFonts w:hint="default"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个，二级区（生态亚区）</w:t>
            </w:r>
            <w:r>
              <w:rPr>
                <w:rFonts w:hint="default" w:ascii="Times New Roman" w:hAnsi="Times New Roman" w:eastAsia="宋体" w:cs="Times New Roman"/>
                <w:color w:val="auto"/>
                <w:sz w:val="24"/>
                <w:szCs w:val="24"/>
              </w:rPr>
              <w:t>19</w:t>
            </w:r>
            <w:r>
              <w:rPr>
                <w:rFonts w:hint="eastAsia" w:ascii="Times New Roman" w:hAnsi="Times New Roman" w:eastAsia="宋体" w:cs="Times New Roman"/>
                <w:color w:val="auto"/>
                <w:sz w:val="24"/>
                <w:szCs w:val="24"/>
              </w:rPr>
              <w:t>个，三级区（生态功能区）</w:t>
            </w:r>
            <w:r>
              <w:rPr>
                <w:rFonts w:hint="default" w:ascii="Times New Roman" w:hAnsi="Times New Roman" w:eastAsia="宋体" w:cs="Times New Roman"/>
                <w:color w:val="auto"/>
                <w:sz w:val="24"/>
                <w:szCs w:val="24"/>
              </w:rPr>
              <w:t>65</w:t>
            </w:r>
            <w:r>
              <w:rPr>
                <w:rFonts w:hint="eastAsia" w:ascii="Times New Roman" w:hAnsi="Times New Roman" w:eastAsia="宋体" w:cs="Times New Roman"/>
                <w:color w:val="auto"/>
                <w:sz w:val="24"/>
                <w:szCs w:val="24"/>
              </w:rPr>
              <w:t>个。</w:t>
            </w:r>
          </w:p>
          <w:p w14:paraId="29C32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lang w:eastAsia="zh-CN"/>
              </w:rPr>
            </w:pPr>
            <w:r>
              <w:rPr>
                <w:rFonts w:hint="eastAsia" w:ascii="Times New Roman" w:hAnsi="Times New Roman" w:eastAsia="宋体" w:cs="Times New Roman"/>
                <w:color w:val="auto"/>
                <w:sz w:val="24"/>
                <w:szCs w:val="24"/>
                <w:lang w:val="en-US" w:eastAsia="zh-CN"/>
              </w:rPr>
              <w:t>经叠图，东北片区位于</w:t>
            </w:r>
            <w:r>
              <w:rPr>
                <w:rFonts w:hint="eastAsia" w:ascii="Times New Roman" w:hAnsi="Times New Roman" w:eastAsia="宋体" w:cs="Times New Roman"/>
                <w:color w:val="auto"/>
                <w:sz w:val="24"/>
                <w:szCs w:val="24"/>
              </w:rPr>
              <w:t>云南省生态功能区划</w:t>
            </w:r>
            <w:r>
              <w:rPr>
                <w:rFonts w:hint="eastAsia" w:ascii="Times New Roman" w:hAnsi="Times New Roman" w:eastAsia="宋体" w:cs="Times New Roman"/>
                <w:color w:val="auto"/>
                <w:sz w:val="24"/>
                <w:szCs w:val="24"/>
                <w:lang w:val="en-US" w:eastAsia="zh-CN"/>
              </w:rPr>
              <w:t>中的</w:t>
            </w:r>
            <w:r>
              <w:rPr>
                <w:rFonts w:hint="default" w:ascii="Times New Roman" w:hAnsi="Times New Roman" w:eastAsia="宋体" w:cs="Times New Roman"/>
                <w:color w:val="auto"/>
                <w:sz w:val="24"/>
                <w:szCs w:val="24"/>
              </w:rPr>
              <w:t>Ⅲ1-10牛栏江上游丘原盆地水源涵养生态功能区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该功能区生态特征以石灰岩丘原盆地地貌为主</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降雨量1000-1200毫米，植被主要为云南松林和半湿润常绿阔叶林，土壤类型主要是红壤</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主要生态环境问题为土地利用过度引起的土地退化</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生态环境敏感性为石漠化高度及中度敏感</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主要生态服务功能为牛栏江上游的水源涵养和生态农业建设；保护措施与发展方向为开展生态旅游，合理利用土地，推行清洁生产，改善森林的数量，保护岩溶地貌环境和农田生态环境，防止石漠化</w:t>
            </w:r>
            <w:r>
              <w:rPr>
                <w:rFonts w:hint="eastAsia" w:cs="Times New Roman"/>
                <w:color w:val="auto"/>
                <w:sz w:val="24"/>
                <w:szCs w:val="24"/>
                <w:lang w:eastAsia="zh-CN"/>
              </w:rPr>
              <w:t>。</w:t>
            </w:r>
          </w:p>
          <w:p w14:paraId="62B73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西南片区位于</w:t>
            </w:r>
            <w:r>
              <w:rPr>
                <w:rFonts w:hint="eastAsia" w:ascii="Times New Roman" w:hAnsi="Times New Roman" w:eastAsia="宋体" w:cs="Times New Roman"/>
                <w:color w:val="auto"/>
                <w:sz w:val="24"/>
                <w:szCs w:val="24"/>
              </w:rPr>
              <w:t>云南省生态功能区划</w:t>
            </w:r>
            <w:r>
              <w:rPr>
                <w:rFonts w:hint="eastAsia" w:ascii="Times New Roman" w:hAnsi="Times New Roman" w:eastAsia="宋体" w:cs="Times New Roman"/>
                <w:color w:val="auto"/>
                <w:sz w:val="24"/>
                <w:szCs w:val="24"/>
                <w:lang w:val="en-US" w:eastAsia="zh-CN"/>
              </w:rPr>
              <w:t>中的Ⅲ</w:t>
            </w:r>
            <w:r>
              <w:rPr>
                <w:rFonts w:hint="default" w:ascii="Times New Roman" w:hAnsi="Times New Roman" w:eastAsia="宋体" w:cs="Times New Roman"/>
                <w:color w:val="auto"/>
                <w:sz w:val="24"/>
                <w:szCs w:val="24"/>
                <w:lang w:val="en-US" w:eastAsia="zh-CN"/>
              </w:rPr>
              <w:t>1-9</w:t>
            </w:r>
            <w:r>
              <w:rPr>
                <w:rFonts w:hint="eastAsia" w:ascii="Times New Roman" w:hAnsi="Times New Roman" w:eastAsia="宋体" w:cs="Times New Roman"/>
                <w:color w:val="auto"/>
                <w:sz w:val="24"/>
                <w:szCs w:val="24"/>
                <w:lang w:val="en-US" w:eastAsia="zh-CN"/>
              </w:rPr>
              <w:t>普渡河干流、小江上游水土保持生态功能区</w:t>
            </w:r>
            <w:r>
              <w:rPr>
                <w:rFonts w:hint="eastAsia" w:ascii="Times New Roman" w:hAnsi="Times New Roman" w:eastAsia="宋体" w:cs="Times New Roman"/>
                <w:color w:val="auto"/>
                <w:sz w:val="24"/>
                <w:szCs w:val="24"/>
              </w:rPr>
              <w:t>，该功能区生态特征以中山峡谷地貌为主</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年降雨量在普渡河河谷为800毫米，高原面上为1200-1500毫米，植被垂直地带性分布明显，现存植被以云南松林为主，土壤以红壤和紫色土为主；主要生态环境问题为森林质量较差，水土流失严重；生态环境敏感性为土壤侵蚀高度敏感；主要生态服务功能为金沙江中段峡谷地带的水土保持和生态灾害的综合治理；保护措施与发展方向为保护现有植被，加大封山育林的强度，营造水土保护林，严格退耕还林，提高区域的森林数量及质量。</w:t>
            </w:r>
          </w:p>
          <w:p w14:paraId="1951824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cs="宋体"/>
                <w:color w:val="auto"/>
                <w:kern w:val="0"/>
                <w:sz w:val="24"/>
                <w:highlight w:val="none"/>
                <w:shd w:val="clear" w:color="auto" w:fill="auto"/>
                <w:lang w:bidi="ar"/>
              </w:rPr>
            </w:pPr>
            <w:r>
              <w:rPr>
                <w:rFonts w:hint="eastAsia"/>
                <w:b/>
                <w:bCs/>
                <w:color w:val="auto"/>
                <w:kern w:val="0"/>
                <w:sz w:val="24"/>
                <w:szCs w:val="24"/>
                <w:highlight w:val="none"/>
                <w:shd w:val="clear" w:color="auto" w:fill="auto"/>
              </w:rPr>
              <w:t>符合性分析：</w:t>
            </w:r>
            <w:r>
              <w:rPr>
                <w:rFonts w:hint="eastAsia" w:ascii="宋体" w:hAnsi="宋体" w:eastAsia="宋体" w:cs="宋体"/>
                <w:color w:val="auto"/>
                <w:kern w:val="0"/>
                <w:sz w:val="24"/>
                <w:szCs w:val="24"/>
                <w:highlight w:val="none"/>
                <w:shd w:val="clear" w:color="auto" w:fill="auto"/>
                <w:lang w:val="en-US" w:eastAsia="zh-CN" w:bidi="ar"/>
              </w:rPr>
              <w:t>项目为光伏电站建设，项目选址</w:t>
            </w:r>
            <w:r>
              <w:rPr>
                <w:rFonts w:hint="eastAsia"/>
                <w:color w:val="auto"/>
                <w:sz w:val="24"/>
              </w:rPr>
              <w:t>不涉及自然保护区、风景名胜区、森林公园、世界自然遗产地等环境敏感区，不占用生态保护红线、</w:t>
            </w:r>
            <w:r>
              <w:rPr>
                <w:rFonts w:hint="eastAsia"/>
                <w:color w:val="auto"/>
                <w:sz w:val="24"/>
                <w:lang w:val="en-US" w:eastAsia="zh-CN"/>
              </w:rPr>
              <w:t>国家</w:t>
            </w:r>
            <w:r>
              <w:rPr>
                <w:rFonts w:hint="eastAsia"/>
                <w:color w:val="auto"/>
                <w:sz w:val="24"/>
              </w:rPr>
              <w:t>公益林、基本农田、耕地</w:t>
            </w:r>
            <w:r>
              <w:rPr>
                <w:rFonts w:hint="eastAsia"/>
                <w:color w:val="auto"/>
                <w:sz w:val="24"/>
                <w:lang w:eastAsia="zh-CN"/>
              </w:rPr>
              <w:t>，</w:t>
            </w:r>
            <w:r>
              <w:rPr>
                <w:rFonts w:hint="eastAsia"/>
                <w:color w:val="auto"/>
                <w:sz w:val="24"/>
              </w:rPr>
              <w:t>现有植被覆盖率差，工程</w:t>
            </w:r>
            <w:r>
              <w:rPr>
                <w:rFonts w:hint="eastAsia" w:ascii="宋体" w:hAnsi="宋体" w:eastAsia="宋体" w:cs="宋体"/>
                <w:color w:val="auto"/>
                <w:kern w:val="0"/>
                <w:sz w:val="24"/>
                <w:szCs w:val="24"/>
                <w:highlight w:val="none"/>
                <w:shd w:val="clear" w:color="auto" w:fill="auto"/>
                <w:lang w:val="en-US" w:eastAsia="zh-CN" w:bidi="ar"/>
              </w:rPr>
              <w:t>通过实施水土保持措施、植被恢复措施以及本环评所提出的相关生态保护措施，</w:t>
            </w:r>
            <w:r>
              <w:rPr>
                <w:rFonts w:hint="eastAsia"/>
                <w:color w:val="auto"/>
                <w:sz w:val="24"/>
              </w:rPr>
              <w:t>在光伏板下方进行植被恢复，有益于改善水土流失现象，对主要生态系统服务功能基本无影响</w:t>
            </w:r>
            <w:r>
              <w:rPr>
                <w:rFonts w:hint="eastAsia"/>
                <w:color w:val="auto"/>
                <w:sz w:val="24"/>
                <w:lang w:eastAsia="zh-CN"/>
              </w:rPr>
              <w:t>，</w:t>
            </w:r>
            <w:r>
              <w:rPr>
                <w:rFonts w:hint="eastAsia" w:ascii="宋体" w:hAnsi="宋体" w:eastAsia="宋体" w:cs="宋体"/>
                <w:color w:val="auto"/>
                <w:kern w:val="0"/>
                <w:sz w:val="24"/>
                <w:szCs w:val="24"/>
                <w:highlight w:val="none"/>
                <w:shd w:val="clear" w:color="auto" w:fill="auto"/>
                <w:lang w:val="en-US" w:eastAsia="zh-CN" w:bidi="ar"/>
              </w:rPr>
              <w:t>项目建设及</w:t>
            </w:r>
            <w:r>
              <w:rPr>
                <w:rFonts w:hint="eastAsia" w:ascii="宋体" w:hAnsi="宋体" w:cs="宋体"/>
                <w:color w:val="auto"/>
                <w:kern w:val="0"/>
                <w:sz w:val="24"/>
                <w:szCs w:val="24"/>
                <w:highlight w:val="none"/>
                <w:shd w:val="clear" w:color="auto" w:fill="auto"/>
                <w:lang w:val="en-US" w:eastAsia="zh-CN" w:bidi="ar"/>
              </w:rPr>
              <w:t>运营</w:t>
            </w:r>
            <w:r>
              <w:rPr>
                <w:rFonts w:hint="eastAsia" w:ascii="宋体" w:hAnsi="宋体" w:eastAsia="宋体" w:cs="宋体"/>
                <w:color w:val="auto"/>
                <w:kern w:val="0"/>
                <w:sz w:val="24"/>
                <w:szCs w:val="24"/>
                <w:highlight w:val="none"/>
                <w:shd w:val="clear" w:color="auto" w:fill="auto"/>
                <w:lang w:val="en-US" w:eastAsia="zh-CN" w:bidi="ar"/>
              </w:rPr>
              <w:t>期前后生态环境能够保持稳定。因此项目建设符合《云南省生态功能区划》要求。</w:t>
            </w:r>
          </w:p>
          <w:p w14:paraId="5ABC4CFB">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color w:val="auto"/>
                <w:kern w:val="0"/>
                <w:sz w:val="24"/>
              </w:rPr>
            </w:pPr>
            <w:r>
              <w:rPr>
                <w:rFonts w:hint="eastAsia"/>
                <w:b/>
                <w:bCs/>
                <w:color w:val="auto"/>
                <w:kern w:val="0"/>
                <w:sz w:val="24"/>
                <w:highlight w:val="none"/>
                <w:lang w:val="en-US" w:eastAsia="zh-CN"/>
              </w:rPr>
              <w:t>5、</w:t>
            </w:r>
            <w:r>
              <w:rPr>
                <w:rFonts w:hint="eastAsia"/>
                <w:b/>
                <w:bCs/>
                <w:color w:val="auto"/>
                <w:kern w:val="0"/>
                <w:sz w:val="24"/>
                <w:highlight w:val="none"/>
              </w:rPr>
              <w:t>与《云南省生物多样性保护战略与行动计划（</w:t>
            </w:r>
            <w:r>
              <w:rPr>
                <w:rFonts w:hint="eastAsia"/>
                <w:b/>
                <w:bCs/>
                <w:color w:val="auto"/>
                <w:kern w:val="0"/>
                <w:sz w:val="24"/>
                <w:highlight w:val="none"/>
                <w:lang w:val="en-US" w:eastAsia="zh-CN"/>
              </w:rPr>
              <w:t>2024</w:t>
            </w:r>
            <w:r>
              <w:rPr>
                <w:rFonts w:hint="eastAsia"/>
                <w:b/>
                <w:bCs/>
                <w:color w:val="auto"/>
                <w:kern w:val="0"/>
                <w:sz w:val="24"/>
                <w:highlight w:val="none"/>
              </w:rPr>
              <w:t>-2030）》符合性</w:t>
            </w:r>
          </w:p>
          <w:p w14:paraId="253F9B2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sz w:val="24"/>
                <w:szCs w:val="24"/>
                <w:highlight w:val="none"/>
                <w:lang w:val="en-US" w:eastAsia="zh-CN"/>
              </w:rPr>
              <w:t>为进一步加强云南生物多样性保护工作，积极推进生态文明建设，云南省生物多样性保护联席会议组织编制了《云南省生物多样性保护战略与行动计划（2024－2030年）》，划定了生物多样性保护的6个优先区域，提出了5大保护优先领域和30项行动。2024年1月18日，经国务院批准，生态环境部发布《云南省生物多样性保护战略与行动计划（2024－2030年）》，为各地区推进生物多样性保护提供了指引，因《云南省生物多样性保护战略与行动计划（2024－2030年）》无相应区划及附图，本次沿用《云南省生物多样性保护战略与行动计划（2012－2030年）》区划进行分析。</w:t>
            </w:r>
          </w:p>
          <w:p w14:paraId="752C2D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
                <w:bCs/>
                <w:color w:val="auto"/>
                <w:sz w:val="21"/>
                <w:szCs w:val="21"/>
                <w:lang w:val="en-US" w:eastAsia="zh-CN"/>
              </w:rPr>
            </w:pPr>
            <w:r>
              <w:rPr>
                <w:rFonts w:hint="eastAsia"/>
                <w:b/>
                <w:bCs/>
                <w:color w:val="auto"/>
                <w:sz w:val="21"/>
                <w:szCs w:val="21"/>
                <w:highlight w:val="none"/>
                <w:lang w:val="en-US" w:eastAsia="zh-CN"/>
              </w:rPr>
              <w:t xml:space="preserve">表1-6  </w:t>
            </w:r>
            <w:r>
              <w:rPr>
                <w:rFonts w:hint="eastAsia"/>
                <w:b/>
                <w:bCs/>
                <w:color w:val="auto"/>
                <w:sz w:val="21"/>
                <w:szCs w:val="21"/>
                <w:lang w:val="en-US" w:eastAsia="zh-CN"/>
              </w:rPr>
              <w:t>生物多样性保护优先区域划分</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7"/>
              <w:gridCol w:w="4119"/>
            </w:tblGrid>
            <w:tr w14:paraId="07BE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noWrap w:val="0"/>
                  <w:vAlign w:val="center"/>
                </w:tcPr>
                <w:p w14:paraId="69EBB4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生物多样性保护一级优先区域</w:t>
                  </w:r>
                </w:p>
              </w:tc>
              <w:tc>
                <w:tcPr>
                  <w:tcW w:w="2818" w:type="pct"/>
                  <w:noWrap w:val="0"/>
                  <w:vAlign w:val="center"/>
                </w:tcPr>
                <w:p w14:paraId="6D926E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生物多样性保护二级优先区域</w:t>
                  </w:r>
                </w:p>
              </w:tc>
            </w:tr>
            <w:tr w14:paraId="33B7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restart"/>
                  <w:noWrap w:val="0"/>
                  <w:vAlign w:val="center"/>
                </w:tcPr>
                <w:p w14:paraId="300A973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滇西北高山峡谷针叶林区域</w:t>
                  </w:r>
                </w:p>
              </w:tc>
              <w:tc>
                <w:tcPr>
                  <w:tcW w:w="2818" w:type="pct"/>
                  <w:noWrap w:val="0"/>
                  <w:vAlign w:val="center"/>
                </w:tcPr>
                <w:p w14:paraId="31F5A5C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高黎贡山北段温凉性针叶林区</w:t>
                  </w:r>
                </w:p>
              </w:tc>
            </w:tr>
            <w:tr w14:paraId="23F7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0541B7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688C430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梅里雪山</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碧罗雪山寒温性针叶林区</w:t>
                  </w:r>
                </w:p>
              </w:tc>
            </w:tr>
            <w:tr w14:paraId="1FFB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5E95E6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5367412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云岭山脉寒温性</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暖温性针叶林区</w:t>
                  </w:r>
                </w:p>
              </w:tc>
            </w:tr>
            <w:tr w14:paraId="03C7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2FC0AD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63E2196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香格里拉山原寒温性针叶林区</w:t>
                  </w:r>
                </w:p>
              </w:tc>
            </w:tr>
            <w:tr w14:paraId="46C4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restart"/>
                  <w:noWrap w:val="0"/>
                  <w:vAlign w:val="center"/>
                </w:tcPr>
                <w:p w14:paraId="452140F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云南南部边缘热带雨林区域</w:t>
                  </w:r>
                </w:p>
              </w:tc>
              <w:tc>
                <w:tcPr>
                  <w:tcW w:w="2818" w:type="pct"/>
                  <w:noWrap w:val="0"/>
                  <w:vAlign w:val="center"/>
                </w:tcPr>
                <w:p w14:paraId="346A094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高黎贡山南段中山湿性常绿阔叶林区</w:t>
                  </w:r>
                </w:p>
              </w:tc>
            </w:tr>
            <w:tr w14:paraId="02C2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486AD3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76B783E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铜壁关热带雨林区</w:t>
                  </w:r>
                </w:p>
              </w:tc>
            </w:tr>
            <w:tr w14:paraId="1519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73EEB6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27E6408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7.</w:t>
                  </w:r>
                  <w:r>
                    <w:rPr>
                      <w:rFonts w:hint="eastAsia" w:ascii="宋体" w:hAnsi="宋体" w:eastAsia="宋体" w:cs="宋体"/>
                      <w:color w:val="auto"/>
                      <w:kern w:val="0"/>
                      <w:sz w:val="21"/>
                      <w:szCs w:val="21"/>
                      <w:lang w:val="en-US" w:eastAsia="zh-CN" w:bidi="ar"/>
                    </w:rPr>
                    <w:t>南汀河热带雨林区</w:t>
                  </w:r>
                </w:p>
              </w:tc>
            </w:tr>
            <w:tr w14:paraId="07B7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441D96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46E8BAD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8.</w:t>
                  </w:r>
                  <w:r>
                    <w:rPr>
                      <w:rFonts w:hint="eastAsia" w:ascii="宋体" w:hAnsi="宋体" w:eastAsia="宋体" w:cs="宋体"/>
                      <w:color w:val="auto"/>
                      <w:kern w:val="0"/>
                      <w:sz w:val="21"/>
                      <w:szCs w:val="21"/>
                      <w:lang w:val="en-US" w:eastAsia="zh-CN" w:bidi="ar"/>
                    </w:rPr>
                    <w:t>西双版纳热带雨林区</w:t>
                  </w:r>
                </w:p>
              </w:tc>
            </w:tr>
            <w:tr w14:paraId="7C9C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3FB4E3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51362619">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9.</w:t>
                  </w:r>
                  <w:r>
                    <w:rPr>
                      <w:rFonts w:hint="eastAsia" w:ascii="宋体" w:hAnsi="宋体" w:eastAsia="宋体" w:cs="宋体"/>
                      <w:color w:val="auto"/>
                      <w:kern w:val="0"/>
                      <w:sz w:val="21"/>
                      <w:szCs w:val="21"/>
                      <w:lang w:val="en-US" w:eastAsia="zh-CN" w:bidi="ar"/>
                    </w:rPr>
                    <w:t>红河湿润雨林区</w:t>
                  </w:r>
                </w:p>
              </w:tc>
            </w:tr>
            <w:tr w14:paraId="3EAC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noWrap w:val="0"/>
                  <w:vAlign w:val="center"/>
                </w:tcPr>
                <w:p w14:paraId="6D030AE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滇东南喀斯特东南季风阔叶林区域</w:t>
                  </w:r>
                </w:p>
              </w:tc>
              <w:tc>
                <w:tcPr>
                  <w:tcW w:w="2818" w:type="pct"/>
                  <w:noWrap w:val="0"/>
                  <w:vAlign w:val="center"/>
                </w:tcPr>
                <w:p w14:paraId="69C918F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0.</w:t>
                  </w:r>
                  <w:r>
                    <w:rPr>
                      <w:rFonts w:hint="eastAsia" w:ascii="宋体" w:hAnsi="宋体" w:eastAsia="宋体" w:cs="宋体"/>
                      <w:color w:val="auto"/>
                      <w:kern w:val="0"/>
                      <w:sz w:val="21"/>
                      <w:szCs w:val="21"/>
                      <w:lang w:val="en-US" w:eastAsia="zh-CN" w:bidi="ar"/>
                    </w:rPr>
                    <w:t>滇东南喀斯特东南季风阔叶林区域</w:t>
                  </w:r>
                </w:p>
              </w:tc>
            </w:tr>
            <w:tr w14:paraId="0B41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restart"/>
                  <w:noWrap w:val="0"/>
                  <w:vAlign w:val="center"/>
                </w:tcPr>
                <w:p w14:paraId="68EBCFAF">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滇东北乌蒙山湿润常绿阔叶林区域</w:t>
                  </w:r>
                </w:p>
              </w:tc>
              <w:tc>
                <w:tcPr>
                  <w:tcW w:w="2818" w:type="pct"/>
                  <w:noWrap w:val="0"/>
                  <w:vAlign w:val="center"/>
                </w:tcPr>
                <w:p w14:paraId="4EB7B9C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乌蒙山湿润常绿阔叶林区</w:t>
                  </w:r>
                </w:p>
              </w:tc>
            </w:tr>
            <w:tr w14:paraId="0D2D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08F841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6619BB3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12.</w:t>
                  </w:r>
                  <w:r>
                    <w:rPr>
                      <w:rFonts w:hint="eastAsia" w:ascii="宋体" w:hAnsi="宋体" w:eastAsia="宋体" w:cs="宋体"/>
                      <w:color w:val="auto"/>
                      <w:kern w:val="0"/>
                      <w:sz w:val="21"/>
                      <w:szCs w:val="21"/>
                      <w:lang w:val="en-US" w:eastAsia="zh-CN" w:bidi="ar"/>
                    </w:rPr>
                    <w:t>金沙江下游干热河谷区</w:t>
                  </w:r>
                </w:p>
              </w:tc>
            </w:tr>
            <w:tr w14:paraId="6791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restart"/>
                  <w:noWrap w:val="0"/>
                  <w:vAlign w:val="center"/>
                </w:tcPr>
                <w:p w14:paraId="4E96F8E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澜沧江中游</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哀牢山中山湿性常绿阔叶林区域</w:t>
                  </w:r>
                </w:p>
              </w:tc>
              <w:tc>
                <w:tcPr>
                  <w:tcW w:w="2818" w:type="pct"/>
                  <w:noWrap w:val="0"/>
                  <w:vAlign w:val="center"/>
                </w:tcPr>
                <w:p w14:paraId="7E5B486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13.</w:t>
                  </w:r>
                  <w:r>
                    <w:rPr>
                      <w:rFonts w:hint="eastAsia" w:ascii="宋体" w:hAnsi="宋体" w:eastAsia="宋体" w:cs="宋体"/>
                      <w:color w:val="auto"/>
                      <w:kern w:val="0"/>
                      <w:sz w:val="21"/>
                      <w:szCs w:val="21"/>
                      <w:lang w:val="en-US" w:eastAsia="zh-CN" w:bidi="ar"/>
                    </w:rPr>
                    <w:t>澜沧江中山宽谷常绿阔叶林区</w:t>
                  </w:r>
                </w:p>
              </w:tc>
            </w:tr>
            <w:tr w14:paraId="3696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289478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67069A72">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无量山中山湿性常绿阔叶林区</w:t>
                  </w:r>
                </w:p>
              </w:tc>
            </w:tr>
            <w:tr w14:paraId="4DEC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5AEE5D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1A3D124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哀牢山中山湿性常绿阔叶林区</w:t>
                  </w:r>
                </w:p>
              </w:tc>
            </w:tr>
            <w:tr w14:paraId="5D3C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restart"/>
                  <w:noWrap w:val="0"/>
                  <w:vAlign w:val="center"/>
                </w:tcPr>
                <w:p w14:paraId="0DA94BA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 w:val="0"/>
                      <w:bCs w:val="0"/>
                      <w:color w:val="auto"/>
                      <w:sz w:val="21"/>
                      <w:szCs w:val="21"/>
                      <w:vertAlign w:val="baseline"/>
                    </w:rPr>
                  </w:pPr>
                  <w:r>
                    <w:rPr>
                      <w:rFonts w:hint="default" w:ascii="Times New Roman" w:hAnsi="Times New Roman" w:eastAsia="宋体" w:cs="Times New Roman"/>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云南高原湿地区域</w:t>
                  </w:r>
                </w:p>
              </w:tc>
              <w:tc>
                <w:tcPr>
                  <w:tcW w:w="2818" w:type="pct"/>
                  <w:noWrap w:val="0"/>
                  <w:vAlign w:val="center"/>
                </w:tcPr>
                <w:p w14:paraId="0CDAC54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w:t>
                  </w:r>
                  <w:r>
                    <w:rPr>
                      <w:rFonts w:hint="eastAsia" w:ascii="宋体" w:hAnsi="宋体" w:eastAsia="宋体" w:cs="宋体"/>
                      <w:color w:val="auto"/>
                      <w:kern w:val="0"/>
                      <w:sz w:val="21"/>
                      <w:szCs w:val="21"/>
                      <w:lang w:val="en-US" w:eastAsia="zh-CN" w:bidi="ar"/>
                    </w:rPr>
                    <w:t>滇中高原湖泊区</w:t>
                  </w:r>
                </w:p>
              </w:tc>
            </w:tr>
            <w:tr w14:paraId="7E29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6F8382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395637B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17.</w:t>
                  </w:r>
                  <w:r>
                    <w:rPr>
                      <w:rFonts w:hint="eastAsia" w:ascii="宋体" w:hAnsi="宋体" w:eastAsia="宋体" w:cs="宋体"/>
                      <w:color w:val="auto"/>
                      <w:kern w:val="0"/>
                      <w:sz w:val="21"/>
                      <w:szCs w:val="21"/>
                      <w:lang w:val="en-US" w:eastAsia="zh-CN" w:bidi="ar"/>
                    </w:rPr>
                    <w:t>滇西北高原湖泊区</w:t>
                  </w:r>
                </w:p>
              </w:tc>
            </w:tr>
            <w:tr w14:paraId="2640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pct"/>
                  <w:vMerge w:val="continue"/>
                  <w:noWrap w:val="0"/>
                  <w:vAlign w:val="center"/>
                </w:tcPr>
                <w:p w14:paraId="6509B1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 w:val="0"/>
                      <w:bCs w:val="0"/>
                      <w:color w:val="auto"/>
                      <w:sz w:val="21"/>
                      <w:szCs w:val="21"/>
                      <w:vertAlign w:val="baseline"/>
                    </w:rPr>
                  </w:pPr>
                </w:p>
              </w:tc>
              <w:tc>
                <w:tcPr>
                  <w:tcW w:w="2818" w:type="pct"/>
                  <w:noWrap w:val="0"/>
                  <w:vAlign w:val="center"/>
                </w:tcPr>
                <w:p w14:paraId="1728CFF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18.</w:t>
                  </w:r>
                  <w:r>
                    <w:rPr>
                      <w:rFonts w:hint="eastAsia" w:ascii="宋体" w:hAnsi="宋体" w:eastAsia="宋体" w:cs="宋体"/>
                      <w:color w:val="auto"/>
                      <w:kern w:val="0"/>
                      <w:sz w:val="21"/>
                      <w:szCs w:val="21"/>
                      <w:lang w:val="en-US" w:eastAsia="zh-CN" w:bidi="ar"/>
                    </w:rPr>
                    <w:t>滇东北高山沼泽化草甸区</w:t>
                  </w:r>
                </w:p>
              </w:tc>
            </w:tr>
          </w:tbl>
          <w:p w14:paraId="706058B2">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color w:val="auto"/>
                <w:kern w:val="0"/>
                <w:sz w:val="24"/>
              </w:rPr>
            </w:pPr>
            <w:r>
              <w:rPr>
                <w:rFonts w:hint="eastAsia" w:ascii="Times New Roman" w:hAnsi="Times New Roman" w:eastAsia="宋体" w:cs="Times New Roman"/>
                <w:b/>
                <w:bCs/>
                <w:color w:val="auto"/>
                <w:kern w:val="0"/>
                <w:sz w:val="24"/>
              </w:rPr>
              <w:t>符合性分析：</w:t>
            </w:r>
            <w:r>
              <w:rPr>
                <w:rFonts w:hint="eastAsia" w:ascii="Times New Roman" w:hAnsi="Times New Roman" w:eastAsia="宋体" w:cs="Times New Roman"/>
                <w:color w:val="auto"/>
                <w:kern w:val="0"/>
                <w:sz w:val="24"/>
              </w:rPr>
              <w:t>根</w:t>
            </w:r>
            <w:r>
              <w:rPr>
                <w:rFonts w:hint="eastAsia"/>
                <w:color w:val="auto"/>
                <w:kern w:val="0"/>
                <w:sz w:val="24"/>
              </w:rPr>
              <w:t>据与云南省生物多样性保护优先区域图叠图可知，本项目位于上述优先保护区域外，</w:t>
            </w:r>
            <w:r>
              <w:rPr>
                <w:rFonts w:hint="eastAsia"/>
                <w:color w:val="auto"/>
                <w:kern w:val="0"/>
                <w:sz w:val="24"/>
                <w:lang w:val="en-US" w:eastAsia="zh-CN"/>
              </w:rPr>
              <w:t>也不</w:t>
            </w:r>
            <w:r>
              <w:rPr>
                <w:rFonts w:hint="default" w:ascii="Times New Roman" w:hAnsi="Times New Roman" w:cs="Times New Roman"/>
                <w:color w:val="auto"/>
                <w:kern w:val="0"/>
                <w:sz w:val="24"/>
                <w:highlight w:val="none"/>
                <w:lang w:val="en-US" w:eastAsia="zh-CN"/>
              </w:rPr>
              <w:t>存在极小种群、重点保护野生植物以及特殊（珍稀）植物群落等</w:t>
            </w:r>
            <w:r>
              <w:rPr>
                <w:rFonts w:hint="eastAsia" w:ascii="Times New Roman" w:hAnsi="Times New Roman" w:cs="Times New Roman"/>
                <w:color w:val="auto"/>
                <w:kern w:val="0"/>
                <w:sz w:val="24"/>
                <w:highlight w:val="none"/>
                <w:lang w:val="en-US" w:eastAsia="zh-CN"/>
              </w:rPr>
              <w:t>，</w:t>
            </w:r>
            <w:r>
              <w:rPr>
                <w:rFonts w:hint="eastAsia"/>
                <w:color w:val="auto"/>
                <w:kern w:val="0"/>
                <w:sz w:val="24"/>
              </w:rPr>
              <w:t>与《云南省生物多样性保护战略与行动计划</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202</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-2030年）</w:t>
            </w:r>
            <w:r>
              <w:rPr>
                <w:rFonts w:hint="eastAsia"/>
                <w:color w:val="auto"/>
                <w:kern w:val="0"/>
                <w:sz w:val="24"/>
              </w:rPr>
              <w:t>》不冲突。项目生态</w:t>
            </w:r>
            <w:r>
              <w:rPr>
                <w:rFonts w:hint="eastAsia"/>
                <w:color w:val="auto"/>
                <w:kern w:val="0"/>
                <w:sz w:val="24"/>
                <w:lang w:val="en-US" w:eastAsia="zh-CN"/>
              </w:rPr>
              <w:t>分析</w:t>
            </w:r>
            <w:r>
              <w:rPr>
                <w:rFonts w:hint="eastAsia"/>
                <w:color w:val="auto"/>
                <w:kern w:val="0"/>
                <w:sz w:val="24"/>
              </w:rPr>
              <w:t>结果表明</w:t>
            </w:r>
            <w:r>
              <w:rPr>
                <w:rFonts w:hint="default"/>
                <w:color w:val="auto"/>
                <w:kern w:val="0"/>
                <w:sz w:val="24"/>
              </w:rPr>
              <w:t>项目</w:t>
            </w:r>
            <w:r>
              <w:rPr>
                <w:rFonts w:hint="eastAsia"/>
                <w:color w:val="auto"/>
                <w:kern w:val="0"/>
                <w:sz w:val="24"/>
              </w:rPr>
              <w:t>的</w:t>
            </w:r>
            <w:r>
              <w:rPr>
                <w:rFonts w:hint="default"/>
                <w:color w:val="auto"/>
                <w:kern w:val="0"/>
                <w:sz w:val="24"/>
              </w:rPr>
              <w:t>实施对云南省生物多样性保护优先区域的影响</w:t>
            </w:r>
            <w:r>
              <w:rPr>
                <w:rFonts w:hint="eastAsia"/>
                <w:color w:val="auto"/>
                <w:kern w:val="0"/>
                <w:sz w:val="24"/>
                <w:lang w:val="en-US" w:eastAsia="zh-CN"/>
              </w:rPr>
              <w:t>小</w:t>
            </w:r>
            <w:r>
              <w:rPr>
                <w:rFonts w:hint="default"/>
                <w:color w:val="auto"/>
                <w:kern w:val="0"/>
                <w:sz w:val="24"/>
              </w:rPr>
              <w:t>，与《云南省生物多样性保护战略与行动计划</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202</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-2030年）</w:t>
            </w:r>
            <w:r>
              <w:rPr>
                <w:rFonts w:hint="default"/>
                <w:color w:val="auto"/>
                <w:kern w:val="0"/>
                <w:sz w:val="24"/>
              </w:rPr>
              <w:t>》统筹生物多样性保护与经济社会发展，保护优先、科学利用的指导思想和基本原则一致。项目</w:t>
            </w:r>
            <w:r>
              <w:rPr>
                <w:rFonts w:hint="eastAsia"/>
                <w:color w:val="auto"/>
                <w:kern w:val="0"/>
                <w:sz w:val="24"/>
              </w:rPr>
              <w:t>建设</w:t>
            </w:r>
            <w:r>
              <w:rPr>
                <w:rFonts w:hint="default"/>
                <w:color w:val="auto"/>
                <w:kern w:val="0"/>
                <w:sz w:val="24"/>
              </w:rPr>
              <w:t>与《云南省生物多样性保护战略与行动计划</w:t>
            </w:r>
            <w:r>
              <w:rPr>
                <w:rFonts w:hint="eastAsia" w:ascii="Times New Roman" w:hAnsi="Times New Roman" w:eastAsia="宋体" w:cs="Times New Roman"/>
                <w:color w:val="auto"/>
                <w:kern w:val="0"/>
                <w:sz w:val="24"/>
              </w:rPr>
              <w:t>（</w:t>
            </w:r>
            <w:r>
              <w:rPr>
                <w:rFonts w:hint="eastAsia" w:cs="Times New Roman"/>
                <w:color w:val="auto"/>
                <w:kern w:val="0"/>
                <w:sz w:val="24"/>
                <w:lang w:val="en-US" w:eastAsia="zh-CN"/>
              </w:rPr>
              <w:t>202</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-2030年）</w:t>
            </w:r>
            <w:r>
              <w:rPr>
                <w:rFonts w:hint="default"/>
                <w:color w:val="auto"/>
                <w:kern w:val="0"/>
                <w:sz w:val="24"/>
              </w:rPr>
              <w:t>》</w:t>
            </w:r>
            <w:r>
              <w:rPr>
                <w:rFonts w:hint="eastAsia"/>
                <w:color w:val="auto"/>
                <w:kern w:val="0"/>
                <w:sz w:val="24"/>
                <w:lang w:val="en-US" w:eastAsia="zh-CN"/>
              </w:rPr>
              <w:t>不冲突</w:t>
            </w:r>
            <w:r>
              <w:rPr>
                <w:rFonts w:hint="eastAsia"/>
                <w:color w:val="auto"/>
                <w:kern w:val="0"/>
                <w:sz w:val="24"/>
              </w:rPr>
              <w:t>。</w:t>
            </w:r>
          </w:p>
          <w:p w14:paraId="62062D2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b/>
                <w:bCs/>
                <w:color w:val="auto"/>
                <w:kern w:val="0"/>
                <w:sz w:val="24"/>
              </w:rPr>
            </w:pPr>
            <w:r>
              <w:rPr>
                <w:rFonts w:hint="eastAsia"/>
                <w:b/>
                <w:bCs/>
                <w:color w:val="auto"/>
                <w:kern w:val="0"/>
                <w:sz w:val="24"/>
                <w:lang w:val="en-US" w:eastAsia="zh-CN"/>
              </w:rPr>
              <w:t>6</w:t>
            </w:r>
            <w:r>
              <w:rPr>
                <w:rFonts w:hint="eastAsia"/>
                <w:b/>
                <w:bCs/>
                <w:color w:val="auto"/>
                <w:kern w:val="0"/>
                <w:sz w:val="24"/>
              </w:rPr>
              <w:t>、与</w:t>
            </w:r>
            <w:r>
              <w:rPr>
                <w:rFonts w:hint="default"/>
                <w:b/>
                <w:bCs/>
                <w:color w:val="auto"/>
                <w:kern w:val="0"/>
                <w:sz w:val="24"/>
              </w:rPr>
              <w:t>《云南省生物多样性保护条例》符合性分析</w:t>
            </w:r>
          </w:p>
          <w:p w14:paraId="50F23DA7">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（1）基本情况</w:t>
            </w:r>
          </w:p>
          <w:p w14:paraId="13900BCD">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《云南省生物多样性保护条例》旨在保护生物多样性，保障生态安全，由云南省第十三届人大常务委员会第五次会议于2018年9月21日审议通过并公布，共七章四十条，自2019年1月1日起施行。</w:t>
            </w:r>
          </w:p>
          <w:p w14:paraId="565A4515">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其中，《云南省生物多样性保护条例》第二十九条规定：</w:t>
            </w:r>
            <w:r>
              <w:rPr>
                <w:rFonts w:hint="default" w:ascii="宋体" w:hAnsi="宋体"/>
                <w:color w:val="auto"/>
                <w:sz w:val="24"/>
              </w:rPr>
              <w:t>“</w:t>
            </w:r>
            <w:r>
              <w:rPr>
                <w:rFonts w:hint="default"/>
                <w:color w:val="auto"/>
                <w:sz w:val="24"/>
              </w:rPr>
              <w:t>新建、改建、扩建建设项目以及开发自然资源，应当依法开展环境影响评价。对可能造成重要生态系统破坏、损害重要物种及其栖息地和生境的，应当制定专项保护、恢复和补偿方案，纳入环境影响评价。</w:t>
            </w:r>
          </w:p>
          <w:p w14:paraId="6E75F24A">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在生物多样性保护优先区域的建设项目以及自然资源开发，应当评价对生物多样性的影响，并作为环境影响评价的重要组成部分</w:t>
            </w:r>
            <w:r>
              <w:rPr>
                <w:rFonts w:hint="eastAsia"/>
                <w:color w:val="auto"/>
                <w:sz w:val="24"/>
              </w:rPr>
              <w:t>”</w:t>
            </w:r>
            <w:r>
              <w:rPr>
                <w:rFonts w:hint="default"/>
                <w:color w:val="auto"/>
                <w:sz w:val="24"/>
              </w:rPr>
              <w:t>。</w:t>
            </w:r>
          </w:p>
          <w:p w14:paraId="49305904">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（2）符合性分析</w:t>
            </w:r>
          </w:p>
          <w:p w14:paraId="6E4AA5C8">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根据生态调查，</w:t>
            </w:r>
            <w:r>
              <w:rPr>
                <w:rFonts w:hint="eastAsia"/>
                <w:color w:val="auto"/>
                <w:sz w:val="24"/>
                <w:highlight w:val="none"/>
              </w:rPr>
              <w:t>本</w:t>
            </w:r>
            <w:r>
              <w:rPr>
                <w:rFonts w:hint="eastAsia"/>
                <w:color w:val="auto"/>
                <w:sz w:val="24"/>
                <w:highlight w:val="none"/>
                <w:lang w:val="en-US" w:eastAsia="zh-CN"/>
              </w:rPr>
              <w:t>项目</w:t>
            </w:r>
            <w:r>
              <w:rPr>
                <w:rFonts w:hint="eastAsia"/>
                <w:color w:val="auto"/>
                <w:sz w:val="24"/>
                <w:highlight w:val="none"/>
              </w:rPr>
              <w:t>评价范围内</w:t>
            </w:r>
            <w:r>
              <w:rPr>
                <w:rFonts w:hint="default"/>
                <w:color w:val="auto"/>
                <w:sz w:val="24"/>
                <w:highlight w:val="none"/>
              </w:rPr>
              <w:t>植被包括</w:t>
            </w:r>
            <w:r>
              <w:rPr>
                <w:rFonts w:hint="eastAsia"/>
                <w:color w:val="auto"/>
                <w:sz w:val="24"/>
                <w:highlight w:val="none"/>
              </w:rPr>
              <w:t>针叶林、稀树灌木草丛等自然植被型</w:t>
            </w:r>
            <w:r>
              <w:rPr>
                <w:rFonts w:hint="default"/>
                <w:color w:val="auto"/>
                <w:sz w:val="24"/>
                <w:highlight w:val="none"/>
              </w:rPr>
              <w:t>。</w:t>
            </w:r>
            <w:r>
              <w:rPr>
                <w:rFonts w:hint="eastAsia"/>
                <w:color w:val="auto"/>
                <w:sz w:val="24"/>
                <w:highlight w:val="none"/>
              </w:rPr>
              <w:t>其中，工程影响植被所涉及的</w:t>
            </w:r>
            <w:r>
              <w:rPr>
                <w:rFonts w:hint="eastAsia"/>
                <w:color w:val="auto"/>
                <w:sz w:val="24"/>
                <w:highlight w:val="none"/>
                <w:lang w:val="en-US" w:eastAsia="zh-CN"/>
              </w:rPr>
              <w:t>云南松、</w:t>
            </w:r>
            <w:r>
              <w:rPr>
                <w:rFonts w:hint="default"/>
                <w:color w:val="auto"/>
                <w:sz w:val="24"/>
                <w:highlight w:val="none"/>
                <w:lang w:val="pt-BR"/>
              </w:rPr>
              <w:t>火棘</w:t>
            </w:r>
            <w:r>
              <w:rPr>
                <w:rFonts w:hint="eastAsia"/>
                <w:color w:val="auto"/>
                <w:sz w:val="24"/>
                <w:highlight w:val="none"/>
                <w:lang w:val="pt-BR"/>
              </w:rPr>
              <w:t>、毛蕨、</w:t>
            </w:r>
            <w:r>
              <w:rPr>
                <w:rFonts w:hint="eastAsia"/>
                <w:color w:val="auto"/>
                <w:sz w:val="24"/>
                <w:highlight w:val="none"/>
              </w:rPr>
              <w:t>旱茅</w:t>
            </w:r>
            <w:r>
              <w:rPr>
                <w:rFonts w:hint="eastAsia"/>
                <w:color w:val="auto"/>
                <w:sz w:val="24"/>
                <w:highlight w:val="none"/>
                <w:lang w:val="en-US" w:eastAsia="zh-CN"/>
              </w:rPr>
              <w:t>等</w:t>
            </w:r>
            <w:r>
              <w:rPr>
                <w:rFonts w:hint="eastAsia"/>
                <w:color w:val="auto"/>
                <w:sz w:val="24"/>
                <w:highlight w:val="none"/>
              </w:rPr>
              <w:t>物种，</w:t>
            </w:r>
            <w:r>
              <w:rPr>
                <w:rFonts w:hint="eastAsia"/>
                <w:color w:val="auto"/>
                <w:sz w:val="24"/>
              </w:rPr>
              <w:t>为该区域各植被类型的优势物种。</w:t>
            </w:r>
            <w:r>
              <w:rPr>
                <w:rFonts w:hint="default"/>
                <w:color w:val="auto"/>
                <w:sz w:val="24"/>
              </w:rPr>
              <w:t>工程占地范围内无重要生态系统、重要物种及其栖息地和生境</w:t>
            </w:r>
            <w:r>
              <w:rPr>
                <w:rFonts w:hint="eastAsia"/>
                <w:color w:val="auto"/>
                <w:sz w:val="24"/>
              </w:rPr>
              <w:t>，项目建设不会造成重要生态系统破坏，不会损害重要物种及其栖息地和生境。</w:t>
            </w:r>
            <w:r>
              <w:rPr>
                <w:rFonts w:hint="default"/>
                <w:color w:val="auto"/>
                <w:sz w:val="24"/>
              </w:rPr>
              <w:t>本</w:t>
            </w:r>
            <w:r>
              <w:rPr>
                <w:rFonts w:hint="eastAsia"/>
                <w:color w:val="auto"/>
                <w:sz w:val="24"/>
              </w:rPr>
              <w:t>项目</w:t>
            </w:r>
            <w:r>
              <w:rPr>
                <w:rFonts w:hint="default"/>
                <w:color w:val="auto"/>
                <w:sz w:val="24"/>
              </w:rPr>
              <w:t>的建设不违背《云南省生物多样性保护条例》的</w:t>
            </w:r>
            <w:r>
              <w:rPr>
                <w:rFonts w:hint="eastAsia"/>
                <w:color w:val="auto"/>
                <w:sz w:val="24"/>
              </w:rPr>
              <w:t>相关</w:t>
            </w:r>
            <w:r>
              <w:rPr>
                <w:rFonts w:hint="default"/>
                <w:color w:val="auto"/>
                <w:sz w:val="24"/>
              </w:rPr>
              <w:t>要求。</w:t>
            </w:r>
          </w:p>
          <w:p w14:paraId="36888AC3">
            <w:pPr>
              <w:keepNext w:val="0"/>
              <w:keepLines/>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b/>
                <w:bCs/>
                <w:color w:val="auto"/>
                <w:kern w:val="0"/>
                <w:sz w:val="24"/>
                <w:szCs w:val="24"/>
                <w:highlight w:val="none"/>
                <w:shd w:val="clear" w:color="auto" w:fill="auto"/>
                <w:lang w:val="en-US" w:eastAsia="zh-CN" w:bidi="ar-SA"/>
              </w:rPr>
            </w:pPr>
            <w:r>
              <w:rPr>
                <w:rFonts w:hint="eastAsia"/>
                <w:b/>
                <w:bCs/>
                <w:color w:val="auto"/>
                <w:sz w:val="24"/>
                <w:highlight w:val="none"/>
                <w:shd w:val="clear" w:color="auto" w:fill="auto"/>
                <w:lang w:val="en-US" w:eastAsia="zh-CN"/>
              </w:rPr>
              <w:t>7、</w:t>
            </w:r>
            <w:r>
              <w:rPr>
                <w:rFonts w:hint="eastAsia" w:ascii="Times New Roman" w:hAnsi="Times New Roman" w:eastAsia="宋体" w:cs="Times New Roman"/>
                <w:b/>
                <w:bCs/>
                <w:color w:val="auto"/>
                <w:kern w:val="0"/>
                <w:sz w:val="24"/>
                <w:szCs w:val="24"/>
                <w:highlight w:val="none"/>
                <w:shd w:val="clear" w:color="auto" w:fill="auto"/>
                <w:lang w:val="en-US" w:eastAsia="zh-CN" w:bidi="ar-SA"/>
              </w:rPr>
              <w:t>与《长江经济带发展负面清单指南（试行，</w:t>
            </w:r>
            <w:r>
              <w:rPr>
                <w:rFonts w:hint="default" w:ascii="Times New Roman" w:hAnsi="Times New Roman" w:eastAsia="宋体" w:cs="Times New Roman"/>
                <w:b/>
                <w:bCs/>
                <w:color w:val="auto"/>
                <w:kern w:val="0"/>
                <w:sz w:val="24"/>
                <w:szCs w:val="24"/>
                <w:highlight w:val="none"/>
                <w:shd w:val="clear" w:color="auto" w:fill="auto"/>
                <w:lang w:val="en-US" w:eastAsia="zh-CN" w:bidi="ar-SA"/>
              </w:rPr>
              <w:t>2022</w:t>
            </w:r>
            <w:r>
              <w:rPr>
                <w:rFonts w:hint="eastAsia" w:ascii="Times New Roman" w:hAnsi="Times New Roman" w:eastAsia="宋体" w:cs="Times New Roman"/>
                <w:b/>
                <w:bCs/>
                <w:color w:val="auto"/>
                <w:kern w:val="0"/>
                <w:sz w:val="24"/>
                <w:szCs w:val="24"/>
                <w:highlight w:val="none"/>
                <w:shd w:val="clear" w:color="auto" w:fill="auto"/>
                <w:lang w:val="en-US" w:eastAsia="zh-CN" w:bidi="ar-SA"/>
              </w:rPr>
              <w:t>年版）》的符合性</w:t>
            </w:r>
          </w:p>
          <w:p w14:paraId="6749C051">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lang w:val="en-US" w:eastAsia="zh-CN"/>
              </w:rPr>
            </w:pPr>
            <w:r>
              <w:rPr>
                <w:rFonts w:hint="eastAsia"/>
                <w:color w:val="auto"/>
                <w:kern w:val="0"/>
                <w:sz w:val="24"/>
                <w:highlight w:val="none"/>
                <w:shd w:val="clear" w:color="auto" w:fill="auto"/>
                <w:lang w:val="en-US" w:eastAsia="zh-CN"/>
              </w:rPr>
              <w:t>本项目与《长江经济带发展负面清单指南（试行，2022年版）》的符合性分析见表1-7。</w:t>
            </w:r>
          </w:p>
          <w:p w14:paraId="0C530078">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b/>
                <w:bCs/>
                <w:color w:val="auto"/>
                <w:kern w:val="0"/>
                <w:sz w:val="21"/>
                <w:szCs w:val="21"/>
                <w:highlight w:val="none"/>
                <w:shd w:val="clear" w:color="auto" w:fill="auto"/>
                <w:lang w:val="en-US" w:eastAsia="zh-CN"/>
              </w:rPr>
            </w:pPr>
            <w:r>
              <w:rPr>
                <w:rFonts w:hint="eastAsia"/>
                <w:b/>
                <w:bCs/>
                <w:color w:val="auto"/>
                <w:kern w:val="0"/>
                <w:sz w:val="21"/>
                <w:szCs w:val="21"/>
                <w:highlight w:val="none"/>
                <w:shd w:val="clear" w:color="auto" w:fill="auto"/>
                <w:lang w:val="en-US" w:eastAsia="zh-CN"/>
              </w:rPr>
              <w:t>表1-7  项目与长江经济带发展负面清单符合性</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4"/>
              <w:gridCol w:w="2376"/>
              <w:gridCol w:w="947"/>
            </w:tblGrid>
            <w:tr w14:paraId="21F3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6652012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具体要求</w:t>
                  </w:r>
                </w:p>
              </w:tc>
              <w:tc>
                <w:tcPr>
                  <w:tcW w:w="1625" w:type="pct"/>
                  <w:vAlign w:val="center"/>
                </w:tcPr>
                <w:p w14:paraId="71AA3FB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648" w:type="pct"/>
                  <w:vAlign w:val="center"/>
                </w:tcPr>
                <w:p w14:paraId="652AC09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07F8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7E0077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1.禁止建设不符合全国和省级港口布局规划以及港口总体规划的码头项目，禁止建设不符合《长江干线过江通道布局规划》的过长江通道项目。</w:t>
                  </w:r>
                </w:p>
              </w:tc>
              <w:tc>
                <w:tcPr>
                  <w:tcW w:w="1625" w:type="pct"/>
                  <w:vAlign w:val="center"/>
                </w:tcPr>
                <w:p w14:paraId="03016C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本项目不属于码头及过长江通道项目</w:t>
                  </w:r>
                </w:p>
              </w:tc>
              <w:tc>
                <w:tcPr>
                  <w:tcW w:w="648" w:type="pct"/>
                  <w:vAlign w:val="center"/>
                </w:tcPr>
                <w:p w14:paraId="29AA32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0B2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6FEC3E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2.禁止在自然保护区核心区、缓冲区的岸线和河段范围内投资建设旅游和生产经营项目。禁止在风景名胜区核心景区的岸线和河段范围内投资建设与风景名胜资源保护无关的项目。</w:t>
                  </w:r>
                </w:p>
              </w:tc>
              <w:tc>
                <w:tcPr>
                  <w:tcW w:w="1625" w:type="pct"/>
                  <w:vAlign w:val="center"/>
                </w:tcPr>
                <w:p w14:paraId="75B940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本项目不涉及自然保护区及风景名胜区</w:t>
                  </w:r>
                </w:p>
              </w:tc>
              <w:tc>
                <w:tcPr>
                  <w:tcW w:w="648" w:type="pct"/>
                  <w:vAlign w:val="center"/>
                </w:tcPr>
                <w:p w14:paraId="52454A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DDC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5F1E77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25" w:type="pct"/>
                  <w:vAlign w:val="center"/>
                </w:tcPr>
                <w:p w14:paraId="1CA99F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项目不涉及饮用水水源保护区</w:t>
                  </w:r>
                </w:p>
              </w:tc>
              <w:tc>
                <w:tcPr>
                  <w:tcW w:w="648" w:type="pct"/>
                  <w:vAlign w:val="center"/>
                </w:tcPr>
                <w:p w14:paraId="5EF042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591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4F7F56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25" w:type="pct"/>
                  <w:vAlign w:val="center"/>
                </w:tcPr>
                <w:p w14:paraId="1CB0F9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项目不涉及水产种质资源保护区及国家湿地公园</w:t>
                  </w:r>
                </w:p>
              </w:tc>
              <w:tc>
                <w:tcPr>
                  <w:tcW w:w="648" w:type="pct"/>
                  <w:vAlign w:val="center"/>
                </w:tcPr>
                <w:p w14:paraId="4FE415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1B5F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43890E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25" w:type="pct"/>
                  <w:vAlign w:val="center"/>
                </w:tcPr>
                <w:p w14:paraId="5BED7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项目不在《长江岸线保护和开发利用总体规划》划定的岸线保护区和保留区内，不在《全国重要江河湖泊水功能区划》划定的河段保护区、保留区内</w:t>
                  </w:r>
                </w:p>
              </w:tc>
              <w:tc>
                <w:tcPr>
                  <w:tcW w:w="648" w:type="pct"/>
                  <w:vAlign w:val="center"/>
                </w:tcPr>
                <w:p w14:paraId="0AE7F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2335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16FCCA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6.禁止未经许可在长江干支流及湖泊新设、改设或扩大排污口。</w:t>
                  </w:r>
                </w:p>
              </w:tc>
              <w:tc>
                <w:tcPr>
                  <w:tcW w:w="1625" w:type="pct"/>
                  <w:vAlign w:val="center"/>
                </w:tcPr>
                <w:p w14:paraId="544C4C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本项目所在区域不涉及长江干支流及湖泊新设、改设或扩大排污口</w:t>
                  </w:r>
                </w:p>
              </w:tc>
              <w:tc>
                <w:tcPr>
                  <w:tcW w:w="648" w:type="pct"/>
                  <w:vAlign w:val="center"/>
                </w:tcPr>
                <w:p w14:paraId="39F23C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350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725" w:type="pct"/>
                  <w:vAlign w:val="center"/>
                </w:tcPr>
                <w:p w14:paraId="3534AE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w:t>
                  </w:r>
                  <w:r>
                    <w:rPr>
                      <w:rFonts w:hint="eastAsia" w:ascii="宋体" w:hAnsi="宋体" w:eastAsia="宋体" w:cs="宋体"/>
                      <w:color w:val="auto"/>
                      <w:sz w:val="21"/>
                      <w:szCs w:val="21"/>
                    </w:rPr>
                    <w:t>在“一江一口两湖七河”</w:t>
                  </w:r>
                  <w:r>
                    <w:rPr>
                      <w:rFonts w:hint="default" w:ascii="Times New Roman" w:hAnsi="Times New Roman" w:eastAsia="宋体" w:cs="Times New Roman"/>
                      <w:color w:val="auto"/>
                      <w:sz w:val="21"/>
                      <w:szCs w:val="21"/>
                    </w:rPr>
                    <w:t>和332个水生生物保护区开展生产性捕捞。</w:t>
                  </w:r>
                </w:p>
              </w:tc>
              <w:tc>
                <w:tcPr>
                  <w:tcW w:w="1625" w:type="pct"/>
                  <w:vAlign w:val="center"/>
                </w:tcPr>
                <w:p w14:paraId="5014CC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本项目不涉及水生生物捕捞</w:t>
                  </w:r>
                </w:p>
              </w:tc>
              <w:tc>
                <w:tcPr>
                  <w:tcW w:w="648" w:type="pct"/>
                  <w:vAlign w:val="center"/>
                </w:tcPr>
                <w:p w14:paraId="368023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3D73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6F1520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25" w:type="pct"/>
                  <w:vAlign w:val="center"/>
                </w:tcPr>
                <w:p w14:paraId="783A30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本项目不属于新建、扩建化工园区和化工项目，不属于尾矿库、冶炼渣库和磷石膏库项目</w:t>
                  </w:r>
                </w:p>
              </w:tc>
              <w:tc>
                <w:tcPr>
                  <w:tcW w:w="648" w:type="pct"/>
                  <w:vAlign w:val="center"/>
                </w:tcPr>
                <w:p w14:paraId="01C85E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6C4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383174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9.禁止在合规园区外新建、扩建钢铁、石化、化工、焦化、建材、有色、制浆造纸等高污染项目。</w:t>
                  </w:r>
                </w:p>
              </w:tc>
              <w:tc>
                <w:tcPr>
                  <w:tcW w:w="1625" w:type="pct"/>
                  <w:vAlign w:val="center"/>
                </w:tcPr>
                <w:p w14:paraId="1A5829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本项目不涉及钢铁、石化、化工、焦化、建材、有色、制浆造纸等高污染项目</w:t>
                  </w:r>
                </w:p>
              </w:tc>
              <w:tc>
                <w:tcPr>
                  <w:tcW w:w="648" w:type="pct"/>
                  <w:vAlign w:val="center"/>
                </w:tcPr>
                <w:p w14:paraId="7C8434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3212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5" w:type="pct"/>
                  <w:vAlign w:val="center"/>
                </w:tcPr>
                <w:p w14:paraId="2DDC48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10.禁止新建、扩建不符合国家石化、现代煤化工等产业布局规划的项目。</w:t>
                  </w:r>
                </w:p>
              </w:tc>
              <w:tc>
                <w:tcPr>
                  <w:tcW w:w="1625" w:type="pct"/>
                  <w:vAlign w:val="center"/>
                </w:tcPr>
                <w:p w14:paraId="53B854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项目不属于石化、现代煤化工行业</w:t>
                  </w:r>
                </w:p>
              </w:tc>
              <w:tc>
                <w:tcPr>
                  <w:tcW w:w="648" w:type="pct"/>
                  <w:vAlign w:val="center"/>
                </w:tcPr>
                <w:p w14:paraId="798D6E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67BC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2725" w:type="pct"/>
                  <w:vAlign w:val="center"/>
                </w:tcPr>
                <w:p w14:paraId="5A73C6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11.禁止新建、扩建法律法规和相关政策明令禁止的落后产能项目。禁止新建、扩建不符合国家产能置换要求的严重过剩产能行业的项目。禁止新建、扩建不符合要求的高耗能高排放项目。</w:t>
                  </w:r>
                </w:p>
              </w:tc>
              <w:tc>
                <w:tcPr>
                  <w:tcW w:w="1625" w:type="pct"/>
                  <w:vAlign w:val="center"/>
                </w:tcPr>
                <w:p w14:paraId="3632A5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本项目属于《产业结构调整指导目录（2024年本）》中的鼓励类项目，不涉及两高项目</w:t>
                  </w:r>
                </w:p>
              </w:tc>
              <w:tc>
                <w:tcPr>
                  <w:tcW w:w="648" w:type="pct"/>
                  <w:vAlign w:val="center"/>
                </w:tcPr>
                <w:p w14:paraId="2BE7E3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bl>
          <w:p w14:paraId="53D73003">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lang w:bidi="ar"/>
              </w:rPr>
            </w:pPr>
            <w:r>
              <w:rPr>
                <w:rFonts w:hint="eastAsia"/>
                <w:color w:val="auto"/>
                <w:kern w:val="0"/>
                <w:sz w:val="24"/>
                <w:highlight w:val="none"/>
                <w:shd w:val="clear" w:color="auto" w:fill="auto"/>
                <w:lang w:val="en-US" w:eastAsia="zh-CN" w:bidi="ar"/>
              </w:rPr>
              <w:t>综上分析，项目不属于《长江经济带发展负面清单指南（试行，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年版）》名列的负面清单建设项目，项目建设符合《长江经济带发展负面清单指南（试行，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年版）》的相关要求。</w:t>
            </w:r>
          </w:p>
          <w:p w14:paraId="1F148F96">
            <w:pPr>
              <w:pStyle w:val="3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eastAsia"/>
                <w:b/>
                <w:bCs/>
                <w:color w:val="auto"/>
                <w:sz w:val="24"/>
                <w:highlight w:val="none"/>
                <w:shd w:val="clear" w:color="auto" w:fill="auto"/>
                <w:lang w:val="en-US" w:eastAsia="zh-CN"/>
              </w:rPr>
            </w:pPr>
            <w:r>
              <w:rPr>
                <w:rFonts w:hint="eastAsia"/>
                <w:b/>
                <w:bCs/>
                <w:color w:val="auto"/>
                <w:sz w:val="24"/>
                <w:highlight w:val="none"/>
                <w:shd w:val="clear" w:color="auto" w:fill="auto"/>
                <w:lang w:val="en-US" w:eastAsia="zh-CN"/>
              </w:rPr>
              <w:t>8、与《云南省推动长江经济带发展领导小组办公室关于印发〈云南省长江经济带发展负面清单指南实施细则（试行，2022版）〉的通知》（云发改基础〔2022〕894号）符合性分析</w:t>
            </w:r>
          </w:p>
          <w:p w14:paraId="2AF1DA35">
            <w:pPr>
              <w:pStyle w:val="3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sz w:val="24"/>
                <w:highlight w:val="none"/>
                <w:shd w:val="clear" w:color="auto" w:fill="auto"/>
              </w:rPr>
            </w:pPr>
            <w:r>
              <w:rPr>
                <w:rFonts w:hint="eastAsia"/>
                <w:b w:val="0"/>
                <w:bCs w:val="0"/>
                <w:color w:val="auto"/>
                <w:sz w:val="24"/>
                <w:highlight w:val="none"/>
                <w:shd w:val="clear" w:color="auto" w:fill="auto"/>
              </w:rPr>
              <w:t>本项目与云南省长江经济带发展负面清单指南实施细则（试行，2022版）符合性分析见表1-</w:t>
            </w:r>
            <w:r>
              <w:rPr>
                <w:rFonts w:hint="eastAsia"/>
                <w:b w:val="0"/>
                <w:bCs w:val="0"/>
                <w:color w:val="auto"/>
                <w:sz w:val="24"/>
                <w:highlight w:val="none"/>
                <w:shd w:val="clear" w:color="auto" w:fill="auto"/>
                <w:lang w:val="en-US" w:eastAsia="zh-CN"/>
              </w:rPr>
              <w:t>8</w:t>
            </w:r>
            <w:r>
              <w:rPr>
                <w:rFonts w:hint="eastAsia"/>
                <w:b w:val="0"/>
                <w:bCs w:val="0"/>
                <w:color w:val="auto"/>
                <w:sz w:val="24"/>
                <w:highlight w:val="none"/>
                <w:shd w:val="clear" w:color="auto" w:fill="auto"/>
              </w:rPr>
              <w:t>所示。</w:t>
            </w:r>
          </w:p>
          <w:p w14:paraId="612374FA">
            <w:pPr>
              <w:pStyle w:val="3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b/>
                <w:bCs/>
                <w:color w:val="auto"/>
                <w:sz w:val="21"/>
                <w:szCs w:val="21"/>
                <w:highlight w:val="none"/>
                <w:shd w:val="clear" w:color="auto" w:fill="auto"/>
              </w:rPr>
            </w:pPr>
            <w:r>
              <w:rPr>
                <w:rFonts w:hint="eastAsia"/>
                <w:b/>
                <w:bCs/>
                <w:color w:val="auto"/>
                <w:sz w:val="21"/>
                <w:szCs w:val="21"/>
                <w:highlight w:val="none"/>
                <w:shd w:val="clear" w:color="auto" w:fill="auto"/>
              </w:rPr>
              <w:t>表1-</w:t>
            </w:r>
            <w:r>
              <w:rPr>
                <w:rFonts w:hint="eastAsia"/>
                <w:b/>
                <w:bCs/>
                <w:color w:val="auto"/>
                <w:sz w:val="21"/>
                <w:szCs w:val="21"/>
                <w:highlight w:val="none"/>
                <w:shd w:val="clear" w:color="auto" w:fill="auto"/>
                <w:lang w:val="en-US" w:eastAsia="zh-CN"/>
              </w:rPr>
              <w:t xml:space="preserve">8 </w:t>
            </w:r>
            <w:r>
              <w:rPr>
                <w:rFonts w:hint="eastAsia"/>
                <w:b/>
                <w:bCs/>
                <w:color w:val="auto"/>
                <w:sz w:val="21"/>
                <w:szCs w:val="21"/>
                <w:highlight w:val="none"/>
                <w:shd w:val="clear" w:color="auto" w:fill="auto"/>
              </w:rPr>
              <w:t>项目与云南省长江经济带发展负面清单指南实施细则（试行，2022版）符合性分析</w:t>
            </w:r>
          </w:p>
          <w:tbl>
            <w:tblPr>
              <w:tblStyle w:val="42"/>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3946"/>
              <w:gridCol w:w="2543"/>
              <w:gridCol w:w="825"/>
            </w:tblGrid>
            <w:tr w14:paraId="3117FB3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90" w:hRule="atLeast"/>
                <w:jc w:val="center"/>
              </w:trPr>
              <w:tc>
                <w:tcPr>
                  <w:tcW w:w="2697" w:type="pct"/>
                  <w:noWrap w:val="0"/>
                  <w:vAlign w:val="center"/>
                </w:tcPr>
                <w:p w14:paraId="1260F0A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相关要求</w:t>
                  </w:r>
                </w:p>
              </w:tc>
              <w:tc>
                <w:tcPr>
                  <w:tcW w:w="1738" w:type="pct"/>
                  <w:noWrap w:val="0"/>
                  <w:vAlign w:val="center"/>
                </w:tcPr>
                <w:p w14:paraId="2EBFCA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564" w:type="pct"/>
                  <w:noWrap w:val="0"/>
                  <w:vAlign w:val="center"/>
                </w:tcPr>
                <w:p w14:paraId="4052842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5838F01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7EBA0C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条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38" w:type="pct"/>
                  <w:noWrap w:val="0"/>
                  <w:vAlign w:val="center"/>
                </w:tcPr>
                <w:p w14:paraId="25E2F2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本项目选址不涉自然保护区。</w:t>
                  </w:r>
                </w:p>
              </w:tc>
              <w:tc>
                <w:tcPr>
                  <w:tcW w:w="564" w:type="pct"/>
                  <w:noWrap w:val="0"/>
                  <w:vAlign w:val="center"/>
                </w:tcPr>
                <w:p w14:paraId="7F486B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28B2DF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1F0948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六条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38" w:type="pct"/>
                  <w:noWrap w:val="0"/>
                  <w:vAlign w:val="center"/>
                </w:tcPr>
                <w:p w14:paraId="4E4EB8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ascii="宋体" w:hAnsi="宋体" w:cs="宋体"/>
                      <w:color w:val="auto"/>
                      <w:kern w:val="0"/>
                      <w:sz w:val="21"/>
                      <w:szCs w:val="21"/>
                      <w:lang w:val="en-US" w:eastAsia="zh-CN" w:bidi="ar"/>
                    </w:rPr>
                    <w:t>云南省昆明市寻甸回族彝族自治县河口镇、功山镇境内</w:t>
                  </w:r>
                  <w:r>
                    <w:rPr>
                      <w:rFonts w:hint="default" w:ascii="Times New Roman" w:hAnsi="Times New Roman" w:eastAsia="宋体" w:cs="Times New Roman"/>
                      <w:color w:val="auto"/>
                      <w:sz w:val="21"/>
                      <w:szCs w:val="21"/>
                      <w:lang w:val="en-US" w:eastAsia="zh-CN"/>
                    </w:rPr>
                    <w:t>，不占用河湖岸线，不涉及金沙江岸线保护区和保留区；区域地表水体</w:t>
                  </w:r>
                  <w:r>
                    <w:rPr>
                      <w:rFonts w:hint="default" w:ascii="Times New Roman" w:hAnsi="Times New Roman" w:eastAsia="宋体" w:cs="Times New Roman"/>
                      <w:color w:val="auto"/>
                      <w:sz w:val="21"/>
                      <w:szCs w:val="21"/>
                    </w:rPr>
                    <w:t>牛栏江为金沙江水系右岸一级支流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项目建设不直接涉及金沙江干流、九大高原湖泊保护区、保留区。</w:t>
                  </w:r>
                </w:p>
              </w:tc>
              <w:tc>
                <w:tcPr>
                  <w:tcW w:w="564" w:type="pct"/>
                  <w:noWrap w:val="0"/>
                  <w:vAlign w:val="center"/>
                </w:tcPr>
                <w:p w14:paraId="5B2441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7F2235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4EC133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七条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38" w:type="pct"/>
                  <w:noWrap w:val="0"/>
                  <w:vAlign w:val="center"/>
                </w:tcPr>
                <w:p w14:paraId="3359F6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ascii="Times New Roman" w:hAnsi="Times New Roman" w:eastAsia="宋体" w:cs="Times New Roman"/>
                      <w:color w:val="auto"/>
                      <w:sz w:val="21"/>
                      <w:szCs w:val="21"/>
                      <w:lang w:val="en-US" w:eastAsia="zh-CN"/>
                    </w:rPr>
                    <w:t>云南省昆明市寻甸回族彝族自治县河口镇</w:t>
                  </w:r>
                  <w:r>
                    <w:rPr>
                      <w:rFonts w:hint="eastAsia" w:ascii="宋体" w:hAnsi="宋体" w:cs="宋体"/>
                      <w:color w:val="auto"/>
                      <w:kern w:val="0"/>
                      <w:sz w:val="21"/>
                      <w:szCs w:val="21"/>
                      <w:lang w:val="en-US" w:eastAsia="zh-CN" w:bidi="ar"/>
                    </w:rPr>
                    <w:t>、功山镇</w:t>
                  </w:r>
                  <w:r>
                    <w:rPr>
                      <w:rFonts w:hint="eastAsia" w:ascii="Times New Roman" w:hAnsi="Times New Roman" w:eastAsia="宋体" w:cs="Times New Roman"/>
                      <w:color w:val="auto"/>
                      <w:sz w:val="21"/>
                      <w:szCs w:val="21"/>
                      <w:lang w:val="en-US" w:eastAsia="zh-CN"/>
                    </w:rPr>
                    <w:t>境内</w:t>
                  </w:r>
                  <w:r>
                    <w:rPr>
                      <w:rFonts w:hint="default" w:ascii="Times New Roman" w:hAnsi="Times New Roman" w:eastAsia="宋体" w:cs="Times New Roman"/>
                      <w:color w:val="auto"/>
                      <w:sz w:val="21"/>
                      <w:szCs w:val="21"/>
                      <w:lang w:val="en-US" w:eastAsia="zh-CN"/>
                    </w:rPr>
                    <w:t>，区域地表水体</w:t>
                  </w:r>
                  <w:r>
                    <w:rPr>
                      <w:rFonts w:hint="default" w:ascii="Times New Roman" w:hAnsi="Times New Roman" w:eastAsia="宋体" w:cs="Times New Roman"/>
                      <w:color w:val="auto"/>
                      <w:sz w:val="21"/>
                      <w:szCs w:val="21"/>
                    </w:rPr>
                    <w:t>牛栏江为金沙江水系右岸一级支流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项目建设不直接涉及金沙江干流、长江一级支流；项目废水处理后全部回用，不涉及新设、改设或扩大排污口。</w:t>
                  </w:r>
                </w:p>
              </w:tc>
              <w:tc>
                <w:tcPr>
                  <w:tcW w:w="564" w:type="pct"/>
                  <w:noWrap w:val="0"/>
                  <w:vAlign w:val="center"/>
                </w:tcPr>
                <w:p w14:paraId="747142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AF4677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369C67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九条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改建除外。</w:t>
                  </w:r>
                </w:p>
              </w:tc>
              <w:tc>
                <w:tcPr>
                  <w:tcW w:w="1738" w:type="pct"/>
                  <w:noWrap w:val="0"/>
                  <w:vAlign w:val="center"/>
                </w:tcPr>
                <w:p w14:paraId="2E18EE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本项目光伏</w:t>
                  </w:r>
                  <w:r>
                    <w:rPr>
                      <w:rFonts w:hint="eastAsia" w:ascii="Times New Roman" w:hAnsi="Times New Roman" w:eastAsia="宋体" w:cs="Times New Roman"/>
                      <w:color w:val="auto"/>
                      <w:sz w:val="21"/>
                      <w:szCs w:val="21"/>
                      <w:lang w:val="en-US" w:eastAsia="zh-CN"/>
                    </w:rPr>
                    <w:t>发电</w:t>
                  </w:r>
                  <w:r>
                    <w:rPr>
                      <w:rFonts w:hint="default" w:ascii="Times New Roman" w:hAnsi="Times New Roman" w:eastAsia="宋体" w:cs="Times New Roman"/>
                      <w:color w:val="auto"/>
                      <w:sz w:val="21"/>
                      <w:szCs w:val="21"/>
                      <w:lang w:val="en-US" w:eastAsia="zh-CN"/>
                    </w:rPr>
                    <w:t>项目，不属于化工园区和化工项目，也不属于尾矿库、冶炼渣库和磷石膏库的建设。</w:t>
                  </w:r>
                </w:p>
              </w:tc>
              <w:tc>
                <w:tcPr>
                  <w:tcW w:w="564" w:type="pct"/>
                  <w:noWrap w:val="0"/>
                  <w:vAlign w:val="center"/>
                </w:tcPr>
                <w:p w14:paraId="0E3BC3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9ACDC4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7" w:type="pct"/>
                  <w:noWrap w:val="0"/>
                  <w:vAlign w:val="center"/>
                </w:tcPr>
                <w:p w14:paraId="3BBE60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十二条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w:t>
                  </w:r>
                  <w:r>
                    <w:rPr>
                      <w:rFonts w:hint="eastAsia" w:ascii="宋体" w:hAnsi="宋体" w:eastAsia="宋体" w:cs="宋体"/>
                      <w:color w:val="auto"/>
                      <w:sz w:val="21"/>
                      <w:szCs w:val="21"/>
                      <w:lang w:val="en-US" w:eastAsia="zh-CN"/>
                    </w:rPr>
                    <w:t>业“限制类”产能</w:t>
                  </w:r>
                  <w:r>
                    <w:rPr>
                      <w:rFonts w:hint="default" w:ascii="Times New Roman" w:hAnsi="Times New Roman" w:eastAsia="宋体" w:cs="Times New Roman"/>
                      <w:color w:val="auto"/>
                      <w:sz w:val="21"/>
                      <w:szCs w:val="21"/>
                      <w:lang w:val="en-US" w:eastAsia="zh-CN"/>
                    </w:rPr>
                    <w:t>。禁止建设高毒高残留以及对环境影响大的农药原药生产装置，严控尿素、磷铵、电石、焦炭、黄磷、烧碱、纯碱、聚氯乙烯等行业新增产能。</w:t>
                  </w:r>
                </w:p>
              </w:tc>
              <w:tc>
                <w:tcPr>
                  <w:tcW w:w="1738" w:type="pct"/>
                  <w:noWrap w:val="0"/>
                  <w:vAlign w:val="center"/>
                </w:tcPr>
                <w:p w14:paraId="7C1C5C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本项目为光伏发电项目，根据《产业结构调整指导目录（</w:t>
                  </w:r>
                  <w:r>
                    <w:rPr>
                      <w:rFonts w:hint="default"/>
                      <w:color w:val="auto"/>
                      <w:sz w:val="21"/>
                      <w:szCs w:val="21"/>
                      <w:lang w:val="en-US" w:eastAsia="zh-CN"/>
                    </w:rPr>
                    <w:t>20</w:t>
                  </w:r>
                  <w:r>
                    <w:rPr>
                      <w:rFonts w:hint="eastAsia"/>
                      <w:color w:val="auto"/>
                      <w:sz w:val="21"/>
                      <w:szCs w:val="21"/>
                      <w:lang w:val="en-US" w:eastAsia="zh-CN"/>
                    </w:rPr>
                    <w:t>24年本）》中“第五项，新能源”中第2条，“可再生能源利用技术与应用：太阳能热发电集热系统、高效率低成本太阳能光伏发电技术研发与产业化、系统集成技术开发应用”，属于鼓励类项目；不属于尿素、磷铵、电石、焦炭、黄磷、烧碱、纯碱、聚氯乙烯等高耗能、高排放项目</w:t>
                  </w:r>
                </w:p>
              </w:tc>
              <w:tc>
                <w:tcPr>
                  <w:tcW w:w="564" w:type="pct"/>
                  <w:noWrap w:val="0"/>
                  <w:vAlign w:val="center"/>
                </w:tcPr>
                <w:p w14:paraId="5D4883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7C74BE25">
            <w:pPr>
              <w:pStyle w:val="3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lang w:val="en-US" w:eastAsia="zh-CN" w:bidi="ar"/>
              </w:rPr>
            </w:pPr>
            <w:r>
              <w:rPr>
                <w:rFonts w:hint="eastAsia"/>
                <w:color w:val="auto"/>
                <w:kern w:val="0"/>
                <w:sz w:val="24"/>
                <w:highlight w:val="none"/>
                <w:shd w:val="clear" w:color="auto" w:fill="auto"/>
                <w:lang w:val="en-US" w:eastAsia="zh-CN" w:bidi="ar"/>
              </w:rPr>
              <w:t>综上，本项目的建设符合《云南省推动长江经济带发展领导小组办公室关于印发〈云南省长江经济带发展负面清单指南实施细则（试行，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版）〉的通知》（云发改基础〔</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w:t>
            </w:r>
            <w:r>
              <w:rPr>
                <w:rFonts w:hint="default"/>
                <w:color w:val="auto"/>
                <w:kern w:val="0"/>
                <w:sz w:val="24"/>
                <w:highlight w:val="none"/>
                <w:shd w:val="clear" w:color="auto" w:fill="auto"/>
                <w:lang w:val="en-US" w:eastAsia="zh-CN" w:bidi="ar"/>
              </w:rPr>
              <w:t>894</w:t>
            </w:r>
            <w:r>
              <w:rPr>
                <w:rFonts w:hint="eastAsia"/>
                <w:color w:val="auto"/>
                <w:kern w:val="0"/>
                <w:sz w:val="24"/>
                <w:highlight w:val="none"/>
                <w:shd w:val="clear" w:color="auto" w:fill="auto"/>
                <w:lang w:val="en-US" w:eastAsia="zh-CN" w:bidi="ar"/>
              </w:rPr>
              <w:t>号）中的有关规定。</w:t>
            </w:r>
          </w:p>
          <w:p w14:paraId="56CBBA1D">
            <w:pPr>
              <w:keepNext/>
              <w:keepLines/>
              <w:suppressLineNumbers w:val="0"/>
              <w:spacing w:before="0" w:beforeAutospacing="0" w:after="0" w:afterAutospacing="0" w:line="360" w:lineRule="auto"/>
              <w:ind w:left="0" w:right="0" w:firstLine="482" w:firstLineChars="200"/>
              <w:outlineLvl w:val="2"/>
              <w:rPr>
                <w:rFonts w:hint="eastAsia" w:ascii="Times New Roman" w:hAnsi="Times New Roman"/>
                <w:b/>
                <w:bCs/>
                <w:color w:val="auto"/>
                <w:kern w:val="0"/>
                <w:sz w:val="24"/>
              </w:rPr>
            </w:pPr>
            <w:bookmarkStart w:id="15" w:name="_Toc21876"/>
            <w:r>
              <w:rPr>
                <w:rFonts w:hint="eastAsia"/>
                <w:b/>
                <w:bCs/>
                <w:color w:val="auto"/>
                <w:sz w:val="24"/>
                <w:lang w:val="en-US" w:eastAsia="zh-CN"/>
              </w:rPr>
              <w:t>9</w:t>
            </w:r>
            <w:r>
              <w:rPr>
                <w:rFonts w:hint="eastAsia" w:ascii="Times New Roman" w:hAnsi="Times New Roman"/>
                <w:b/>
                <w:bCs/>
                <w:color w:val="auto"/>
                <w:sz w:val="24"/>
              </w:rPr>
              <w:t>、与</w:t>
            </w:r>
            <w:r>
              <w:rPr>
                <w:rFonts w:hint="eastAsia" w:ascii="Times New Roman" w:hAnsi="Times New Roman"/>
                <w:b/>
                <w:bCs/>
                <w:color w:val="auto"/>
                <w:kern w:val="0"/>
                <w:sz w:val="24"/>
              </w:rPr>
              <w:t>《云南省牛栏江保护条例》的符合性分析</w:t>
            </w:r>
            <w:bookmarkEnd w:id="15"/>
          </w:p>
          <w:p w14:paraId="2B265A5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olor w:val="auto"/>
                <w:sz w:val="24"/>
                <w:szCs w:val="20"/>
              </w:rPr>
            </w:pPr>
            <w:r>
              <w:rPr>
                <w:rFonts w:hint="eastAsia" w:ascii="Times New Roman" w:hAnsi="Times New Roman"/>
                <w:color w:val="auto"/>
                <w:sz w:val="24"/>
                <w:szCs w:val="20"/>
              </w:rPr>
              <w:t>根据《云南省牛栏江保护条例》（2012年9月28日云南省第十一届人民代表大会常务委员会第三十四次会议通过）第一章第五条牛栏江流域上游保护区划分为水源保护区核心区、重点污染控制区和重点水源涵养区。</w:t>
            </w:r>
          </w:p>
          <w:p w14:paraId="728D5E8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（一）水源保护核心区</w:t>
            </w:r>
          </w:p>
          <w:p w14:paraId="12D84DE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14:paraId="0BD2E80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（二）重点污染控制区</w:t>
            </w:r>
          </w:p>
          <w:p w14:paraId="0BC288D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为水源保护核心区以外，流域范围内的坝区以及花庄河、果马河、普沙河、弥良河、对龙河、杨林河、匡郎河、前进河、马龙河水域及两岸外延3000米的区域，区域范围超过一级山脊线的，按照一级山脊线划定。</w:t>
            </w:r>
          </w:p>
          <w:p w14:paraId="15D65DD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（三）重点水源涵养区</w:t>
            </w:r>
          </w:p>
          <w:p w14:paraId="5D472C45">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为流域范围内除水源保护核心区、重点污染控制区以外的集水区域。</w:t>
            </w:r>
          </w:p>
          <w:p w14:paraId="02F2A00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项目选址未涉及水源核心保护区，项目与牛栏江水流域调水水源区环境保护分区图的位置关系</w:t>
            </w:r>
            <w:r>
              <w:rPr>
                <w:rFonts w:hint="eastAsia"/>
                <w:b w:val="0"/>
                <w:bCs w:val="0"/>
                <w:color w:val="auto"/>
                <w:kern w:val="0"/>
                <w:sz w:val="24"/>
                <w:highlight w:val="none"/>
              </w:rPr>
              <w:t>见</w:t>
            </w:r>
            <w:r>
              <w:rPr>
                <w:rFonts w:hint="eastAsia"/>
                <w:b w:val="0"/>
                <w:bCs w:val="0"/>
                <w:color w:val="auto"/>
                <w:kern w:val="0"/>
                <w:sz w:val="24"/>
                <w:highlight w:val="none"/>
                <w:lang w:val="en-US" w:eastAsia="zh-CN"/>
              </w:rPr>
              <w:t>附</w:t>
            </w:r>
            <w:r>
              <w:rPr>
                <w:rFonts w:hint="eastAsia"/>
                <w:b w:val="0"/>
                <w:bCs w:val="0"/>
                <w:color w:val="auto"/>
                <w:kern w:val="0"/>
                <w:sz w:val="24"/>
                <w:highlight w:val="none"/>
              </w:rPr>
              <w:t>图</w:t>
            </w:r>
            <w:r>
              <w:rPr>
                <w:rFonts w:hint="eastAsia"/>
                <w:b w:val="0"/>
                <w:bCs w:val="0"/>
                <w:color w:val="auto"/>
                <w:kern w:val="0"/>
                <w:sz w:val="24"/>
                <w:highlight w:val="none"/>
                <w:lang w:val="en-US" w:eastAsia="zh-CN"/>
              </w:rPr>
              <w:t>10</w:t>
            </w:r>
            <w:r>
              <w:rPr>
                <w:rFonts w:hint="eastAsia"/>
                <w:b w:val="0"/>
                <w:bCs w:val="0"/>
                <w:color w:val="auto"/>
                <w:kern w:val="0"/>
                <w:sz w:val="24"/>
                <w:highlight w:val="none"/>
              </w:rPr>
              <w:t>，</w:t>
            </w:r>
            <w:r>
              <w:rPr>
                <w:rFonts w:hint="eastAsia"/>
                <w:b w:val="0"/>
                <w:bCs w:val="0"/>
                <w:color w:val="auto"/>
                <w:kern w:val="0"/>
                <w:sz w:val="24"/>
              </w:rPr>
              <w:t>对照《云南省牛栏江保护条例》，该项目位于牛栏江流域重点水源涵养区。</w:t>
            </w:r>
          </w:p>
          <w:p w14:paraId="35157BA6">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b w:val="0"/>
                <w:bCs w:val="0"/>
                <w:color w:val="auto"/>
                <w:kern w:val="0"/>
                <w:sz w:val="24"/>
                <w:highlight w:val="yellow"/>
                <w:lang w:eastAsia="zh-CN"/>
              </w:rPr>
            </w:pPr>
            <w:r>
              <w:rPr>
                <w:rFonts w:hint="eastAsia"/>
                <w:b w:val="0"/>
                <w:bCs w:val="0"/>
                <w:color w:val="auto"/>
                <w:kern w:val="0"/>
                <w:sz w:val="24"/>
                <w:highlight w:val="none"/>
              </w:rPr>
              <w:t>根据《云南省牛栏江保护条例》中对重点水源涵养区的限制要求，本项目的建设与《云南省牛栏江保护条例》的相符性分析见下表</w:t>
            </w:r>
            <w:r>
              <w:rPr>
                <w:rFonts w:hint="eastAsia"/>
                <w:b w:val="0"/>
                <w:bCs w:val="0"/>
                <w:color w:val="auto"/>
                <w:kern w:val="0"/>
                <w:sz w:val="24"/>
                <w:highlight w:val="none"/>
                <w:lang w:eastAsia="zh-CN"/>
              </w:rPr>
              <w:t>。</w:t>
            </w:r>
          </w:p>
          <w:p w14:paraId="120144B2">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kern w:val="0"/>
                <w:sz w:val="21"/>
                <w:szCs w:val="21"/>
              </w:rPr>
            </w:pPr>
            <w:r>
              <w:rPr>
                <w:rFonts w:hint="default" w:ascii="Times New Roman" w:hAnsi="Times New Roman"/>
                <w:b/>
                <w:bCs/>
                <w:color w:val="auto"/>
                <w:kern w:val="0"/>
                <w:sz w:val="21"/>
                <w:szCs w:val="21"/>
              </w:rPr>
              <w:t>表</w:t>
            </w:r>
            <w:r>
              <w:rPr>
                <w:rFonts w:hint="eastAsia" w:ascii="Times New Roman" w:hAnsi="Times New Roman"/>
                <w:b/>
                <w:bCs/>
                <w:color w:val="auto"/>
                <w:kern w:val="0"/>
                <w:sz w:val="21"/>
                <w:szCs w:val="21"/>
              </w:rPr>
              <w:t>1-</w:t>
            </w:r>
            <w:r>
              <w:rPr>
                <w:rFonts w:hint="eastAsia"/>
                <w:b/>
                <w:bCs/>
                <w:color w:val="auto"/>
                <w:kern w:val="0"/>
                <w:sz w:val="21"/>
                <w:szCs w:val="21"/>
                <w:lang w:val="en-US" w:eastAsia="zh-CN"/>
              </w:rPr>
              <w:t>9</w:t>
            </w:r>
            <w:r>
              <w:rPr>
                <w:rFonts w:hint="eastAsia" w:ascii="Times New Roman" w:hAnsi="Times New Roman"/>
                <w:b/>
                <w:bCs/>
                <w:color w:val="auto"/>
                <w:kern w:val="0"/>
                <w:sz w:val="21"/>
                <w:szCs w:val="21"/>
              </w:rPr>
              <w:t xml:space="preserve">  项目</w:t>
            </w:r>
            <w:r>
              <w:rPr>
                <w:rFonts w:hint="default" w:ascii="Times New Roman" w:hAnsi="Times New Roman"/>
                <w:b/>
                <w:bCs/>
                <w:color w:val="auto"/>
                <w:kern w:val="0"/>
                <w:sz w:val="21"/>
                <w:szCs w:val="21"/>
              </w:rPr>
              <w:t>与《</w:t>
            </w:r>
            <w:r>
              <w:rPr>
                <w:rFonts w:hint="eastAsia" w:ascii="Times New Roman" w:hAnsi="Times New Roman"/>
                <w:b/>
                <w:bCs/>
                <w:color w:val="auto"/>
                <w:kern w:val="0"/>
                <w:sz w:val="21"/>
                <w:szCs w:val="21"/>
              </w:rPr>
              <w:t>云南省牛栏江保护条例</w:t>
            </w:r>
            <w:r>
              <w:rPr>
                <w:rFonts w:hint="default" w:ascii="Times New Roman" w:hAnsi="Times New Roman"/>
                <w:b/>
                <w:bCs/>
                <w:color w:val="auto"/>
                <w:kern w:val="0"/>
                <w:sz w:val="21"/>
                <w:szCs w:val="21"/>
              </w:rPr>
              <w:t>》的符合性</w:t>
            </w:r>
          </w:p>
          <w:tbl>
            <w:tblPr>
              <w:tblStyle w:val="42"/>
              <w:tblW w:w="4997"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497"/>
              <w:gridCol w:w="3993"/>
              <w:gridCol w:w="821"/>
            </w:tblGrid>
            <w:tr w14:paraId="63337E5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363" w:hRule="atLeast"/>
                <w:jc w:val="center"/>
              </w:trPr>
              <w:tc>
                <w:tcPr>
                  <w:tcW w:w="1708" w:type="pct"/>
                  <w:noWrap w:val="0"/>
                  <w:vAlign w:val="center"/>
                </w:tcPr>
                <w:p w14:paraId="6449B9BB">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rPr>
                  </w:pPr>
                  <w:r>
                    <w:rPr>
                      <w:rFonts w:hint="eastAsia" w:ascii="Times New Roman" w:hAnsi="Times New Roman"/>
                      <w:b/>
                      <w:bCs/>
                      <w:color w:val="auto"/>
                      <w:kern w:val="0"/>
                    </w:rPr>
                    <w:t>条例禁止行为</w:t>
                  </w:r>
                </w:p>
              </w:tc>
              <w:tc>
                <w:tcPr>
                  <w:tcW w:w="2731" w:type="pct"/>
                  <w:noWrap w:val="0"/>
                  <w:vAlign w:val="center"/>
                </w:tcPr>
                <w:p w14:paraId="5CD98A0A">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rPr>
                  </w:pPr>
                  <w:r>
                    <w:rPr>
                      <w:rFonts w:hint="default" w:ascii="Times New Roman" w:hAnsi="Times New Roman"/>
                      <w:b/>
                      <w:bCs/>
                      <w:color w:val="auto"/>
                      <w:kern w:val="0"/>
                    </w:rPr>
                    <w:t>项目情况</w:t>
                  </w:r>
                </w:p>
              </w:tc>
              <w:tc>
                <w:tcPr>
                  <w:tcW w:w="560" w:type="pct"/>
                  <w:noWrap w:val="0"/>
                  <w:vAlign w:val="center"/>
                </w:tcPr>
                <w:p w14:paraId="310E5F7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rPr>
                  </w:pPr>
                  <w:r>
                    <w:rPr>
                      <w:rFonts w:hint="default" w:ascii="Times New Roman" w:hAnsi="Times New Roman"/>
                      <w:b/>
                      <w:bCs/>
                      <w:color w:val="auto"/>
                      <w:kern w:val="0"/>
                    </w:rPr>
                    <w:t>符合性</w:t>
                  </w:r>
                </w:p>
              </w:tc>
            </w:tr>
            <w:tr w14:paraId="5ED0FD9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2DFEE4A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b/>
                      <w:bCs/>
                      <w:color w:val="auto"/>
                      <w:kern w:val="0"/>
                      <w:lang w:val="en-US" w:eastAsia="zh-CN"/>
                    </w:rPr>
                    <w:t>重点水源涵养区内禁止下列行为：</w:t>
                  </w:r>
                </w:p>
              </w:tc>
            </w:tr>
            <w:tr w14:paraId="7D8B5BD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36CC71CB">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（一）</w:t>
                  </w:r>
                  <w:r>
                    <w:rPr>
                      <w:rFonts w:hint="eastAsia" w:ascii="Times New Roman" w:hAnsi="Times New Roman"/>
                      <w:color w:val="auto"/>
                      <w:kern w:val="0"/>
                    </w:rPr>
                    <w:t>盗伐、滥伐林木和破坏草地；</w:t>
                  </w:r>
                </w:p>
              </w:tc>
              <w:tc>
                <w:tcPr>
                  <w:tcW w:w="2731" w:type="pct"/>
                  <w:noWrap w:val="0"/>
                  <w:vAlign w:val="center"/>
                </w:tcPr>
                <w:p w14:paraId="316FB8D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项目用地主要</w:t>
                  </w:r>
                  <w:r>
                    <w:rPr>
                      <w:rFonts w:hint="eastAsia" w:ascii="Times New Roman" w:hAnsi="Times New Roman"/>
                      <w:color w:val="auto"/>
                      <w:kern w:val="0"/>
                      <w:highlight w:val="none"/>
                    </w:rPr>
                    <w:t>为</w:t>
                  </w:r>
                  <w:r>
                    <w:rPr>
                      <w:rFonts w:hint="eastAsia"/>
                      <w:color w:val="auto"/>
                      <w:kern w:val="0"/>
                      <w:highlight w:val="none"/>
                      <w:lang w:val="en-US" w:eastAsia="zh-CN"/>
                    </w:rPr>
                    <w:t>其他</w:t>
                  </w:r>
                  <w:r>
                    <w:rPr>
                      <w:rFonts w:hint="eastAsia" w:ascii="Times New Roman" w:hAnsi="Times New Roman"/>
                      <w:color w:val="auto"/>
                      <w:kern w:val="0"/>
                      <w:highlight w:val="none"/>
                    </w:rPr>
                    <w:t>草地</w:t>
                  </w:r>
                  <w:r>
                    <w:rPr>
                      <w:rFonts w:hint="eastAsia"/>
                      <w:color w:val="auto"/>
                      <w:kern w:val="0"/>
                      <w:highlight w:val="none"/>
                      <w:lang w:eastAsia="zh-CN"/>
                    </w:rPr>
                    <w:t>、</w:t>
                  </w:r>
                  <w:r>
                    <w:rPr>
                      <w:rFonts w:hint="eastAsia"/>
                      <w:color w:val="auto"/>
                      <w:kern w:val="0"/>
                      <w:highlight w:val="none"/>
                      <w:lang w:val="en-US" w:eastAsia="zh-CN"/>
                    </w:rPr>
                    <w:t>林地和交通运输用地</w:t>
                  </w:r>
                  <w:r>
                    <w:rPr>
                      <w:rFonts w:hint="eastAsia" w:ascii="Times New Roman" w:hAnsi="Times New Roman"/>
                      <w:color w:val="auto"/>
                      <w:kern w:val="0"/>
                      <w:highlight w:val="none"/>
                    </w:rPr>
                    <w:t>，</w:t>
                  </w:r>
                  <w:r>
                    <w:rPr>
                      <w:rFonts w:hint="eastAsia"/>
                      <w:color w:val="auto"/>
                      <w:kern w:val="0"/>
                      <w:highlight w:val="none"/>
                      <w:lang w:val="en-US" w:eastAsia="zh-CN"/>
                    </w:rPr>
                    <w:t>正在办理</w:t>
                  </w:r>
                  <w:r>
                    <w:rPr>
                      <w:rFonts w:hint="eastAsia" w:cs="Times New Roman"/>
                      <w:color w:val="auto"/>
                      <w:kern w:val="0"/>
                      <w:sz w:val="21"/>
                      <w:szCs w:val="21"/>
                      <w:highlight w:val="none"/>
                      <w:lang w:val="en-US" w:eastAsia="zh-CN"/>
                    </w:rPr>
                    <w:t>寻甸回族彝族自治县</w:t>
                  </w:r>
                  <w:r>
                    <w:rPr>
                      <w:rFonts w:hint="eastAsia" w:ascii="Times New Roman" w:hAnsi="Times New Roman"/>
                      <w:color w:val="auto"/>
                      <w:kern w:val="0"/>
                      <w:highlight w:val="none"/>
                      <w:lang w:eastAsia="zh-CN"/>
                    </w:rPr>
                    <w:t>林业和草原局关于拟规划光伏发电项目用地的审查意见。</w:t>
                  </w:r>
                  <w:r>
                    <w:rPr>
                      <w:rFonts w:hint="eastAsia" w:ascii="Times New Roman" w:hAnsi="Times New Roman"/>
                      <w:color w:val="auto"/>
                      <w:kern w:val="0"/>
                      <w:lang w:eastAsia="zh-CN"/>
                    </w:rPr>
                    <w:t>同时</w:t>
                  </w:r>
                  <w:r>
                    <w:rPr>
                      <w:rFonts w:hint="eastAsia" w:ascii="Times New Roman" w:hAnsi="Times New Roman"/>
                      <w:color w:val="auto"/>
                      <w:kern w:val="0"/>
                    </w:rPr>
                    <w:t>，</w:t>
                  </w:r>
                  <w:r>
                    <w:rPr>
                      <w:rFonts w:hint="eastAsia" w:ascii="Times New Roman" w:hAnsi="Times New Roman"/>
                      <w:color w:val="auto"/>
                      <w:kern w:val="0"/>
                      <w:lang w:eastAsia="zh-CN"/>
                    </w:rPr>
                    <w:t>项目占用</w:t>
                  </w:r>
                  <w:r>
                    <w:rPr>
                      <w:rFonts w:hint="eastAsia" w:ascii="Times New Roman" w:hAnsi="Times New Roman"/>
                      <w:color w:val="auto"/>
                      <w:kern w:val="0"/>
                    </w:rPr>
                    <w:t>草地</w:t>
                  </w:r>
                  <w:r>
                    <w:rPr>
                      <w:rFonts w:hint="eastAsia" w:ascii="Times New Roman" w:hAnsi="Times New Roman"/>
                      <w:color w:val="auto"/>
                      <w:kern w:val="0"/>
                      <w:lang w:eastAsia="zh-CN"/>
                    </w:rPr>
                    <w:t>、少</w:t>
                  </w:r>
                  <w:r>
                    <w:rPr>
                      <w:rFonts w:hint="eastAsia" w:ascii="Times New Roman" w:hAnsi="Times New Roman"/>
                      <w:color w:val="auto"/>
                      <w:kern w:val="0"/>
                    </w:rPr>
                    <w:t>量灌木林地</w:t>
                  </w:r>
                  <w:r>
                    <w:rPr>
                      <w:rFonts w:hint="eastAsia" w:ascii="Times New Roman" w:hAnsi="Times New Roman"/>
                      <w:color w:val="auto"/>
                      <w:kern w:val="0"/>
                      <w:lang w:eastAsia="zh-CN"/>
                    </w:rPr>
                    <w:t>将</w:t>
                  </w:r>
                  <w:r>
                    <w:rPr>
                      <w:rFonts w:hint="eastAsia" w:ascii="Times New Roman" w:hAnsi="Times New Roman"/>
                      <w:color w:val="auto"/>
                      <w:kern w:val="0"/>
                    </w:rPr>
                    <w:t>依法依规办理使用林地草地手续，严禁未批先</w:t>
                  </w:r>
                  <w:r>
                    <w:rPr>
                      <w:rFonts w:hint="eastAsia" w:ascii="Times New Roman" w:hAnsi="Times New Roman"/>
                      <w:color w:val="auto"/>
                      <w:kern w:val="0"/>
                      <w:highlight w:val="none"/>
                    </w:rPr>
                    <w:t>占林草</w:t>
                  </w:r>
                  <w:r>
                    <w:rPr>
                      <w:rFonts w:hint="eastAsia" w:ascii="Times New Roman" w:hAnsi="Times New Roman"/>
                      <w:color w:val="auto"/>
                      <w:kern w:val="0"/>
                    </w:rPr>
                    <w:t>地，不涉及盗伐、滥伐林木和破坏草地情况。</w:t>
                  </w:r>
                </w:p>
              </w:tc>
              <w:tc>
                <w:tcPr>
                  <w:tcW w:w="560" w:type="pct"/>
                  <w:noWrap w:val="0"/>
                  <w:vAlign w:val="center"/>
                </w:tcPr>
                <w:p w14:paraId="412B3D8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eastAsia="宋体"/>
                      <w:color w:val="auto"/>
                      <w:kern w:val="0"/>
                      <w:lang w:val="en-US" w:eastAsia="zh-CN"/>
                    </w:rPr>
                  </w:pPr>
                  <w:r>
                    <w:rPr>
                      <w:rFonts w:hint="eastAsia" w:ascii="Times New Roman" w:hAnsi="Times New Roman"/>
                      <w:color w:val="auto"/>
                      <w:kern w:val="0"/>
                      <w:lang w:val="en-US" w:eastAsia="zh-CN"/>
                    </w:rPr>
                    <w:t>符合</w:t>
                  </w:r>
                </w:p>
              </w:tc>
            </w:tr>
            <w:tr w14:paraId="6D7EA42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7E79925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（二）</w:t>
                  </w:r>
                  <w:r>
                    <w:rPr>
                      <w:rFonts w:hint="eastAsia" w:ascii="Times New Roman" w:hAnsi="Times New Roman"/>
                      <w:color w:val="auto"/>
                      <w:kern w:val="0"/>
                    </w:rPr>
                    <w:t>使用高毒、高残留农药；</w:t>
                  </w:r>
                </w:p>
              </w:tc>
              <w:tc>
                <w:tcPr>
                  <w:tcW w:w="2731" w:type="pct"/>
                  <w:noWrap w:val="0"/>
                  <w:vAlign w:val="center"/>
                </w:tcPr>
                <w:p w14:paraId="4286A45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本项目不涉及高毒、高残留农药的使用。</w:t>
                  </w:r>
                </w:p>
              </w:tc>
              <w:tc>
                <w:tcPr>
                  <w:tcW w:w="560" w:type="pct"/>
                  <w:noWrap w:val="0"/>
                  <w:vAlign w:val="center"/>
                </w:tcPr>
                <w:p w14:paraId="75ACF16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480E966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6D2C8978">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（三）</w:t>
                  </w:r>
                  <w:r>
                    <w:rPr>
                      <w:rFonts w:hint="eastAsia" w:ascii="Times New Roman" w:hAnsi="Times New Roman"/>
                      <w:color w:val="auto"/>
                      <w:kern w:val="0"/>
                    </w:rPr>
                    <w:t>利用溶洞、渗井、渗坑、裂隙排放、倾倒含有毒有害物质的废水、废渣；</w:t>
                  </w:r>
                </w:p>
              </w:tc>
              <w:tc>
                <w:tcPr>
                  <w:tcW w:w="2731" w:type="pct"/>
                  <w:noWrap w:val="0"/>
                  <w:vAlign w:val="center"/>
                </w:tcPr>
                <w:p w14:paraId="5AC2431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本项目为太阳能发电场项目，</w:t>
                  </w:r>
                  <w:r>
                    <w:rPr>
                      <w:rFonts w:hint="eastAsia" w:ascii="Times New Roman" w:hAnsi="Times New Roman"/>
                      <w:color w:val="auto"/>
                      <w:kern w:val="0"/>
                      <w:lang w:eastAsia="zh-CN"/>
                    </w:rPr>
                    <w:t>建设、运营无废水排放，固废合理处置，</w:t>
                  </w:r>
                  <w:r>
                    <w:rPr>
                      <w:rFonts w:hint="eastAsia" w:ascii="Times New Roman" w:hAnsi="Times New Roman"/>
                      <w:color w:val="auto"/>
                      <w:kern w:val="0"/>
                    </w:rPr>
                    <w:t>不涉及利用溶洞、渗井、渗坑、裂隙排放、倾倒含有毒有害物质的废水、废渣。</w:t>
                  </w:r>
                </w:p>
              </w:tc>
              <w:tc>
                <w:tcPr>
                  <w:tcW w:w="560" w:type="pct"/>
                  <w:noWrap w:val="0"/>
                  <w:vAlign w:val="center"/>
                </w:tcPr>
                <w:p w14:paraId="1496B9B9">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727347A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4013B1D9">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（四）</w:t>
                  </w:r>
                  <w:r>
                    <w:rPr>
                      <w:rFonts w:hint="eastAsia" w:ascii="Times New Roman" w:hAnsi="Times New Roman"/>
                      <w:color w:val="auto"/>
                      <w:kern w:val="0"/>
                    </w:rPr>
                    <w:t>向水体排放废水、倾倒工业废渣、城镇垃圾或者其他废弃物；</w:t>
                  </w:r>
                </w:p>
              </w:tc>
              <w:tc>
                <w:tcPr>
                  <w:tcW w:w="2731" w:type="pct"/>
                  <w:noWrap w:val="0"/>
                  <w:vAlign w:val="center"/>
                </w:tcPr>
                <w:p w14:paraId="2FF4BDD5">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rPr>
                    <w:t>本项目为太阳能发电场项目，运营期</w:t>
                  </w:r>
                  <w:r>
                    <w:rPr>
                      <w:rFonts w:hint="eastAsia" w:ascii="Times New Roman" w:hAnsi="Times New Roman"/>
                      <w:color w:val="auto"/>
                      <w:kern w:val="0"/>
                      <w:lang w:eastAsia="zh-CN"/>
                    </w:rPr>
                    <w:t>光伏区</w:t>
                  </w:r>
                  <w:r>
                    <w:rPr>
                      <w:rFonts w:hint="eastAsia" w:ascii="Times New Roman" w:hAnsi="Times New Roman"/>
                      <w:color w:val="auto"/>
                      <w:kern w:val="0"/>
                    </w:rPr>
                    <w:t>少量的光伏组件清洗废水用于板下植物浇洒，不外排；损坏更换的电池组件由厂家回收处置</w:t>
                  </w:r>
                  <w:r>
                    <w:rPr>
                      <w:rFonts w:hint="eastAsia" w:ascii="Times New Roman" w:hAnsi="Times New Roman"/>
                      <w:color w:val="auto"/>
                      <w:kern w:val="0"/>
                      <w:lang w:eastAsia="zh-CN"/>
                    </w:rPr>
                    <w:t>，</w:t>
                  </w:r>
                  <w:r>
                    <w:rPr>
                      <w:rFonts w:hint="eastAsia" w:ascii="Times New Roman" w:hAnsi="Times New Roman"/>
                      <w:color w:val="auto"/>
                      <w:kern w:val="0"/>
                    </w:rPr>
                    <w:t>固废100％处置。</w:t>
                  </w:r>
                </w:p>
              </w:tc>
              <w:tc>
                <w:tcPr>
                  <w:tcW w:w="560" w:type="pct"/>
                  <w:noWrap w:val="0"/>
                  <w:vAlign w:val="center"/>
                </w:tcPr>
                <w:p w14:paraId="52416510">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32195A0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0F945E7D">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（五）</w:t>
                  </w:r>
                  <w:r>
                    <w:rPr>
                      <w:rFonts w:hint="eastAsia" w:ascii="Times New Roman" w:hAnsi="Times New Roman"/>
                      <w:color w:val="auto"/>
                      <w:kern w:val="0"/>
                    </w:rPr>
                    <w:t>在江河、渠道、水库最高水位线以下的滩地、岸坡堆放、存贮固体废弃物或者其他污染物；</w:t>
                  </w:r>
                </w:p>
              </w:tc>
              <w:tc>
                <w:tcPr>
                  <w:tcW w:w="2731" w:type="pct"/>
                  <w:noWrap w:val="0"/>
                  <w:vAlign w:val="center"/>
                </w:tcPr>
                <w:p w14:paraId="39CBD25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项目选址不涉及江河、渠道、水库最高水位线以下的滩地、岸坡，运营期</w:t>
                  </w:r>
                  <w:r>
                    <w:rPr>
                      <w:rFonts w:hint="eastAsia" w:ascii="Times New Roman" w:hAnsi="Times New Roman"/>
                      <w:color w:val="auto"/>
                      <w:kern w:val="0"/>
                      <w:lang w:eastAsia="zh-CN"/>
                    </w:rPr>
                    <w:t>光伏区</w:t>
                  </w:r>
                  <w:r>
                    <w:rPr>
                      <w:rFonts w:hint="eastAsia" w:ascii="Times New Roman" w:hAnsi="Times New Roman"/>
                      <w:color w:val="auto"/>
                      <w:kern w:val="0"/>
                    </w:rPr>
                    <w:t>少量的光伏组件清洗废水用于板下植物浇洒，不外排，固废100％处置。</w:t>
                  </w:r>
                </w:p>
              </w:tc>
              <w:tc>
                <w:tcPr>
                  <w:tcW w:w="560" w:type="pct"/>
                  <w:noWrap w:val="0"/>
                  <w:vAlign w:val="center"/>
                </w:tcPr>
                <w:p w14:paraId="1DEC225C">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2751B6E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15F6B402">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eastAsia="zh-CN"/>
                    </w:rPr>
                    <w:t>（六）</w:t>
                  </w:r>
                  <w:r>
                    <w:rPr>
                      <w:rFonts w:hint="eastAsia" w:ascii="Times New Roman" w:hAnsi="Times New Roman"/>
                      <w:color w:val="auto"/>
                      <w:kern w:val="0"/>
                    </w:rPr>
                    <w:t>利用无防渗漏措施的沟渠、坑塘等输送或者存贮含有毒污染物的废水、含病原体的污水或者其他废弃物。</w:t>
                  </w:r>
                </w:p>
              </w:tc>
              <w:tc>
                <w:tcPr>
                  <w:tcW w:w="2731" w:type="pct"/>
                  <w:noWrap w:val="0"/>
                  <w:vAlign w:val="center"/>
                </w:tcPr>
                <w:p w14:paraId="1F28B00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项目运营期光伏组件清洗废水用于板下植物浇洒，不涉及含有毒污染物的废水、含病原体的污水或者其他废弃物。</w:t>
                  </w:r>
                </w:p>
              </w:tc>
              <w:tc>
                <w:tcPr>
                  <w:tcW w:w="560" w:type="pct"/>
                  <w:noWrap w:val="0"/>
                  <w:vAlign w:val="center"/>
                </w:tcPr>
                <w:p w14:paraId="7390E938">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rPr>
                  </w:pPr>
                  <w:r>
                    <w:rPr>
                      <w:rFonts w:hint="eastAsia" w:ascii="Times New Roman" w:hAnsi="Times New Roman"/>
                      <w:color w:val="auto"/>
                      <w:kern w:val="0"/>
                      <w:lang w:val="en-US" w:eastAsia="zh-CN"/>
                    </w:rPr>
                    <w:t>符合</w:t>
                  </w:r>
                </w:p>
              </w:tc>
            </w:tr>
            <w:tr w14:paraId="456DC94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3279655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b/>
                      <w:bCs/>
                      <w:color w:val="auto"/>
                      <w:kern w:val="0"/>
                      <w:lang w:val="en-US" w:eastAsia="zh-CN"/>
                    </w:rPr>
                    <w:t>重点污染控制区内除重点水源涵养区禁止的行为外，还禁止下列行为：</w:t>
                  </w:r>
                </w:p>
              </w:tc>
            </w:tr>
            <w:tr w14:paraId="04278B9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2F01E4D5">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lang w:val="en-US" w:eastAsia="zh-CN"/>
                    </w:rPr>
                    <w:t>（一）新建、扩建工业园区；</w:t>
                  </w:r>
                </w:p>
              </w:tc>
              <w:tc>
                <w:tcPr>
                  <w:tcW w:w="2731" w:type="pct"/>
                  <w:noWrap w:val="0"/>
                  <w:vAlign w:val="center"/>
                </w:tcPr>
                <w:p w14:paraId="17C3537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lang w:eastAsia="zh-CN"/>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eastAsia="zh-CN"/>
                    </w:rPr>
                    <w:t>不属于</w:t>
                  </w:r>
                  <w:r>
                    <w:rPr>
                      <w:rFonts w:hint="eastAsia" w:ascii="Times New Roman" w:hAnsi="Times New Roman"/>
                      <w:color w:val="auto"/>
                      <w:kern w:val="0"/>
                      <w:lang w:val="en-US" w:eastAsia="zh-CN"/>
                    </w:rPr>
                    <w:t>新建、扩建工业园区。</w:t>
                  </w:r>
                </w:p>
              </w:tc>
              <w:tc>
                <w:tcPr>
                  <w:tcW w:w="560" w:type="pct"/>
                  <w:noWrap w:val="0"/>
                  <w:vAlign w:val="center"/>
                </w:tcPr>
                <w:p w14:paraId="7A5D7D1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不涉及</w:t>
                  </w:r>
                </w:p>
              </w:tc>
            </w:tr>
            <w:tr w14:paraId="6E0DF9D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5D84890D">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lang w:val="en-US" w:eastAsia="zh-CN"/>
                    </w:rPr>
                    <w:t>（二）新建、扩建重点水污染物排放的工业项目；</w:t>
                  </w:r>
                </w:p>
              </w:tc>
              <w:tc>
                <w:tcPr>
                  <w:tcW w:w="2731" w:type="pct"/>
                  <w:noWrap w:val="0"/>
                  <w:vAlign w:val="center"/>
                </w:tcPr>
                <w:p w14:paraId="1E8C6606">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val="en-US" w:eastAsia="zh-CN"/>
                    </w:rPr>
                    <w:t>不属于重点水污染物排放的工业项目。</w:t>
                  </w:r>
                </w:p>
              </w:tc>
              <w:tc>
                <w:tcPr>
                  <w:tcW w:w="560" w:type="pct"/>
                  <w:noWrap w:val="0"/>
                  <w:vAlign w:val="center"/>
                </w:tcPr>
                <w:p w14:paraId="67EBC04A">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不涉及</w:t>
                  </w:r>
                </w:p>
              </w:tc>
            </w:tr>
            <w:tr w14:paraId="19415A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0A31721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lang w:val="en-US" w:eastAsia="zh-CN"/>
                    </w:rPr>
                    <w:t>（三）新建、改建、扩建经营性陵园、公墓。</w:t>
                  </w:r>
                </w:p>
              </w:tc>
              <w:tc>
                <w:tcPr>
                  <w:tcW w:w="2731" w:type="pct"/>
                  <w:noWrap w:val="0"/>
                  <w:vAlign w:val="center"/>
                </w:tcPr>
                <w:p w14:paraId="5BA3903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lang w:eastAsia="zh-CN"/>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eastAsia="zh-CN"/>
                    </w:rPr>
                    <w:t>不属于</w:t>
                  </w:r>
                  <w:r>
                    <w:rPr>
                      <w:rFonts w:hint="eastAsia" w:ascii="Times New Roman" w:hAnsi="Times New Roman"/>
                      <w:color w:val="auto"/>
                      <w:kern w:val="0"/>
                      <w:lang w:val="en-US" w:eastAsia="zh-CN"/>
                    </w:rPr>
                    <w:t>陵园、公墓。</w:t>
                  </w:r>
                </w:p>
              </w:tc>
              <w:tc>
                <w:tcPr>
                  <w:tcW w:w="560" w:type="pct"/>
                  <w:noWrap w:val="0"/>
                  <w:vAlign w:val="center"/>
                </w:tcPr>
                <w:p w14:paraId="2261E15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color w:val="auto"/>
                      <w:kern w:val="0"/>
                    </w:rPr>
                    <w:t>不涉及</w:t>
                  </w:r>
                </w:p>
              </w:tc>
            </w:tr>
            <w:tr w14:paraId="39CE339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774BB7B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rPr>
                  </w:pPr>
                  <w:r>
                    <w:rPr>
                      <w:rFonts w:hint="eastAsia" w:ascii="Times New Roman" w:hAnsi="Times New Roman"/>
                      <w:b/>
                      <w:bCs/>
                      <w:color w:val="auto"/>
                      <w:kern w:val="0"/>
                      <w:lang w:val="en-US" w:eastAsia="zh-CN"/>
                    </w:rPr>
                    <w:t>水源保护核心区内除重点污染控制区、重点水源涵养区禁止的行为外，还禁止下列行为：</w:t>
                  </w:r>
                </w:p>
              </w:tc>
            </w:tr>
            <w:tr w14:paraId="4694B44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74AF4B7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（一）新建、改建、扩建排污口；</w:t>
                  </w:r>
                </w:p>
              </w:tc>
              <w:tc>
                <w:tcPr>
                  <w:tcW w:w="2731" w:type="pct"/>
                  <w:noWrap w:val="0"/>
                  <w:vAlign w:val="center"/>
                </w:tcPr>
                <w:p w14:paraId="1F9003B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lang w:eastAsia="zh-CN"/>
                    </w:rPr>
                    <w:t>项目</w:t>
                  </w:r>
                  <w:r>
                    <w:rPr>
                      <w:rFonts w:hint="eastAsia" w:ascii="Times New Roman" w:hAnsi="Times New Roman"/>
                      <w:color w:val="auto"/>
                      <w:kern w:val="0"/>
                    </w:rPr>
                    <w:t>运营期</w:t>
                  </w:r>
                  <w:r>
                    <w:rPr>
                      <w:rFonts w:hint="eastAsia" w:ascii="Times New Roman" w:hAnsi="Times New Roman"/>
                      <w:color w:val="auto"/>
                      <w:kern w:val="0"/>
                      <w:lang w:eastAsia="zh-CN"/>
                    </w:rPr>
                    <w:t>光伏区</w:t>
                  </w:r>
                  <w:r>
                    <w:rPr>
                      <w:rFonts w:hint="eastAsia" w:ascii="Times New Roman" w:hAnsi="Times New Roman"/>
                      <w:color w:val="auto"/>
                      <w:kern w:val="0"/>
                    </w:rPr>
                    <w:t>少量的光伏组件清洗废水</w:t>
                  </w:r>
                  <w:r>
                    <w:rPr>
                      <w:rFonts w:hint="eastAsia"/>
                      <w:color w:val="auto"/>
                      <w:kern w:val="0"/>
                      <w:lang w:eastAsia="zh-CN"/>
                    </w:rPr>
                    <w:t>，</w:t>
                  </w:r>
                  <w:r>
                    <w:rPr>
                      <w:rFonts w:hint="eastAsia"/>
                      <w:color w:val="auto"/>
                      <w:kern w:val="0"/>
                      <w:sz w:val="21"/>
                      <w:szCs w:val="21"/>
                      <w:lang w:val="en-US" w:eastAsia="zh-CN"/>
                    </w:rPr>
                    <w:t>该废水</w:t>
                  </w:r>
                  <w:r>
                    <w:rPr>
                      <w:rFonts w:hint="eastAsia"/>
                      <w:color w:val="auto"/>
                      <w:sz w:val="21"/>
                      <w:szCs w:val="21"/>
                    </w:rPr>
                    <w:t>无特殊污染物，主要为SS</w:t>
                  </w:r>
                  <w:r>
                    <w:rPr>
                      <w:rFonts w:hint="eastAsia"/>
                      <w:color w:val="auto"/>
                      <w:sz w:val="21"/>
                      <w:szCs w:val="21"/>
                      <w:lang w:eastAsia="zh-CN"/>
                    </w:rPr>
                    <w:t>，</w:t>
                  </w:r>
                  <w:r>
                    <w:rPr>
                      <w:rFonts w:hint="eastAsia" w:ascii="Times New Roman" w:hAnsi="Times New Roman"/>
                      <w:color w:val="auto"/>
                      <w:kern w:val="0"/>
                      <w:sz w:val="21"/>
                      <w:szCs w:val="21"/>
                    </w:rPr>
                    <w:t>用于板下</w:t>
                  </w:r>
                  <w:r>
                    <w:rPr>
                      <w:rFonts w:hint="eastAsia"/>
                      <w:color w:val="auto"/>
                      <w:kern w:val="0"/>
                      <w:sz w:val="21"/>
                      <w:szCs w:val="21"/>
                      <w:lang w:val="en-US" w:eastAsia="zh-CN"/>
                    </w:rPr>
                    <w:t>林草植被</w:t>
                  </w:r>
                  <w:r>
                    <w:rPr>
                      <w:rFonts w:hint="eastAsia" w:ascii="Times New Roman" w:hAnsi="Times New Roman"/>
                      <w:color w:val="auto"/>
                      <w:kern w:val="0"/>
                      <w:sz w:val="21"/>
                      <w:szCs w:val="21"/>
                    </w:rPr>
                    <w:t>浇洒</w:t>
                  </w:r>
                  <w:r>
                    <w:rPr>
                      <w:rFonts w:hint="eastAsia" w:ascii="Times New Roman" w:hAnsi="Times New Roman"/>
                      <w:color w:val="auto"/>
                      <w:kern w:val="0"/>
                    </w:rPr>
                    <w:t>，不外排</w:t>
                  </w:r>
                  <w:r>
                    <w:rPr>
                      <w:rFonts w:hint="eastAsia" w:ascii="Times New Roman" w:hAnsi="Times New Roman"/>
                      <w:color w:val="auto"/>
                      <w:kern w:val="0"/>
                      <w:lang w:eastAsia="zh-CN"/>
                    </w:rPr>
                    <w:t>，无</w:t>
                  </w:r>
                  <w:r>
                    <w:rPr>
                      <w:rFonts w:hint="eastAsia" w:ascii="Times New Roman" w:hAnsi="Times New Roman"/>
                      <w:color w:val="auto"/>
                      <w:kern w:val="0"/>
                      <w:lang w:val="en-US" w:eastAsia="zh-CN"/>
                    </w:rPr>
                    <w:t>新建、改建、扩建排污口。</w:t>
                  </w:r>
                </w:p>
              </w:tc>
              <w:tc>
                <w:tcPr>
                  <w:tcW w:w="560" w:type="pct"/>
                  <w:noWrap w:val="0"/>
                  <w:vAlign w:val="center"/>
                </w:tcPr>
                <w:p w14:paraId="1CA2989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7869CEA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48B3DA96">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（二）围河造地、围垦河道；</w:t>
                  </w:r>
                </w:p>
              </w:tc>
              <w:tc>
                <w:tcPr>
                  <w:tcW w:w="2731" w:type="pct"/>
                  <w:noWrap w:val="0"/>
                  <w:vAlign w:val="center"/>
                </w:tcPr>
                <w:p w14:paraId="34A527A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eastAsia="zh-CN"/>
                    </w:rPr>
                    <w:t>不涉及</w:t>
                  </w:r>
                  <w:r>
                    <w:rPr>
                      <w:rFonts w:hint="eastAsia" w:ascii="Times New Roman" w:hAnsi="Times New Roman"/>
                      <w:color w:val="auto"/>
                      <w:kern w:val="0"/>
                      <w:lang w:val="en-US" w:eastAsia="zh-CN"/>
                    </w:rPr>
                    <w:t>围河造地、围垦河道。</w:t>
                  </w:r>
                </w:p>
              </w:tc>
              <w:tc>
                <w:tcPr>
                  <w:tcW w:w="560" w:type="pct"/>
                  <w:noWrap w:val="0"/>
                  <w:vAlign w:val="center"/>
                </w:tcPr>
                <w:p w14:paraId="2904D66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488AC27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0E305DEE">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（三）围堰、围网、网箱养殖；</w:t>
                  </w:r>
                </w:p>
              </w:tc>
              <w:tc>
                <w:tcPr>
                  <w:tcW w:w="2731" w:type="pct"/>
                  <w:noWrap w:val="0"/>
                  <w:vAlign w:val="center"/>
                </w:tcPr>
                <w:p w14:paraId="2ED88A4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lang w:eastAsia="zh-CN"/>
                    </w:rPr>
                    <w:t>不涉及</w:t>
                  </w:r>
                  <w:r>
                    <w:rPr>
                      <w:rFonts w:hint="eastAsia" w:ascii="Times New Roman" w:hAnsi="Times New Roman"/>
                      <w:color w:val="auto"/>
                      <w:kern w:val="0"/>
                      <w:lang w:val="en-US" w:eastAsia="zh-CN"/>
                    </w:rPr>
                    <w:t>围堰、围网、网箱养殖。</w:t>
                  </w:r>
                </w:p>
              </w:tc>
              <w:tc>
                <w:tcPr>
                  <w:tcW w:w="560" w:type="pct"/>
                  <w:noWrap w:val="0"/>
                  <w:vAlign w:val="center"/>
                </w:tcPr>
                <w:p w14:paraId="08780378">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510C43D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68F017DE">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（四）规模化畜禽养殖；</w:t>
                  </w:r>
                </w:p>
              </w:tc>
              <w:tc>
                <w:tcPr>
                  <w:tcW w:w="2731" w:type="pct"/>
                  <w:noWrap w:val="0"/>
                  <w:vAlign w:val="center"/>
                </w:tcPr>
                <w:p w14:paraId="3621966D">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eastAsia="zh-CN"/>
                    </w:rPr>
                    <w:t>本次评价内容不涉及</w:t>
                  </w:r>
                  <w:r>
                    <w:rPr>
                      <w:rFonts w:hint="eastAsia" w:ascii="Times New Roman" w:hAnsi="Times New Roman"/>
                      <w:color w:val="auto"/>
                      <w:kern w:val="0"/>
                      <w:lang w:val="en-US" w:eastAsia="zh-CN"/>
                    </w:rPr>
                    <w:t>畜禽养殖。</w:t>
                  </w:r>
                </w:p>
              </w:tc>
              <w:tc>
                <w:tcPr>
                  <w:tcW w:w="560" w:type="pct"/>
                  <w:noWrap w:val="0"/>
                  <w:vAlign w:val="center"/>
                </w:tcPr>
                <w:p w14:paraId="5B37A147">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2B192D0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54F4E36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（五）损毁水利、水文、科研、气象、测量、环境监测等设施设备；</w:t>
                  </w:r>
                </w:p>
              </w:tc>
              <w:tc>
                <w:tcPr>
                  <w:tcW w:w="2731" w:type="pct"/>
                  <w:noWrap w:val="0"/>
                  <w:vAlign w:val="center"/>
                </w:tcPr>
                <w:p w14:paraId="5F4F62B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lang w:eastAsia="zh-CN"/>
                    </w:rPr>
                    <w:t>项目占地范围不涉及</w:t>
                  </w:r>
                  <w:r>
                    <w:rPr>
                      <w:rFonts w:hint="eastAsia" w:ascii="Times New Roman" w:hAnsi="Times New Roman"/>
                      <w:color w:val="auto"/>
                      <w:kern w:val="0"/>
                      <w:lang w:val="en-US" w:eastAsia="zh-CN"/>
                    </w:rPr>
                    <w:t>水利、水文、科研、气象、测量、环境监测等设施设备，并在</w:t>
                  </w:r>
                  <w:r>
                    <w:rPr>
                      <w:rFonts w:hint="eastAsia" w:ascii="Times New Roman" w:hAnsi="Times New Roman"/>
                      <w:color w:val="auto"/>
                      <w:kern w:val="0"/>
                      <w:lang w:eastAsia="zh-CN"/>
                    </w:rPr>
                    <w:t>建设过程中注意避让</w:t>
                  </w:r>
                  <w:r>
                    <w:rPr>
                      <w:rFonts w:hint="eastAsia" w:ascii="Times New Roman" w:hAnsi="Times New Roman"/>
                      <w:color w:val="auto"/>
                      <w:kern w:val="0"/>
                      <w:lang w:val="en-US" w:eastAsia="zh-CN"/>
                    </w:rPr>
                    <w:t>。</w:t>
                  </w:r>
                </w:p>
              </w:tc>
              <w:tc>
                <w:tcPr>
                  <w:tcW w:w="560" w:type="pct"/>
                  <w:noWrap w:val="0"/>
                  <w:vAlign w:val="center"/>
                </w:tcPr>
                <w:p w14:paraId="5116EA5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r w14:paraId="77A2E81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708" w:type="pct"/>
                  <w:noWrap w:val="0"/>
                  <w:vAlign w:val="center"/>
                </w:tcPr>
                <w:p w14:paraId="3709E14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lang w:val="en-US" w:eastAsia="zh-CN"/>
                    </w:rPr>
                    <w:t>（六）挖砂、采石、取土、采矿。</w:t>
                  </w:r>
                </w:p>
              </w:tc>
              <w:tc>
                <w:tcPr>
                  <w:tcW w:w="2731" w:type="pct"/>
                  <w:noWrap w:val="0"/>
                  <w:vAlign w:val="center"/>
                </w:tcPr>
                <w:p w14:paraId="0302A98A">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lang w:val="en-US" w:eastAsia="zh-CN" w:bidi="ar-SA"/>
                    </w:rPr>
                  </w:pPr>
                  <w:r>
                    <w:rPr>
                      <w:rFonts w:hint="eastAsia" w:ascii="Times New Roman" w:hAnsi="Times New Roman"/>
                      <w:color w:val="auto"/>
                      <w:kern w:val="0"/>
                    </w:rPr>
                    <w:t>本项目为</w:t>
                  </w:r>
                  <w:r>
                    <w:rPr>
                      <w:rFonts w:hint="eastAsia" w:ascii="Times New Roman" w:hAnsi="Times New Roman"/>
                      <w:color w:val="auto"/>
                      <w:kern w:val="0"/>
                      <w:lang w:eastAsia="zh-CN"/>
                    </w:rPr>
                    <w:t>光伏发电</w:t>
                  </w:r>
                  <w:r>
                    <w:rPr>
                      <w:rFonts w:hint="eastAsia" w:ascii="Times New Roman" w:hAnsi="Times New Roman"/>
                      <w:color w:val="auto"/>
                      <w:kern w:val="0"/>
                    </w:rPr>
                    <w:t>项目，</w:t>
                  </w:r>
                  <w:r>
                    <w:rPr>
                      <w:rFonts w:hint="eastAsia" w:ascii="Times New Roman" w:hAnsi="Times New Roman"/>
                      <w:color w:val="auto"/>
                      <w:kern w:val="0"/>
                      <w:lang w:eastAsia="zh-CN"/>
                    </w:rPr>
                    <w:t>不涉及采矿，施工</w:t>
                  </w:r>
                  <w:r>
                    <w:rPr>
                      <w:rFonts w:hint="eastAsia" w:ascii="Times New Roman" w:hAnsi="Times New Roman"/>
                      <w:color w:val="auto"/>
                      <w:kern w:val="0"/>
                    </w:rPr>
                    <w:t>砂石骨料</w:t>
                  </w:r>
                  <w:r>
                    <w:rPr>
                      <w:rFonts w:hint="eastAsia" w:ascii="Times New Roman" w:hAnsi="Times New Roman"/>
                      <w:color w:val="auto"/>
                      <w:kern w:val="0"/>
                      <w:lang w:eastAsia="zh-CN"/>
                    </w:rPr>
                    <w:t>全部</w:t>
                  </w:r>
                  <w:r>
                    <w:rPr>
                      <w:rFonts w:hint="eastAsia" w:ascii="Times New Roman" w:hAnsi="Times New Roman"/>
                      <w:color w:val="auto"/>
                      <w:kern w:val="0"/>
                    </w:rPr>
                    <w:t>外购，不设置取料场</w:t>
                  </w:r>
                  <w:r>
                    <w:rPr>
                      <w:rFonts w:hint="eastAsia" w:ascii="Times New Roman" w:hAnsi="Times New Roman"/>
                      <w:color w:val="auto"/>
                      <w:kern w:val="0"/>
                      <w:lang w:eastAsia="zh-CN"/>
                    </w:rPr>
                    <w:t>、取土场，不会有</w:t>
                  </w:r>
                  <w:r>
                    <w:rPr>
                      <w:rFonts w:hint="eastAsia" w:ascii="Times New Roman" w:hAnsi="Times New Roman"/>
                      <w:color w:val="auto"/>
                      <w:kern w:val="0"/>
                      <w:lang w:val="en-US" w:eastAsia="zh-CN"/>
                    </w:rPr>
                    <w:t>挖砂、采石、取土行为。</w:t>
                  </w:r>
                </w:p>
              </w:tc>
              <w:tc>
                <w:tcPr>
                  <w:tcW w:w="560" w:type="pct"/>
                  <w:noWrap w:val="0"/>
                  <w:vAlign w:val="center"/>
                </w:tcPr>
                <w:p w14:paraId="5AFB0BD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lang w:val="en-US" w:eastAsia="zh-CN" w:bidi="ar-SA"/>
                    </w:rPr>
                  </w:pPr>
                  <w:r>
                    <w:rPr>
                      <w:rFonts w:hint="eastAsia" w:ascii="Times New Roman" w:hAnsi="Times New Roman"/>
                      <w:color w:val="auto"/>
                      <w:kern w:val="0"/>
                    </w:rPr>
                    <w:t>不涉及</w:t>
                  </w:r>
                </w:p>
              </w:tc>
            </w:tr>
          </w:tbl>
          <w:p w14:paraId="6D5677B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textAlignment w:val="auto"/>
              <w:rPr>
                <w:rFonts w:hint="default" w:ascii="Times New Roman" w:hAnsi="Times New Roman"/>
                <w:color w:val="auto"/>
                <w:sz w:val="24"/>
                <w:szCs w:val="20"/>
              </w:rPr>
            </w:pPr>
            <w:r>
              <w:rPr>
                <w:rFonts w:hint="eastAsia" w:ascii="Times New Roman" w:hAnsi="Times New Roman"/>
                <w:color w:val="auto"/>
                <w:sz w:val="24"/>
                <w:szCs w:val="20"/>
              </w:rPr>
              <w:t>本项目</w:t>
            </w:r>
            <w:r>
              <w:rPr>
                <w:rFonts w:hint="eastAsia" w:ascii="Times New Roman" w:hAnsi="Times New Roman" w:cs="Times New Roman"/>
                <w:color w:val="auto"/>
                <w:sz w:val="24"/>
                <w:szCs w:val="20"/>
              </w:rPr>
              <w:t>为</w:t>
            </w:r>
            <w:r>
              <w:rPr>
                <w:rFonts w:hint="eastAsia" w:ascii="Times New Roman" w:hAnsi="Times New Roman" w:cs="Times New Roman"/>
                <w:color w:val="auto"/>
                <w:sz w:val="24"/>
                <w:szCs w:val="20"/>
                <w:lang w:eastAsia="zh-CN"/>
              </w:rPr>
              <w:t>光伏发电</w:t>
            </w:r>
            <w:r>
              <w:rPr>
                <w:rFonts w:hint="eastAsia" w:ascii="Times New Roman" w:hAnsi="Times New Roman" w:cs="Times New Roman"/>
                <w:color w:val="auto"/>
                <w:sz w:val="24"/>
                <w:szCs w:val="20"/>
              </w:rPr>
              <w:t>项目，</w:t>
            </w:r>
            <w:r>
              <w:rPr>
                <w:rFonts w:hint="eastAsia" w:ascii="Times New Roman" w:hAnsi="Times New Roman"/>
                <w:color w:val="auto"/>
                <w:sz w:val="24"/>
                <w:szCs w:val="20"/>
              </w:rPr>
              <w:t>由上表可知项目建设不违反《云南省牛栏江保护条例》的有关规定</w:t>
            </w:r>
            <w:r>
              <w:rPr>
                <w:rFonts w:hint="default" w:ascii="Times New Roman" w:hAnsi="Times New Roman"/>
                <w:color w:val="auto"/>
                <w:sz w:val="24"/>
                <w:szCs w:val="20"/>
              </w:rPr>
              <w:t>。</w:t>
            </w:r>
          </w:p>
          <w:p w14:paraId="66F5E3C4">
            <w:pPr>
              <w:keepNext/>
              <w:keepLines/>
              <w:suppressLineNumbers w:val="0"/>
              <w:spacing w:before="0" w:beforeAutospacing="0" w:after="0" w:afterAutospacing="0" w:line="360" w:lineRule="auto"/>
              <w:ind w:left="0" w:right="0" w:firstLine="482" w:firstLineChars="200"/>
              <w:outlineLvl w:val="2"/>
              <w:rPr>
                <w:rFonts w:hint="eastAsia" w:ascii="Times New Roman" w:hAnsi="Times New Roman"/>
                <w:b/>
                <w:bCs/>
                <w:color w:val="auto"/>
                <w:kern w:val="0"/>
                <w:sz w:val="24"/>
              </w:rPr>
            </w:pPr>
            <w:bookmarkStart w:id="16" w:name="_Toc3343"/>
            <w:r>
              <w:rPr>
                <w:rFonts w:hint="eastAsia"/>
                <w:b/>
                <w:bCs/>
                <w:color w:val="auto"/>
                <w:sz w:val="24"/>
                <w:lang w:val="en-US" w:eastAsia="zh-CN"/>
              </w:rPr>
              <w:t>10</w:t>
            </w:r>
            <w:r>
              <w:rPr>
                <w:rFonts w:hint="eastAsia" w:ascii="Times New Roman" w:hAnsi="Times New Roman"/>
                <w:b/>
                <w:bCs/>
                <w:color w:val="auto"/>
                <w:sz w:val="24"/>
              </w:rPr>
              <w:t>、与</w:t>
            </w:r>
            <w:r>
              <w:rPr>
                <w:rFonts w:hint="eastAsia" w:ascii="Times New Roman" w:hAnsi="Times New Roman"/>
                <w:b/>
                <w:bCs/>
                <w:color w:val="auto"/>
                <w:kern w:val="0"/>
                <w:sz w:val="24"/>
              </w:rPr>
              <w:t>《</w:t>
            </w:r>
            <w:r>
              <w:rPr>
                <w:rFonts w:hint="eastAsia" w:ascii="Times New Roman" w:hAnsi="Times New Roman"/>
                <w:b/>
                <w:bCs/>
                <w:color w:val="auto"/>
                <w:kern w:val="0"/>
                <w:sz w:val="24"/>
                <w:lang w:val="en-US" w:eastAsia="zh-CN"/>
              </w:rPr>
              <w:t>牛栏江流域（云南部分）水环境保护规划</w:t>
            </w:r>
            <w:r>
              <w:rPr>
                <w:rFonts w:hint="eastAsia" w:ascii="Times New Roman" w:hAnsi="Times New Roman"/>
                <w:b/>
                <w:bCs/>
                <w:color w:val="auto"/>
                <w:kern w:val="0"/>
                <w:sz w:val="24"/>
              </w:rPr>
              <w:t>》的符合性分析</w:t>
            </w:r>
            <w:bookmarkEnd w:id="16"/>
          </w:p>
          <w:p w14:paraId="697EEE6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根据“牛栏江流域（云南部分）水环境保护规划（2009-2030年）”中第十条水环境保护分区：将牛栏江流域（云南段）划分为牛栏江德泽水库以上水环境重点保护区（调水水源区）和牛栏江德泽水库以下生态环境保护区（下游区）。其中，调水水源区（I区）分为水源保护核心区（I1区）、重点污染控制区（I2区）、水源涵养区（I3区）；下游区（II区）分为污染控制区（IIl区）和水源涵养区（II2区）。根据县（市、区）界限，分10个污染控制单元。</w:t>
            </w:r>
          </w:p>
          <w:p w14:paraId="4BDDEE2F">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根据牛栏江流域调水水源区水环境保护分区情况，本项目位于牛栏江德泽水库以上水环境重点保护区（调水水源区），</w:t>
            </w:r>
            <w:r>
              <w:rPr>
                <w:rFonts w:hint="eastAsia"/>
                <w:b w:val="0"/>
                <w:bCs w:val="0"/>
                <w:color w:val="auto"/>
                <w:kern w:val="0"/>
                <w:sz w:val="24"/>
                <w:highlight w:val="none"/>
              </w:rPr>
              <w:t>按照划分区域，处于“规划”中的水源涵养区（I</w:t>
            </w:r>
            <w:r>
              <w:rPr>
                <w:rFonts w:hint="eastAsia"/>
                <w:b w:val="0"/>
                <w:bCs w:val="0"/>
                <w:color w:val="auto"/>
                <w:kern w:val="0"/>
                <w:sz w:val="24"/>
                <w:highlight w:val="none"/>
                <w:lang w:val="en-US" w:eastAsia="zh-CN"/>
              </w:rPr>
              <w:t>3</w:t>
            </w:r>
            <w:r>
              <w:rPr>
                <w:rFonts w:hint="eastAsia"/>
                <w:b w:val="0"/>
                <w:bCs w:val="0"/>
                <w:color w:val="auto"/>
                <w:kern w:val="0"/>
                <w:sz w:val="24"/>
                <w:highlight w:val="none"/>
              </w:rPr>
              <w:t>区）。</w:t>
            </w:r>
          </w:p>
          <w:p w14:paraId="5A447A1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rPr>
            </w:pPr>
            <w:r>
              <w:rPr>
                <w:rFonts w:hint="eastAsia"/>
                <w:b w:val="0"/>
                <w:bCs w:val="0"/>
                <w:color w:val="auto"/>
                <w:kern w:val="0"/>
                <w:sz w:val="24"/>
              </w:rPr>
              <w:t>根据牛栏江流域（云南部分）水环境保护规划（2009-2030年）调水水源区水污染源治理规划方案，现将本项目符合性分析如下：</w:t>
            </w:r>
          </w:p>
          <w:p w14:paraId="25CDA9A2">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rPr>
            </w:pPr>
            <w:r>
              <w:rPr>
                <w:rFonts w:hint="eastAsia"/>
                <w:b/>
                <w:bCs/>
                <w:color w:val="auto"/>
                <w:kern w:val="0"/>
                <w:sz w:val="21"/>
                <w:szCs w:val="21"/>
              </w:rPr>
              <w:t>表1-</w:t>
            </w:r>
            <w:r>
              <w:rPr>
                <w:rFonts w:hint="eastAsia"/>
                <w:b/>
                <w:bCs/>
                <w:color w:val="auto"/>
                <w:kern w:val="0"/>
                <w:sz w:val="21"/>
                <w:szCs w:val="21"/>
                <w:lang w:val="en-US" w:eastAsia="zh-CN"/>
              </w:rPr>
              <w:t>10</w:t>
            </w:r>
            <w:r>
              <w:rPr>
                <w:rFonts w:hint="eastAsia"/>
                <w:b/>
                <w:bCs/>
                <w:color w:val="auto"/>
                <w:kern w:val="0"/>
                <w:sz w:val="21"/>
                <w:szCs w:val="21"/>
              </w:rPr>
              <w:t xml:space="preserve"> 项目与《牛栏江流域（云南部分）水环境保护规划（2009-2030年）》符合性分析</w:t>
            </w:r>
          </w:p>
          <w:tbl>
            <w:tblPr>
              <w:tblStyle w:val="43"/>
              <w:tblW w:w="0" w:type="auto"/>
              <w:tblInd w:w="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2763"/>
              <w:gridCol w:w="2960"/>
              <w:gridCol w:w="843"/>
            </w:tblGrid>
            <w:tr w14:paraId="4017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6" w:type="dxa"/>
                  <w:vAlign w:val="center"/>
                </w:tcPr>
                <w:p w14:paraId="0CA05800">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auto"/>
                      <w:kern w:val="0"/>
                      <w:sz w:val="21"/>
                      <w:szCs w:val="21"/>
                      <w:vertAlign w:val="baseline"/>
                      <w:lang w:val="en-US" w:eastAsia="zh-CN"/>
                    </w:rPr>
                  </w:pPr>
                  <w:r>
                    <w:rPr>
                      <w:rFonts w:hint="eastAsia"/>
                      <w:b/>
                      <w:bCs/>
                      <w:color w:val="auto"/>
                      <w:kern w:val="0"/>
                      <w:sz w:val="21"/>
                      <w:szCs w:val="21"/>
                      <w:vertAlign w:val="baseline"/>
                      <w:lang w:val="en-US" w:eastAsia="zh-CN"/>
                    </w:rPr>
                    <w:t>序号</w:t>
                  </w:r>
                </w:p>
              </w:tc>
              <w:tc>
                <w:tcPr>
                  <w:tcW w:w="2763" w:type="dxa"/>
                  <w:vAlign w:val="center"/>
                </w:tcPr>
                <w:p w14:paraId="5A338730">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vertAlign w:val="baseline"/>
                    </w:rPr>
                  </w:pPr>
                  <w:r>
                    <w:rPr>
                      <w:rFonts w:hint="eastAsia"/>
                      <w:b/>
                      <w:bCs/>
                      <w:color w:val="auto"/>
                      <w:kern w:val="0"/>
                      <w:sz w:val="21"/>
                      <w:szCs w:val="21"/>
                      <w:vertAlign w:val="baseline"/>
                    </w:rPr>
                    <w:t>规划要求</w:t>
                  </w:r>
                </w:p>
              </w:tc>
              <w:tc>
                <w:tcPr>
                  <w:tcW w:w="2960" w:type="dxa"/>
                  <w:vAlign w:val="center"/>
                </w:tcPr>
                <w:p w14:paraId="6BDE1ED4">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vertAlign w:val="baseline"/>
                    </w:rPr>
                  </w:pPr>
                  <w:r>
                    <w:rPr>
                      <w:rFonts w:hint="eastAsia"/>
                      <w:b/>
                      <w:bCs/>
                      <w:color w:val="auto"/>
                      <w:kern w:val="0"/>
                      <w:sz w:val="21"/>
                      <w:szCs w:val="21"/>
                      <w:vertAlign w:val="baseline"/>
                    </w:rPr>
                    <w:t>项目情况</w:t>
                  </w:r>
                </w:p>
              </w:tc>
              <w:tc>
                <w:tcPr>
                  <w:tcW w:w="843" w:type="dxa"/>
                  <w:vAlign w:val="center"/>
                </w:tcPr>
                <w:p w14:paraId="5412A7E8">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vertAlign w:val="baseline"/>
                    </w:rPr>
                  </w:pPr>
                  <w:r>
                    <w:rPr>
                      <w:rFonts w:hint="eastAsia"/>
                      <w:b/>
                      <w:bCs/>
                      <w:color w:val="auto"/>
                      <w:kern w:val="0"/>
                      <w:sz w:val="21"/>
                      <w:szCs w:val="21"/>
                      <w:vertAlign w:val="baseline"/>
                    </w:rPr>
                    <w:t>符合性</w:t>
                  </w:r>
                </w:p>
              </w:tc>
            </w:tr>
            <w:tr w14:paraId="27BE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B8A08C0">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w:t>
                  </w:r>
                </w:p>
              </w:tc>
              <w:tc>
                <w:tcPr>
                  <w:tcW w:w="2763" w:type="dxa"/>
                </w:tcPr>
                <w:p w14:paraId="16E7E0F7">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落实国家产业政策和有关环保政策，实现主要废水排放企业的“零排放”，到2012年12月31日，实现牛栏江调水水源区工业废水的零排放。在调水水源区，通过贯彻落实国家产业政策大检查和环保设施专项检查、强制清洁生产审核等措施，确保实现园区和企业废水的零排放。</w:t>
                  </w:r>
                </w:p>
              </w:tc>
              <w:tc>
                <w:tcPr>
                  <w:tcW w:w="2960" w:type="dxa"/>
                  <w:vAlign w:val="center"/>
                </w:tcPr>
                <w:p w14:paraId="7673112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vertAlign w:val="baseline"/>
                      <w:lang w:eastAsia="zh-CN"/>
                    </w:rPr>
                  </w:pPr>
                  <w:r>
                    <w:rPr>
                      <w:rFonts w:hint="eastAsia"/>
                      <w:color w:val="auto"/>
                      <w:szCs w:val="21"/>
                    </w:rPr>
                    <w:t>项目</w:t>
                  </w:r>
                  <w:r>
                    <w:rPr>
                      <w:rFonts w:hint="eastAsia"/>
                      <w:color w:val="auto"/>
                      <w:szCs w:val="21"/>
                      <w:lang w:val="en-US" w:eastAsia="zh-CN"/>
                    </w:rPr>
                    <w:t>运营期无生活污水</w:t>
                  </w:r>
                  <w:r>
                    <w:rPr>
                      <w:rFonts w:hint="eastAsia"/>
                      <w:color w:val="auto"/>
                      <w:kern w:val="0"/>
                      <w:szCs w:val="21"/>
                    </w:rPr>
                    <w:t>。清</w:t>
                  </w:r>
                  <w:r>
                    <w:rPr>
                      <w:rFonts w:hint="eastAsia"/>
                      <w:color w:val="auto"/>
                      <w:kern w:val="0"/>
                      <w:szCs w:val="21"/>
                      <w:lang w:val="en-US" w:eastAsia="zh-CN"/>
                    </w:rPr>
                    <w:t>洁</w:t>
                  </w:r>
                  <w:r>
                    <w:rPr>
                      <w:rFonts w:hint="eastAsia"/>
                      <w:color w:val="auto"/>
                      <w:kern w:val="0"/>
                      <w:szCs w:val="21"/>
                    </w:rPr>
                    <w:t>废水直接作为植物的生长用水不外排</w:t>
                  </w:r>
                  <w:r>
                    <w:rPr>
                      <w:rFonts w:hint="eastAsia"/>
                      <w:color w:val="auto"/>
                      <w:kern w:val="0"/>
                      <w:szCs w:val="21"/>
                      <w:lang w:eastAsia="zh-CN"/>
                    </w:rPr>
                    <w:t>。</w:t>
                  </w:r>
                </w:p>
              </w:tc>
              <w:tc>
                <w:tcPr>
                  <w:tcW w:w="843" w:type="dxa"/>
                  <w:vAlign w:val="center"/>
                </w:tcPr>
                <w:p w14:paraId="25CED888">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相符</w:t>
                  </w:r>
                </w:p>
              </w:tc>
            </w:tr>
            <w:tr w14:paraId="1F6F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E5CF8FF">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2</w:t>
                  </w:r>
                </w:p>
              </w:tc>
              <w:tc>
                <w:tcPr>
                  <w:tcW w:w="2763" w:type="dxa"/>
                </w:tcPr>
                <w:p w14:paraId="644A288D">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严格工业企业环境管理，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COD、TN、TP排放量；新建、改建、扩建工业项目应采用先进的生产工艺和污染防治技术，其清洁生产水平应达到国家清洁生产标准中的国内先进水平。</w:t>
                  </w:r>
                </w:p>
              </w:tc>
              <w:tc>
                <w:tcPr>
                  <w:tcW w:w="2960" w:type="dxa"/>
                  <w:vAlign w:val="center"/>
                </w:tcPr>
                <w:p w14:paraId="2D744203">
                  <w:pPr>
                    <w:keepNext w:val="0"/>
                    <w:keepLines w:val="0"/>
                    <w:widowControl/>
                    <w:suppressLineNumbers w:val="0"/>
                    <w:spacing w:before="0" w:beforeAutospacing="0" w:after="0" w:afterAutospacing="0"/>
                    <w:ind w:left="0" w:right="0"/>
                    <w:jc w:val="both"/>
                    <w:rPr>
                      <w:rFonts w:hint="eastAsia" w:eastAsia="宋体"/>
                      <w:color w:val="auto"/>
                      <w:lang w:eastAsia="zh-CN"/>
                    </w:rPr>
                  </w:pPr>
                  <w:r>
                    <w:rPr>
                      <w:rFonts w:hint="eastAsia"/>
                      <w:color w:val="auto"/>
                      <w:sz w:val="21"/>
                      <w:szCs w:val="21"/>
                      <w:lang w:val="en-US" w:eastAsia="zh-CN"/>
                    </w:rPr>
                    <w:t>项目为光伏发电项目，根据《产业结构调整指导目录（</w:t>
                  </w:r>
                  <w:r>
                    <w:rPr>
                      <w:rFonts w:hint="default"/>
                      <w:color w:val="auto"/>
                      <w:sz w:val="21"/>
                      <w:szCs w:val="21"/>
                      <w:lang w:val="en-US" w:eastAsia="zh-CN"/>
                    </w:rPr>
                    <w:t>20</w:t>
                  </w:r>
                  <w:r>
                    <w:rPr>
                      <w:rFonts w:hint="eastAsia"/>
                      <w:color w:val="auto"/>
                      <w:sz w:val="21"/>
                      <w:szCs w:val="21"/>
                      <w:lang w:val="en-US" w:eastAsia="zh-CN"/>
                    </w:rPr>
                    <w:t>24年本）》中“第五项，新能源”中第2条，“可再生能源利用技术与应用：太阳能热发电集热系统、高效率低成本太阳能光伏发电技术研发与产业化、系统集成技术开发应用”，属于鼓励类项目，不属于</w:t>
                  </w:r>
                  <w:r>
                    <w:rPr>
                      <w:rFonts w:hint="eastAsia"/>
                      <w:b w:val="0"/>
                      <w:bCs w:val="0"/>
                      <w:color w:val="auto"/>
                      <w:kern w:val="0"/>
                      <w:sz w:val="21"/>
                      <w:szCs w:val="21"/>
                      <w:vertAlign w:val="baseline"/>
                    </w:rPr>
                    <w:t>钢铁、有色冶金、基础化工、农药、电镀、造纸制浆、制革、印染、石棉制品、土硫磺、土磷肥和染料等企业和项目</w:t>
                  </w:r>
                  <w:r>
                    <w:rPr>
                      <w:rFonts w:hint="eastAsia"/>
                      <w:b w:val="0"/>
                      <w:bCs w:val="0"/>
                      <w:color w:val="auto"/>
                      <w:kern w:val="0"/>
                      <w:sz w:val="21"/>
                      <w:szCs w:val="21"/>
                      <w:vertAlign w:val="baseline"/>
                      <w:lang w:eastAsia="zh-CN"/>
                    </w:rPr>
                    <w:t>。</w:t>
                  </w:r>
                </w:p>
                <w:p w14:paraId="54136EA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vertAlign w:val="baseline"/>
                      <w:lang w:eastAsia="zh-CN"/>
                    </w:rPr>
                  </w:pPr>
                  <w:r>
                    <w:rPr>
                      <w:rFonts w:hint="eastAsia"/>
                      <w:color w:val="auto"/>
                      <w:szCs w:val="21"/>
                    </w:rPr>
                    <w:t>项目</w:t>
                  </w:r>
                  <w:r>
                    <w:rPr>
                      <w:rFonts w:hint="eastAsia"/>
                      <w:color w:val="auto"/>
                      <w:kern w:val="0"/>
                      <w:szCs w:val="21"/>
                    </w:rPr>
                    <w:t>清</w:t>
                  </w:r>
                  <w:r>
                    <w:rPr>
                      <w:rFonts w:hint="eastAsia"/>
                      <w:color w:val="auto"/>
                      <w:kern w:val="0"/>
                      <w:szCs w:val="21"/>
                      <w:lang w:val="en-US" w:eastAsia="zh-CN"/>
                    </w:rPr>
                    <w:t>洁</w:t>
                  </w:r>
                  <w:r>
                    <w:rPr>
                      <w:rFonts w:hint="eastAsia"/>
                      <w:color w:val="auto"/>
                      <w:kern w:val="0"/>
                      <w:szCs w:val="21"/>
                    </w:rPr>
                    <w:t>废水直接作为植物的生长用水不外排</w:t>
                  </w:r>
                  <w:r>
                    <w:rPr>
                      <w:rFonts w:hint="eastAsia"/>
                      <w:color w:val="auto"/>
                      <w:kern w:val="0"/>
                      <w:szCs w:val="21"/>
                      <w:lang w:eastAsia="zh-CN"/>
                    </w:rPr>
                    <w:t>，</w:t>
                  </w:r>
                  <w:r>
                    <w:rPr>
                      <w:rFonts w:hint="eastAsia"/>
                      <w:b w:val="0"/>
                      <w:bCs w:val="0"/>
                      <w:color w:val="auto"/>
                      <w:kern w:val="0"/>
                      <w:sz w:val="21"/>
                      <w:szCs w:val="21"/>
                      <w:vertAlign w:val="baseline"/>
                    </w:rPr>
                    <w:t>其清洁生产水平应达到国家清洁生产标准中的国内先进水平</w:t>
                  </w:r>
                  <w:r>
                    <w:rPr>
                      <w:rFonts w:hint="eastAsia"/>
                      <w:b w:val="0"/>
                      <w:bCs w:val="0"/>
                      <w:color w:val="auto"/>
                      <w:kern w:val="0"/>
                      <w:sz w:val="21"/>
                      <w:szCs w:val="21"/>
                      <w:vertAlign w:val="baseline"/>
                      <w:lang w:eastAsia="zh-CN"/>
                    </w:rPr>
                    <w:t>。</w:t>
                  </w:r>
                </w:p>
              </w:tc>
              <w:tc>
                <w:tcPr>
                  <w:tcW w:w="843" w:type="dxa"/>
                  <w:vAlign w:val="center"/>
                </w:tcPr>
                <w:p w14:paraId="054EB15C">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rPr>
                  </w:pPr>
                  <w:r>
                    <w:rPr>
                      <w:rFonts w:hint="eastAsia"/>
                      <w:b w:val="0"/>
                      <w:bCs w:val="0"/>
                      <w:color w:val="auto"/>
                      <w:kern w:val="0"/>
                      <w:sz w:val="21"/>
                      <w:szCs w:val="21"/>
                      <w:vertAlign w:val="baseline"/>
                      <w:lang w:val="en-US" w:eastAsia="zh-CN"/>
                    </w:rPr>
                    <w:t>相符</w:t>
                  </w:r>
                </w:p>
              </w:tc>
            </w:tr>
            <w:tr w14:paraId="59C8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AEF2548">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3</w:t>
                  </w:r>
                </w:p>
              </w:tc>
              <w:tc>
                <w:tcPr>
                  <w:tcW w:w="2763" w:type="dxa"/>
                </w:tcPr>
                <w:p w14:paraId="79208B75">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严格工业固体废弃物管理，实现固体废弃物安全处置。调水水源区内所有排放固体废弃物的企业，按国家有关固体废弃物安全处置的要求，对现有固体废弃物堆场进行安全处置。</w:t>
                  </w:r>
                </w:p>
              </w:tc>
              <w:tc>
                <w:tcPr>
                  <w:tcW w:w="2960" w:type="dxa"/>
                </w:tcPr>
                <w:p w14:paraId="5671FE9B">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color w:val="auto"/>
                      <w:sz w:val="21"/>
                      <w:szCs w:val="21"/>
                      <w:lang w:val="en-US" w:eastAsia="zh-CN"/>
                    </w:rPr>
                    <w:t>项目</w:t>
                  </w:r>
                  <w:r>
                    <w:rPr>
                      <w:rFonts w:hint="default"/>
                      <w:color w:val="auto"/>
                      <w:sz w:val="21"/>
                      <w:szCs w:val="21"/>
                    </w:rPr>
                    <w:t>废电池板</w:t>
                  </w:r>
                  <w:r>
                    <w:rPr>
                      <w:rFonts w:hint="eastAsia"/>
                      <w:color w:val="auto"/>
                      <w:sz w:val="21"/>
                      <w:szCs w:val="21"/>
                      <w:lang w:eastAsia="zh-CN"/>
                    </w:rPr>
                    <w:t>、</w:t>
                  </w:r>
                  <w:r>
                    <w:rPr>
                      <w:rFonts w:hint="eastAsia"/>
                      <w:bCs/>
                      <w:color w:val="auto"/>
                      <w:sz w:val="21"/>
                      <w:szCs w:val="21"/>
                      <w:highlight w:val="none"/>
                      <w:lang w:val="en-US" w:eastAsia="zh-CN"/>
                    </w:rPr>
                    <w:t>废滤网、废逆变器</w:t>
                  </w:r>
                  <w:r>
                    <w:rPr>
                      <w:rFonts w:hint="eastAsia" w:hAnsi="宋体"/>
                      <w:color w:val="auto"/>
                      <w:sz w:val="21"/>
                      <w:szCs w:val="21"/>
                      <w:lang w:val="en-US" w:eastAsia="zh-CN"/>
                    </w:rPr>
                    <w:t>暂存于竹园沟光伏项目升压站一般固废暂存间，</w:t>
                  </w:r>
                  <w:r>
                    <w:rPr>
                      <w:rFonts w:hint="eastAsia"/>
                      <w:bCs/>
                      <w:color w:val="auto"/>
                      <w:sz w:val="21"/>
                      <w:szCs w:val="21"/>
                    </w:rPr>
                    <w:t>及时委托</w:t>
                  </w:r>
                  <w:r>
                    <w:rPr>
                      <w:rFonts w:hint="default"/>
                      <w:bCs/>
                      <w:color w:val="auto"/>
                      <w:sz w:val="21"/>
                      <w:szCs w:val="21"/>
                    </w:rPr>
                    <w:t>专业的回收厂家收购</w:t>
                  </w:r>
                  <w:r>
                    <w:rPr>
                      <w:rFonts w:hint="eastAsia"/>
                      <w:bCs/>
                      <w:color w:val="auto"/>
                      <w:sz w:val="21"/>
                      <w:szCs w:val="21"/>
                    </w:rPr>
                    <w:t>回收</w:t>
                  </w:r>
                  <w:r>
                    <w:rPr>
                      <w:rFonts w:hint="default"/>
                      <w:bCs/>
                      <w:color w:val="auto"/>
                      <w:sz w:val="21"/>
                      <w:szCs w:val="21"/>
                    </w:rPr>
                    <w:t>处理</w:t>
                  </w:r>
                  <w:r>
                    <w:rPr>
                      <w:rFonts w:hint="eastAsia"/>
                      <w:bCs/>
                      <w:color w:val="auto"/>
                      <w:sz w:val="21"/>
                      <w:szCs w:val="21"/>
                      <w:lang w:eastAsia="zh-CN"/>
                    </w:rPr>
                    <w:t>；</w:t>
                  </w:r>
                  <w:r>
                    <w:rPr>
                      <w:rFonts w:hint="eastAsia"/>
                      <w:color w:val="auto"/>
                      <w:sz w:val="21"/>
                      <w:szCs w:val="21"/>
                      <w:lang w:val="en-US" w:eastAsia="zh-CN"/>
                    </w:rPr>
                    <w:t>项目</w:t>
                  </w:r>
                  <w:r>
                    <w:rPr>
                      <w:rFonts w:hint="default" w:eastAsia="宋体"/>
                      <w:color w:val="auto"/>
                      <w:kern w:val="0"/>
                      <w:sz w:val="21"/>
                      <w:szCs w:val="21"/>
                      <w:highlight w:val="none"/>
                    </w:rPr>
                    <w:t>废</w:t>
                  </w:r>
                  <w:r>
                    <w:rPr>
                      <w:rFonts w:hint="eastAsia" w:eastAsia="宋体"/>
                      <w:color w:val="auto"/>
                      <w:kern w:val="0"/>
                      <w:sz w:val="21"/>
                      <w:szCs w:val="21"/>
                      <w:highlight w:val="none"/>
                      <w:lang w:val="en-US" w:eastAsia="zh-CN"/>
                    </w:rPr>
                    <w:t>电器元件</w:t>
                  </w:r>
                  <w:r>
                    <w:rPr>
                      <w:rFonts w:hint="eastAsia"/>
                      <w:color w:val="auto"/>
                      <w:kern w:val="0"/>
                      <w:sz w:val="21"/>
                      <w:szCs w:val="21"/>
                      <w:highlight w:val="none"/>
                      <w:lang w:eastAsia="zh-CN"/>
                    </w:rPr>
                    <w:t>、</w:t>
                  </w:r>
                  <w:r>
                    <w:rPr>
                      <w:rFonts w:hint="default" w:hAnsi="宋体"/>
                      <w:bCs/>
                      <w:color w:val="auto"/>
                      <w:sz w:val="21"/>
                      <w:szCs w:val="21"/>
                      <w:highlight w:val="none"/>
                      <w:shd w:val="clear" w:color="auto" w:fill="auto"/>
                    </w:rPr>
                    <w:t>单次维修产生的废变压器油</w:t>
                  </w:r>
                  <w:r>
                    <w:rPr>
                      <w:rFonts w:hint="eastAsia" w:hAnsi="宋体"/>
                      <w:bCs/>
                      <w:color w:val="auto"/>
                      <w:sz w:val="21"/>
                      <w:szCs w:val="21"/>
                      <w:highlight w:val="none"/>
                      <w:shd w:val="clear" w:color="auto" w:fill="auto"/>
                      <w:lang w:val="en-US" w:eastAsia="zh-CN"/>
                    </w:rPr>
                    <w:t>和</w:t>
                  </w:r>
                  <w:r>
                    <w:rPr>
                      <w:rFonts w:hint="default" w:hAnsi="宋体"/>
                      <w:bCs/>
                      <w:color w:val="auto"/>
                      <w:sz w:val="21"/>
                      <w:szCs w:val="21"/>
                      <w:highlight w:val="none"/>
                      <w:shd w:val="clear" w:color="auto" w:fill="auto"/>
                    </w:rPr>
                    <w:t>事故废油均属危险废物，经集中收集后，暂存于</w:t>
                  </w:r>
                  <w:r>
                    <w:rPr>
                      <w:rFonts w:hint="eastAsia" w:hAnsi="宋体"/>
                      <w:color w:val="auto"/>
                      <w:sz w:val="21"/>
                      <w:szCs w:val="21"/>
                      <w:lang w:val="en-US" w:eastAsia="zh-CN"/>
                    </w:rPr>
                    <w:t>竹园沟光伏项目升压站</w:t>
                  </w:r>
                  <w:r>
                    <w:rPr>
                      <w:rFonts w:hint="default" w:hAnsi="宋体"/>
                      <w:bCs/>
                      <w:color w:val="auto"/>
                      <w:sz w:val="21"/>
                      <w:szCs w:val="21"/>
                      <w:highlight w:val="none"/>
                      <w:shd w:val="clear" w:color="auto" w:fill="auto"/>
                    </w:rPr>
                    <w:t>危废</w:t>
                  </w:r>
                  <w:r>
                    <w:rPr>
                      <w:rFonts w:hint="eastAsia" w:hAnsi="宋体"/>
                      <w:bCs/>
                      <w:color w:val="auto"/>
                      <w:sz w:val="21"/>
                      <w:szCs w:val="21"/>
                      <w:highlight w:val="none"/>
                      <w:shd w:val="clear" w:color="auto" w:fill="auto"/>
                      <w:lang w:val="en-US" w:eastAsia="zh-CN"/>
                    </w:rPr>
                    <w:t>贮存库</w:t>
                  </w:r>
                  <w:r>
                    <w:rPr>
                      <w:rFonts w:hint="default" w:hAnsi="宋体"/>
                      <w:bCs/>
                      <w:color w:val="auto"/>
                      <w:sz w:val="21"/>
                      <w:szCs w:val="21"/>
                      <w:highlight w:val="none"/>
                      <w:shd w:val="clear" w:color="auto" w:fill="auto"/>
                    </w:rPr>
                    <w:t>，并委托有资质单位处置</w:t>
                  </w:r>
                  <w:r>
                    <w:rPr>
                      <w:rFonts w:hint="eastAsia" w:hAnsi="宋体"/>
                      <w:bCs/>
                      <w:color w:val="auto"/>
                      <w:sz w:val="21"/>
                      <w:szCs w:val="21"/>
                      <w:highlight w:val="none"/>
                      <w:shd w:val="clear" w:color="auto" w:fill="auto"/>
                      <w:lang w:eastAsia="zh-CN"/>
                    </w:rPr>
                    <w:t>；</w:t>
                  </w:r>
                  <w:r>
                    <w:rPr>
                      <w:rFonts w:hint="default" w:hAnsi="宋体"/>
                      <w:bCs/>
                      <w:color w:val="auto"/>
                      <w:sz w:val="21"/>
                      <w:szCs w:val="21"/>
                      <w:highlight w:val="none"/>
                      <w:shd w:val="clear" w:color="auto" w:fill="auto"/>
                    </w:rPr>
                    <w:t>变压器油不合格需全部更换时产生的废变压器油，委托有资质单位在更换后即时转移处置，不在厂区贮存</w:t>
                  </w:r>
                  <w:r>
                    <w:rPr>
                      <w:rFonts w:hint="eastAsia"/>
                      <w:color w:val="auto"/>
                      <w:sz w:val="21"/>
                      <w:szCs w:val="21"/>
                      <w:lang w:eastAsia="zh-CN"/>
                    </w:rPr>
                    <w:t>；</w:t>
                  </w:r>
                  <w:r>
                    <w:rPr>
                      <w:rFonts w:hint="eastAsia"/>
                      <w:color w:val="auto"/>
                      <w:sz w:val="21"/>
                      <w:szCs w:val="21"/>
                      <w:lang w:val="en-US" w:eastAsia="zh-CN"/>
                    </w:rPr>
                    <w:t>综上，</w:t>
                  </w:r>
                  <w:r>
                    <w:rPr>
                      <w:rFonts w:hint="eastAsia"/>
                      <w:b w:val="0"/>
                      <w:bCs w:val="0"/>
                      <w:color w:val="auto"/>
                      <w:kern w:val="0"/>
                      <w:sz w:val="21"/>
                      <w:szCs w:val="21"/>
                      <w:vertAlign w:val="baseline"/>
                    </w:rPr>
                    <w:t>项目所产生的固体废物均得到妥善处置，无排放。</w:t>
                  </w:r>
                </w:p>
              </w:tc>
              <w:tc>
                <w:tcPr>
                  <w:tcW w:w="843" w:type="dxa"/>
                  <w:vAlign w:val="center"/>
                </w:tcPr>
                <w:p w14:paraId="4675092A">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rPr>
                  </w:pPr>
                  <w:r>
                    <w:rPr>
                      <w:rFonts w:hint="eastAsia"/>
                      <w:b w:val="0"/>
                      <w:bCs w:val="0"/>
                      <w:color w:val="auto"/>
                      <w:kern w:val="0"/>
                      <w:sz w:val="21"/>
                      <w:szCs w:val="21"/>
                      <w:vertAlign w:val="baseline"/>
                      <w:lang w:val="en-US" w:eastAsia="zh-CN"/>
                    </w:rPr>
                    <w:t>相符</w:t>
                  </w:r>
                </w:p>
              </w:tc>
            </w:tr>
            <w:tr w14:paraId="3DA7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F2B2F3D">
                  <w:pPr>
                    <w:keepNext w:val="0"/>
                    <w:keepLines w:val="0"/>
                    <w:suppressLineNumbers w:val="0"/>
                    <w:adjustRightInd w:val="0"/>
                    <w:snapToGrid w:val="0"/>
                    <w:spacing w:before="0" w:beforeAutospacing="0" w:after="0" w:afterAutospacing="0" w:line="240" w:lineRule="auto"/>
                    <w:ind w:left="0" w:right="0"/>
                    <w:jc w:val="center"/>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4</w:t>
                  </w:r>
                </w:p>
              </w:tc>
              <w:tc>
                <w:tcPr>
                  <w:tcW w:w="2763" w:type="dxa"/>
                </w:tcPr>
                <w:p w14:paraId="7CE37A45">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企业实现“雨污分流”，污水处理厂出水水质达到园区污水处理厂的进水水质要求，园区污水处理厂的出水水质必须达到再生水处理系统的进水水质，再生水处理系统出水水质必须达到回用水水质。</w:t>
                  </w:r>
                </w:p>
              </w:tc>
              <w:tc>
                <w:tcPr>
                  <w:tcW w:w="2960" w:type="dxa"/>
                  <w:vAlign w:val="center"/>
                </w:tcPr>
                <w:p w14:paraId="7052441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vertAlign w:val="baseline"/>
                      <w:lang w:eastAsia="zh-CN"/>
                    </w:rPr>
                  </w:pPr>
                  <w:r>
                    <w:rPr>
                      <w:rFonts w:hint="eastAsia"/>
                      <w:color w:val="auto"/>
                      <w:szCs w:val="21"/>
                    </w:rPr>
                    <w:t>项目</w:t>
                  </w:r>
                  <w:r>
                    <w:rPr>
                      <w:rFonts w:hint="eastAsia"/>
                      <w:color w:val="auto"/>
                      <w:szCs w:val="21"/>
                      <w:lang w:val="en-US" w:eastAsia="zh-CN"/>
                    </w:rPr>
                    <w:t>运营期无生活污水产生，</w:t>
                  </w:r>
                  <w:r>
                    <w:rPr>
                      <w:rFonts w:hint="eastAsia"/>
                      <w:color w:val="auto"/>
                      <w:kern w:val="0"/>
                      <w:szCs w:val="21"/>
                    </w:rPr>
                    <w:t>清</w:t>
                  </w:r>
                  <w:r>
                    <w:rPr>
                      <w:rFonts w:hint="eastAsia"/>
                      <w:color w:val="auto"/>
                      <w:kern w:val="0"/>
                      <w:szCs w:val="21"/>
                      <w:lang w:val="en-US" w:eastAsia="zh-CN"/>
                    </w:rPr>
                    <w:t>洁</w:t>
                  </w:r>
                  <w:r>
                    <w:rPr>
                      <w:rFonts w:hint="eastAsia"/>
                      <w:color w:val="auto"/>
                      <w:kern w:val="0"/>
                      <w:szCs w:val="21"/>
                    </w:rPr>
                    <w:t>废水直接作为植物的生长用水不外排</w:t>
                  </w:r>
                  <w:r>
                    <w:rPr>
                      <w:rFonts w:hint="eastAsia"/>
                      <w:color w:val="auto"/>
                      <w:kern w:val="0"/>
                      <w:szCs w:val="21"/>
                      <w:lang w:eastAsia="zh-CN"/>
                    </w:rPr>
                    <w:t>。</w:t>
                  </w:r>
                </w:p>
              </w:tc>
              <w:tc>
                <w:tcPr>
                  <w:tcW w:w="843" w:type="dxa"/>
                  <w:vAlign w:val="center"/>
                </w:tcPr>
                <w:p w14:paraId="7C68A496">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相符</w:t>
                  </w:r>
                </w:p>
              </w:tc>
            </w:tr>
            <w:tr w14:paraId="48CD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F470E85">
                  <w:pPr>
                    <w:keepNext w:val="0"/>
                    <w:keepLines w:val="0"/>
                    <w:suppressLineNumbers w:val="0"/>
                    <w:adjustRightInd w:val="0"/>
                    <w:snapToGrid w:val="0"/>
                    <w:spacing w:before="0" w:beforeAutospacing="0" w:after="0" w:afterAutospacing="0" w:line="240" w:lineRule="auto"/>
                    <w:ind w:left="0" w:right="0"/>
                    <w:jc w:val="center"/>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5</w:t>
                  </w:r>
                </w:p>
              </w:tc>
              <w:tc>
                <w:tcPr>
                  <w:tcW w:w="2763" w:type="dxa"/>
                </w:tcPr>
                <w:p w14:paraId="4D488268">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vertAlign w:val="baseline"/>
                    </w:rPr>
                  </w:pPr>
                  <w:r>
                    <w:rPr>
                      <w:rFonts w:hint="eastAsia"/>
                      <w:b w:val="0"/>
                      <w:bCs w:val="0"/>
                      <w:color w:val="auto"/>
                      <w:kern w:val="0"/>
                      <w:sz w:val="21"/>
                      <w:szCs w:val="21"/>
                      <w:vertAlign w:val="baseline"/>
                    </w:rPr>
                    <w:t>加强企业执法监督力度，增加对产污企业的执法监督频次，对污水处理设施运行、应急处理设施等重点环节要严把监督关，杜绝偷排漏排现象。对有偷排漏排等行为的企业，加大处罚力度，直至停产、关闭。对造成环境危害的单位要依法追究责任，依法进行环境损害赔偿。</w:t>
                  </w:r>
                </w:p>
              </w:tc>
              <w:tc>
                <w:tcPr>
                  <w:tcW w:w="2960" w:type="dxa"/>
                  <w:vAlign w:val="center"/>
                </w:tcPr>
                <w:p w14:paraId="56828382">
                  <w:pPr>
                    <w:keepNext w:val="0"/>
                    <w:keepLines w:val="0"/>
                    <w:suppressLineNumbers w:val="0"/>
                    <w:adjustRightInd w:val="0"/>
                    <w:snapToGrid w:val="0"/>
                    <w:spacing w:before="0" w:beforeAutospacing="0" w:after="0" w:afterAutospacing="0" w:line="240" w:lineRule="auto"/>
                    <w:ind w:left="0" w:right="0"/>
                    <w:jc w:val="both"/>
                    <w:rPr>
                      <w:rFonts w:hint="eastAsia"/>
                      <w:b w:val="0"/>
                      <w:bCs w:val="0"/>
                      <w:color w:val="auto"/>
                      <w:kern w:val="0"/>
                      <w:sz w:val="21"/>
                      <w:szCs w:val="21"/>
                      <w:vertAlign w:val="baseline"/>
                    </w:rPr>
                  </w:pPr>
                  <w:r>
                    <w:rPr>
                      <w:rFonts w:hint="eastAsia"/>
                      <w:b w:val="0"/>
                      <w:bCs w:val="0"/>
                      <w:color w:val="auto"/>
                      <w:kern w:val="0"/>
                      <w:sz w:val="21"/>
                      <w:szCs w:val="21"/>
                      <w:vertAlign w:val="baseline"/>
                    </w:rPr>
                    <w:t>企业定期开展自行监测，确保水质达标。项目所产生的固体废物均得到妥善处置，</w:t>
                  </w:r>
                  <w:r>
                    <w:rPr>
                      <w:rFonts w:hint="eastAsia"/>
                      <w:b w:val="0"/>
                      <w:bCs w:val="0"/>
                      <w:color w:val="auto"/>
                      <w:kern w:val="0"/>
                      <w:sz w:val="21"/>
                      <w:szCs w:val="21"/>
                      <w:vertAlign w:val="baseline"/>
                      <w:lang w:val="en-US" w:eastAsia="zh-CN"/>
                    </w:rPr>
                    <w:t>处置率100%</w:t>
                  </w:r>
                  <w:r>
                    <w:rPr>
                      <w:rFonts w:hint="eastAsia"/>
                      <w:b w:val="0"/>
                      <w:bCs w:val="0"/>
                      <w:color w:val="auto"/>
                      <w:kern w:val="0"/>
                      <w:sz w:val="21"/>
                      <w:szCs w:val="21"/>
                      <w:vertAlign w:val="baseline"/>
                    </w:rPr>
                    <w:t>。</w:t>
                  </w:r>
                </w:p>
              </w:tc>
              <w:tc>
                <w:tcPr>
                  <w:tcW w:w="843" w:type="dxa"/>
                  <w:vAlign w:val="center"/>
                </w:tcPr>
                <w:p w14:paraId="75439E46">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相符</w:t>
                  </w:r>
                </w:p>
              </w:tc>
            </w:tr>
          </w:tbl>
          <w:p w14:paraId="115E23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综上所述，本项目处于“规划”中的</w:t>
            </w:r>
            <w:r>
              <w:rPr>
                <w:rFonts w:hint="eastAsia"/>
                <w:b w:val="0"/>
                <w:bCs w:val="0"/>
                <w:color w:val="auto"/>
                <w:kern w:val="0"/>
                <w:sz w:val="24"/>
                <w:szCs w:val="24"/>
                <w:highlight w:val="none"/>
              </w:rPr>
              <w:t>水源涵养区</w:t>
            </w:r>
            <w:r>
              <w:rPr>
                <w:rFonts w:hint="eastAsia" w:ascii="Times New Roman" w:hAnsi="Times New Roman" w:eastAsia="宋体" w:cs="Times New Roman"/>
                <w:color w:val="auto"/>
                <w:kern w:val="0"/>
                <w:sz w:val="24"/>
                <w:szCs w:val="24"/>
                <w:highlight w:val="none"/>
                <w:lang w:val="en-US" w:eastAsia="zh-CN" w:bidi="ar-SA"/>
              </w:rPr>
              <w:t>内</w:t>
            </w:r>
            <w:r>
              <w:rPr>
                <w:rFonts w:hint="eastAsia" w:ascii="Times New Roman" w:hAnsi="Times New Roman" w:eastAsia="宋体" w:cs="Times New Roman"/>
                <w:color w:val="auto"/>
                <w:kern w:val="0"/>
                <w:sz w:val="24"/>
                <w:szCs w:val="24"/>
                <w:lang w:val="en-US" w:eastAsia="zh-CN" w:bidi="ar-SA"/>
              </w:rPr>
              <w:t>，由于本项目</w:t>
            </w:r>
            <w:r>
              <w:rPr>
                <w:rFonts w:hint="eastAsia"/>
                <w:color w:val="auto"/>
                <w:kern w:val="0"/>
                <w:sz w:val="24"/>
                <w:szCs w:val="24"/>
                <w:lang w:val="en-US" w:eastAsia="zh-CN"/>
              </w:rPr>
              <w:t>为</w:t>
            </w:r>
            <w:r>
              <w:rPr>
                <w:rFonts w:hint="eastAsia"/>
                <w:color w:val="auto"/>
                <w:kern w:val="0"/>
                <w:sz w:val="24"/>
                <w:szCs w:val="24"/>
              </w:rPr>
              <w:t>光伏</w:t>
            </w:r>
            <w:r>
              <w:rPr>
                <w:rFonts w:hint="eastAsia"/>
                <w:color w:val="auto"/>
                <w:kern w:val="0"/>
                <w:sz w:val="24"/>
                <w:szCs w:val="24"/>
                <w:lang w:eastAsia="zh-CN"/>
              </w:rPr>
              <w:t>发电项目</w:t>
            </w:r>
            <w:r>
              <w:rPr>
                <w:rFonts w:hint="eastAsia" w:ascii="Times New Roman" w:hAnsi="Times New Roman" w:eastAsia="宋体" w:cs="Times New Roman"/>
                <w:color w:val="auto"/>
                <w:kern w:val="0"/>
                <w:sz w:val="24"/>
                <w:szCs w:val="24"/>
                <w:lang w:val="en-US" w:eastAsia="zh-CN" w:bidi="ar-SA"/>
              </w:rPr>
              <w:t>，属于</w:t>
            </w:r>
            <w:r>
              <w:rPr>
                <w:rFonts w:hint="eastAsia" w:cs="Times New Roman"/>
                <w:color w:val="auto"/>
                <w:kern w:val="0"/>
                <w:sz w:val="24"/>
                <w:szCs w:val="24"/>
                <w:lang w:val="en-US" w:eastAsia="zh-CN" w:bidi="ar-SA"/>
              </w:rPr>
              <w:t>鼓励类</w:t>
            </w:r>
            <w:r>
              <w:rPr>
                <w:rFonts w:hint="eastAsia" w:ascii="Times New Roman" w:hAnsi="Times New Roman" w:eastAsia="宋体" w:cs="Times New Roman"/>
                <w:color w:val="auto"/>
                <w:kern w:val="0"/>
                <w:sz w:val="24"/>
                <w:szCs w:val="24"/>
                <w:lang w:val="en-US" w:eastAsia="zh-CN" w:bidi="ar-SA"/>
              </w:rPr>
              <w:t>项目，不属于生产类建设项目，通过以上分析，本项目建设符合“牛栏江流域（云南部分）水环境保护规划（2009-2030年）”的相关规定。</w:t>
            </w:r>
          </w:p>
          <w:p w14:paraId="3EFF8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kern w:val="0"/>
                <w:sz w:val="24"/>
                <w:szCs w:val="24"/>
                <w:lang w:val="en-US" w:eastAsia="zh-CN" w:bidi="ar-SA"/>
              </w:rPr>
              <w:t>11</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项目与</w:t>
            </w:r>
            <w:r>
              <w:rPr>
                <w:rFonts w:hint="default" w:ascii="Times New Roman" w:hAnsi="Times New Roman" w:eastAsia="宋体" w:cs="Times New Roman"/>
                <w:b/>
                <w:bCs/>
                <w:color w:val="auto"/>
                <w:sz w:val="24"/>
                <w:szCs w:val="24"/>
                <w:lang w:val="en-US" w:eastAsia="zh-CN"/>
              </w:rPr>
              <w:t>《牛栏江流域（寻甸段）水环境保护规划》的符合性分析</w:t>
            </w:r>
          </w:p>
          <w:p w14:paraId="4D4F9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《牛栏江流域（寻甸段）水环境保护规划》</w:t>
            </w:r>
            <w:r>
              <w:rPr>
                <w:rFonts w:hint="default" w:ascii="Times New Roman" w:hAnsi="Times New Roman" w:eastAsia="宋体" w:cs="Times New Roman"/>
                <w:color w:val="auto"/>
                <w:sz w:val="24"/>
              </w:rPr>
              <w:t>规划范围为牛栏江流域（寻甸段），牛栏江干流在寻甸县境内全长75k</w:t>
            </w:r>
            <w:r>
              <w:rPr>
                <w:rFonts w:hint="default" w:ascii="Times New Roman" w:hAnsi="Times New Roman" w:eastAsia="宋体" w:cs="Times New Roman"/>
                <w:b/>
                <w:color w:val="auto"/>
                <w:sz w:val="24"/>
              </w:rPr>
              <w:t>m</w:t>
            </w:r>
            <w:r>
              <w:rPr>
                <w:rFonts w:hint="default" w:ascii="Times New Roman" w:hAnsi="Times New Roman" w:eastAsia="宋体" w:cs="Times New Roman"/>
                <w:color w:val="auto"/>
                <w:sz w:val="24"/>
              </w:rPr>
              <w:t>，流域面积1339km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，涉及仁德街道办事处、七星镇、河口镇、羊街镇、功山镇5个乡镇（街道办事处）6个社区，56个村委会。</w:t>
            </w:r>
            <w:r>
              <w:rPr>
                <w:rFonts w:hint="default" w:ascii="Times New Roman" w:hAnsi="Times New Roman" w:eastAsia="宋体" w:cs="Times New Roman"/>
                <w:color w:val="auto"/>
                <w:sz w:val="24"/>
                <w:szCs w:val="24"/>
                <w:lang w:val="en-US" w:eastAsia="zh-CN"/>
              </w:rPr>
              <w:t>项目位于</w:t>
            </w:r>
            <w:r>
              <w:rPr>
                <w:rFonts w:hint="eastAsia" w:ascii="宋体" w:hAnsi="宋体" w:cs="宋体"/>
                <w:color w:val="auto"/>
                <w:kern w:val="0"/>
                <w:sz w:val="24"/>
                <w:szCs w:val="24"/>
                <w:lang w:val="en-US" w:eastAsia="zh-CN" w:bidi="ar"/>
              </w:rPr>
              <w:t>云南省昆明市寻甸回族彝族自治县</w:t>
            </w:r>
            <w:r>
              <w:rPr>
                <w:rFonts w:hint="eastAsia"/>
                <w:color w:val="auto"/>
                <w:sz w:val="24"/>
                <w:szCs w:val="24"/>
                <w:highlight w:val="none"/>
                <w:shd w:val="clear" w:color="auto" w:fill="auto"/>
                <w:lang w:val="en-US" w:eastAsia="zh-CN"/>
              </w:rPr>
              <w:t>河口镇</w:t>
            </w:r>
            <w:r>
              <w:rPr>
                <w:rFonts w:hint="eastAsia" w:ascii="宋体" w:hAnsi="宋体" w:cs="宋体"/>
                <w:color w:val="auto"/>
                <w:kern w:val="0"/>
                <w:sz w:val="24"/>
                <w:szCs w:val="24"/>
                <w:lang w:val="en-US" w:eastAsia="zh-CN" w:bidi="ar"/>
              </w:rPr>
              <w:t>、功山镇境内</w:t>
            </w:r>
            <w:r>
              <w:rPr>
                <w:rFonts w:hint="default" w:ascii="Times New Roman" w:hAnsi="Times New Roman" w:eastAsia="宋体" w:cs="Times New Roman"/>
                <w:color w:val="auto"/>
                <w:sz w:val="24"/>
                <w:szCs w:val="24"/>
                <w:lang w:val="en-US" w:eastAsia="zh-CN"/>
              </w:rPr>
              <w:t xml:space="preserve">，处于规划范围内。 </w:t>
            </w:r>
          </w:p>
          <w:p w14:paraId="5EE7F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牛栏江流域（寻甸段）水环境分区范围涉及规划区干流及主要支流（前进河、羊街河、马龙河、尹武河等）河流径流区。 </w:t>
            </w:r>
          </w:p>
          <w:p w14:paraId="7045D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规划区分为3个保护区：水源保护核心区、重点污染控制区、重点水源涵养区，各分区范围节点如下： </w:t>
            </w:r>
          </w:p>
          <w:p w14:paraId="08C27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1）水源保护核心区范围为牛栏江流域（寻甸段）干流1000m范围。水源保护核心区分为禁止建设区、限制建设区两个区，禁止建设区范围指干流河面水域及沿岸外延200m的区域，限制建设区范围指干流沿岸外200m—1000m之间的区域。 </w:t>
            </w:r>
          </w:p>
          <w:p w14:paraId="5935EA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（2）重点污染控制区 </w:t>
            </w:r>
          </w:p>
          <w:p w14:paraId="4A31D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重点污染控制区范围指水体保护核心区外，主要入江支流水域外延3000m的区域和流域范围内的坝区，若区域范围超过一级山脊，按一级山脊线划定。 </w:t>
            </w:r>
          </w:p>
          <w:p w14:paraId="7A5FB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（3）水源涵养区 </w:t>
            </w:r>
          </w:p>
          <w:p w14:paraId="5C50C1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重点水源涵养区范围指流域范围内除水源保护核心区、重点污染控制区以外的区域。 </w:t>
            </w:r>
          </w:p>
          <w:p w14:paraId="190E9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项目与牛栏江流域（寻甸段）水环境保护分区位</w:t>
            </w:r>
            <w:r>
              <w:rPr>
                <w:rFonts w:hint="default" w:ascii="Times New Roman" w:hAnsi="Times New Roman" w:eastAsia="宋体" w:cs="Times New Roman"/>
                <w:color w:val="auto"/>
                <w:sz w:val="24"/>
                <w:szCs w:val="24"/>
                <w:highlight w:val="none"/>
                <w:lang w:val="en-US" w:eastAsia="zh-CN"/>
              </w:rPr>
              <w:t>置关系见附图</w:t>
            </w:r>
            <w:r>
              <w:rPr>
                <w:rFonts w:hint="eastAsia" w:cs="Times New Roman"/>
                <w:color w:val="auto"/>
                <w:sz w:val="24"/>
                <w:szCs w:val="24"/>
                <w:highlight w:val="none"/>
                <w:lang w:val="en-US" w:eastAsia="zh-CN"/>
              </w:rPr>
              <w:t>11，根据叠图分析，</w:t>
            </w:r>
            <w:r>
              <w:rPr>
                <w:rFonts w:hint="default" w:ascii="Times New Roman" w:hAnsi="Times New Roman" w:eastAsia="宋体" w:cs="Times New Roman"/>
                <w:color w:val="auto"/>
                <w:sz w:val="24"/>
                <w:szCs w:val="24"/>
                <w:lang w:val="en-US" w:eastAsia="zh-CN"/>
              </w:rPr>
              <w:t>本项目位于牛栏江流域（寻甸段）水环境分区中的水源涵养区。</w:t>
            </w:r>
          </w:p>
          <w:p w14:paraId="01C70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根据《牛栏江流域（寻甸段）水环境保护规划（2011~2030）》，其水源涵养区环境保护策略为：</w:t>
            </w:r>
          </w:p>
          <w:p w14:paraId="10A5B55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在流域源头区宜林荒山，实施工程技术、退耕还林工程，石漠化地块区域造林，在调水水源涵养林中开展幼林抚育、低产低造林分改造。水源涵养区内针对坡度在25°以上农耕地要逐步退耕还林，提高森林覆盖率。</w:t>
            </w:r>
          </w:p>
          <w:p w14:paraId="4B4843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2）实施小流域综合整治，减少水土流失。</w:t>
            </w:r>
          </w:p>
          <w:p w14:paraId="52BD7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lang w:val="en-US" w:eastAsia="zh-CN"/>
              </w:rPr>
              <w:t>根据项目主体设计，项目占地面积约为</w:t>
            </w:r>
            <w:r>
              <w:rPr>
                <w:rFonts w:hint="eastAsia" w:cs="Times New Roman"/>
                <w:color w:val="auto"/>
                <w:sz w:val="24"/>
                <w:szCs w:val="24"/>
                <w:highlight w:val="none"/>
                <w:lang w:val="en-US" w:eastAsia="zh-CN"/>
              </w:rPr>
              <w:t>54.97</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 xml:space="preserve">2 </w:t>
            </w:r>
            <w:r>
              <w:rPr>
                <w:rFonts w:hint="default" w:ascii="Times New Roman" w:hAnsi="Times New Roman" w:eastAsia="宋体" w:cs="Times New Roman"/>
                <w:color w:val="auto"/>
                <w:sz w:val="24"/>
                <w:szCs w:val="24"/>
                <w:highlight w:val="none"/>
                <w:lang w:val="en-US" w:eastAsia="zh-CN"/>
              </w:rPr>
              <w:t>，其中永久占地</w:t>
            </w:r>
            <w:r>
              <w:rPr>
                <w:rFonts w:hint="eastAsia" w:cs="Times New Roman"/>
                <w:color w:val="auto"/>
                <w:sz w:val="24"/>
                <w:szCs w:val="24"/>
                <w:highlight w:val="none"/>
                <w:lang w:val="en-US" w:eastAsia="zh-CN"/>
              </w:rPr>
              <w:t>0.04</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，工程永久占地面积较小，施工结束后临时迹地将得到恢复，永久设施附近将进行一定面积的植被绿化。建设单位已委托编制水土保持方案，建设单位在项目建设期间，将严格落实《</w:t>
            </w:r>
            <w:r>
              <w:rPr>
                <w:rFonts w:hint="eastAsia" w:cs="Times New Roman"/>
                <w:color w:val="auto"/>
                <w:sz w:val="24"/>
                <w:szCs w:val="24"/>
                <w:highlight w:val="none"/>
                <w:lang w:val="en-US" w:eastAsia="zh-CN"/>
              </w:rPr>
              <w:t>白石岩</w:t>
            </w:r>
            <w:r>
              <w:rPr>
                <w:rFonts w:hint="default" w:ascii="Times New Roman" w:hAnsi="Times New Roman" w:eastAsia="宋体" w:cs="Times New Roman"/>
                <w:color w:val="auto"/>
                <w:sz w:val="24"/>
                <w:szCs w:val="24"/>
                <w:highlight w:val="none"/>
                <w:lang w:val="en-US" w:eastAsia="zh-CN"/>
              </w:rPr>
              <w:t>光伏发电项目水土保持方案报告书》提出的各项工程措施、植物恢复措施。</w:t>
            </w:r>
          </w:p>
          <w:p w14:paraId="00D4E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在严格落实水土保持方案提出的水土流失防治措施情况</w:t>
            </w:r>
            <w:r>
              <w:rPr>
                <w:rFonts w:hint="eastAsia"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val="en-US" w:eastAsia="zh-CN"/>
              </w:rPr>
              <w:t>：项目区域水土流失治理度达到</w:t>
            </w:r>
            <w:r>
              <w:rPr>
                <w:rFonts w:hint="eastAsia" w:ascii="Times New Roman" w:hAnsi="Times New Roman" w:eastAsia="宋体" w:cs="Times New Roman"/>
                <w:color w:val="auto"/>
                <w:sz w:val="24"/>
                <w:szCs w:val="24"/>
                <w:highlight w:val="none"/>
                <w:lang w:val="en-US" w:eastAsia="zh-CN"/>
              </w:rPr>
              <w:t>99.66</w:t>
            </w:r>
            <w:r>
              <w:rPr>
                <w:rFonts w:hint="default" w:ascii="Times New Roman" w:hAnsi="Times New Roman" w:eastAsia="宋体" w:cs="Times New Roman"/>
                <w:color w:val="auto"/>
                <w:sz w:val="24"/>
                <w:szCs w:val="24"/>
                <w:highlight w:val="none"/>
                <w:lang w:val="en-US" w:eastAsia="zh-CN"/>
              </w:rPr>
              <w:t>%，土壤流失控制比1.</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，渣土防护率达到</w:t>
            </w:r>
            <w:r>
              <w:rPr>
                <w:rFonts w:hint="eastAsia" w:ascii="Times New Roman" w:hAnsi="Times New Roman" w:eastAsia="宋体" w:cs="Times New Roman"/>
                <w:color w:val="auto"/>
                <w:sz w:val="24"/>
                <w:szCs w:val="24"/>
                <w:highlight w:val="none"/>
                <w:lang w:val="en-US" w:eastAsia="zh-CN"/>
              </w:rPr>
              <w:t>99.60</w:t>
            </w:r>
            <w:r>
              <w:rPr>
                <w:rFonts w:hint="default" w:ascii="Times New Roman" w:hAnsi="Times New Roman" w:eastAsia="宋体" w:cs="Times New Roman"/>
                <w:color w:val="auto"/>
                <w:sz w:val="24"/>
                <w:szCs w:val="24"/>
                <w:highlight w:val="none"/>
                <w:lang w:val="en-US" w:eastAsia="zh-CN"/>
              </w:rPr>
              <w:t>%，表土保护率达到99.</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0%，林草植被恢复率达到99.90%，最终林草覆盖率</w:t>
            </w:r>
            <w:r>
              <w:rPr>
                <w:rFonts w:hint="eastAsia" w:ascii="Times New Roman" w:hAnsi="Times New Roman" w:eastAsia="宋体" w:cs="Times New Roman"/>
                <w:color w:val="auto"/>
                <w:sz w:val="24"/>
                <w:szCs w:val="24"/>
                <w:highlight w:val="none"/>
                <w:lang w:val="en-US" w:eastAsia="zh-CN"/>
              </w:rPr>
              <w:t>66.87</w:t>
            </w:r>
            <w:r>
              <w:rPr>
                <w:rFonts w:hint="default" w:ascii="Times New Roman" w:hAnsi="Times New Roman" w:eastAsia="宋体" w:cs="Times New Roman"/>
                <w:color w:val="auto"/>
                <w:sz w:val="24"/>
                <w:szCs w:val="24"/>
                <w:highlight w:val="none"/>
                <w:lang w:val="en-US" w:eastAsia="zh-CN"/>
              </w:rPr>
              <w:t>%。</w:t>
            </w:r>
          </w:p>
          <w:p w14:paraId="3EFA8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因此，项目的建设符合《牛栏江流域（寻甸段）水环境保护规划 》环境保护策略要求。 </w:t>
            </w:r>
          </w:p>
          <w:p w14:paraId="5D38344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b/>
                <w:bCs/>
                <w:color w:val="auto"/>
                <w:kern w:val="0"/>
                <w:sz w:val="24"/>
                <w:lang w:val="en-US" w:eastAsia="zh-CN"/>
              </w:rPr>
            </w:pPr>
            <w:r>
              <w:rPr>
                <w:rFonts w:hint="eastAsia" w:ascii="Times New Roman" w:hAnsi="Times New Roman" w:eastAsia="宋体"/>
                <w:b/>
                <w:bCs/>
                <w:color w:val="auto"/>
                <w:sz w:val="24"/>
                <w:lang w:val="en-US" w:eastAsia="zh-CN"/>
              </w:rPr>
              <w:t>12、</w:t>
            </w:r>
            <w:r>
              <w:rPr>
                <w:rFonts w:hint="eastAsia"/>
                <w:b/>
                <w:bCs/>
                <w:color w:val="auto"/>
                <w:kern w:val="0"/>
                <w:sz w:val="24"/>
                <w:lang w:val="en-US" w:eastAsia="zh-CN"/>
              </w:rPr>
              <w:t>与《自然资源部办公厅 国家林业和草原局办公室 国家能源局综合司关于支持光伏发电产业发展规范用地管理有关工作的通知》（自然资办发〔2023〕12号）的符合性分析</w:t>
            </w:r>
          </w:p>
          <w:p w14:paraId="085BEFE2">
            <w:pPr>
              <w:pStyle w:val="3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sz w:val="24"/>
                <w:highlight w:val="none"/>
                <w:shd w:val="clear" w:color="auto" w:fill="auto"/>
              </w:rPr>
            </w:pP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为贯彻落实《国务院关于印发扎实稳住经济一揽子政策措施的通知》（国发〔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号）要求，进一步支持绿色能源发展，加快大型光伏基地建设，规范项目用地管理，自然资源部办公厅、国家林业和草原局办公室、国家能源局综合司联合发布《自然资源部办公厅 国家林业和草原局办公室 国家能源局综合司关于支持光伏发电产业发展规范用地管理有关工作的通知》（自然资办发〔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2023</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号），项目与其的符合性分析如下：</w:t>
            </w:r>
          </w:p>
          <w:p w14:paraId="71547B1F">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b/>
                <w:bCs/>
                <w:color w:val="auto"/>
                <w:lang w:val="en-US" w:eastAsia="zh-CN"/>
              </w:rPr>
            </w:pPr>
          </w:p>
          <w:p w14:paraId="2319B722">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b/>
                <w:bCs/>
                <w:color w:val="auto"/>
                <w:lang w:val="en-US" w:eastAsia="zh-CN"/>
              </w:rPr>
            </w:pPr>
          </w:p>
          <w:p w14:paraId="0362C6A3">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b/>
                <w:bCs/>
                <w:color w:val="auto"/>
                <w:lang w:val="en-US" w:eastAsia="zh-CN"/>
              </w:rPr>
            </w:pPr>
          </w:p>
          <w:p w14:paraId="2F073271">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lang w:val="en-US" w:eastAsia="zh-CN"/>
              </w:rPr>
            </w:pPr>
            <w:r>
              <w:rPr>
                <w:rFonts w:hint="eastAsia"/>
                <w:b/>
                <w:bCs/>
                <w:color w:val="auto"/>
                <w:lang w:val="en-US" w:eastAsia="zh-CN"/>
              </w:rPr>
              <w:t>表1-11  项目与自然资办发〔2023〕12号符合性分析</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032"/>
              <w:gridCol w:w="2840"/>
              <w:gridCol w:w="785"/>
            </w:tblGrid>
            <w:tr w14:paraId="0221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pct"/>
                  <w:gridSpan w:val="2"/>
                  <w:vAlign w:val="center"/>
                </w:tcPr>
                <w:p w14:paraId="264B281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管控要求</w:t>
                  </w:r>
                </w:p>
              </w:tc>
              <w:tc>
                <w:tcPr>
                  <w:tcW w:w="1942" w:type="pct"/>
                  <w:vAlign w:val="center"/>
                </w:tcPr>
                <w:p w14:paraId="3E843AA9">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项目实际</w:t>
                  </w:r>
                </w:p>
              </w:tc>
              <w:tc>
                <w:tcPr>
                  <w:tcW w:w="537" w:type="pct"/>
                  <w:vAlign w:val="center"/>
                </w:tcPr>
                <w:p w14:paraId="092E192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符合性</w:t>
                  </w:r>
                </w:p>
              </w:tc>
            </w:tr>
            <w:tr w14:paraId="5559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03C16BD0">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引导项目合理布局</w:t>
                  </w:r>
                </w:p>
              </w:tc>
              <w:tc>
                <w:tcPr>
                  <w:tcW w:w="2072" w:type="pct"/>
                  <w:vAlign w:val="center"/>
                </w:tcPr>
                <w:p w14:paraId="5283D213">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color w:val="auto"/>
                      <w:kern w:val="0"/>
                      <w:sz w:val="21"/>
                      <w:szCs w:val="21"/>
                    </w:rPr>
                    <w:t>鼓励利用未利用地和存量建设用地发展光伏发电产业。在严格保护生态前提下，鼓励在沙漠、戈壁、荒漠等区域选址建设大型光伏基地；对于油田、气田以及难以复垦或修复的采煤沉陷区，推进其中的非耕地区域规划建设光伏基地。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和东北内蒙古重点国有林区。</w:t>
                  </w:r>
                </w:p>
              </w:tc>
              <w:tc>
                <w:tcPr>
                  <w:tcW w:w="1942" w:type="pct"/>
                  <w:vAlign w:val="center"/>
                </w:tcPr>
                <w:p w14:paraId="7D1FEC9C">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highlight w:val="none"/>
                      <w:lang w:val="en-US" w:eastAsia="zh-CN"/>
                    </w:rPr>
                    <w:t>根据各部门的查询意见及叠图分析，项目选址已避让耕地、生态保护红线、文物保护单位、特殊自然景观价值和文化标识区域、天然</w:t>
                  </w:r>
                  <w:r>
                    <w:rPr>
                      <w:rFonts w:hint="eastAsia" w:cs="Times New Roman"/>
                      <w:color w:val="auto"/>
                      <w:kern w:val="0"/>
                      <w:sz w:val="21"/>
                      <w:szCs w:val="21"/>
                      <w:highlight w:val="none"/>
                      <w:lang w:val="en-US" w:eastAsia="zh-CN"/>
                    </w:rPr>
                    <w:t>保护</w:t>
                  </w:r>
                  <w:r>
                    <w:rPr>
                      <w:rFonts w:hint="default" w:ascii="Times New Roman" w:hAnsi="Times New Roman" w:cs="Times New Roman"/>
                      <w:color w:val="auto"/>
                      <w:kern w:val="0"/>
                      <w:sz w:val="21"/>
                      <w:szCs w:val="21"/>
                      <w:highlight w:val="none"/>
                      <w:lang w:val="en-US" w:eastAsia="zh-CN"/>
                    </w:rPr>
                    <w:t>林地</w:t>
                  </w:r>
                  <w:r>
                    <w:rPr>
                      <w:rFonts w:hint="eastAsia" w:cs="Times New Roman"/>
                      <w:color w:val="auto"/>
                      <w:kern w:val="0"/>
                      <w:sz w:val="21"/>
                      <w:szCs w:val="21"/>
                      <w:highlight w:val="none"/>
                      <w:lang w:val="en-US" w:eastAsia="zh-CN"/>
                    </w:rPr>
                    <w:t>，不占用</w:t>
                  </w:r>
                  <w:r>
                    <w:rPr>
                      <w:rFonts w:hint="default" w:ascii="Times New Roman" w:hAnsi="Times New Roman" w:cs="Times New Roman"/>
                      <w:color w:val="auto"/>
                      <w:kern w:val="0"/>
                      <w:sz w:val="21"/>
                      <w:szCs w:val="21"/>
                      <w:highlight w:val="none"/>
                      <w:lang w:val="en-US" w:eastAsia="zh-CN"/>
                    </w:rPr>
                    <w:t>国家沙化土地封禁保护区、自然保护地、永久基本农田、基本草原、Ⅰ级保护林地。</w:t>
                  </w:r>
                </w:p>
              </w:tc>
              <w:tc>
                <w:tcPr>
                  <w:tcW w:w="537" w:type="pct"/>
                  <w:vAlign w:val="center"/>
                </w:tcPr>
                <w:p w14:paraId="5F53747F">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0DA4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restart"/>
                  <w:vAlign w:val="center"/>
                </w:tcPr>
                <w:p w14:paraId="0154F30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光伏发电项目用地实行分类管理</w:t>
                  </w:r>
                </w:p>
              </w:tc>
              <w:tc>
                <w:tcPr>
                  <w:tcW w:w="2072" w:type="pct"/>
                  <w:vAlign w:val="center"/>
                </w:tcPr>
                <w:p w14:paraId="1F2EFA5E">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（一）光伏方阵用地不得占用耕地，占用其他农用地的，应根据实际合量理控制，节约集约用地，尽避免对生态和农业生产造成影响。光</w:t>
                  </w:r>
                  <w:r>
                    <w:rPr>
                      <w:rFonts w:hint="default" w:ascii="Times New Roman" w:hAnsi="Times New Roman" w:cs="Times New Roman"/>
                      <w:b/>
                      <w:bCs/>
                      <w:color w:val="auto"/>
                      <w:kern w:val="0"/>
                      <w:sz w:val="21"/>
                      <w:szCs w:val="21"/>
                    </w:rPr>
                    <w:t>伏方阵用地涉及使用林地的，须采用林光互补模式</w:t>
                  </w:r>
                  <w:r>
                    <w:rPr>
                      <w:rFonts w:hint="default" w:ascii="Times New Roman" w:hAnsi="Times New Roman" w:cs="Times New Roman"/>
                      <w:color w:val="auto"/>
                      <w:kern w:val="0"/>
                      <w:sz w:val="21"/>
                      <w:szCs w:val="21"/>
                    </w:rPr>
                    <w:t>，可使用年降水量400毫米以下区域的灌木林地以及其他区域覆盖度低于50%的灌木林地，不得采伐林木、割灌及破坏原有植被，不得将乔木林地、竹林地等采伐改造为灌木林地后架设光伏板；光伏支架最低点应高于灌木高度1米以上，每列光伏板南北方向应合理设置净间距，具体由各地结合实地确定，并采取有效水土保持措施，确保灌木覆盖度等生长状态不低于林光互补前水平。光伏方阵按规定使用灌木林地的，施工期间应办理临时使用林地手续，运营期间相关方签订协议，项目服务期满后应当恢复林地原状。</w:t>
                  </w:r>
                </w:p>
                <w:p w14:paraId="77586D5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光伏方阵用地不得改变地表形态，以第三次全国国土调查及后续开展的年度国土变更调查成果为底版，依法依规进行管理。实行用地备案，不需按非农建设用地审批。</w:t>
                  </w:r>
                </w:p>
              </w:tc>
              <w:tc>
                <w:tcPr>
                  <w:tcW w:w="1942" w:type="pct"/>
                  <w:vAlign w:val="center"/>
                </w:tcPr>
                <w:p w14:paraId="5CEC2A0F">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lang w:val="en-US" w:eastAsia="zh-CN" w:bidi="ar"/>
                    </w:rPr>
                    <w:t>占地类型主</w:t>
                  </w:r>
                  <w:r>
                    <w:rPr>
                      <w:rFonts w:hint="eastAsia" w:ascii="宋体" w:hAnsi="宋体" w:eastAsia="宋体" w:cs="宋体"/>
                      <w:color w:val="auto"/>
                      <w:kern w:val="0"/>
                      <w:sz w:val="21"/>
                      <w:szCs w:val="21"/>
                      <w:highlight w:val="none"/>
                      <w:lang w:val="en-US" w:eastAsia="zh-CN" w:bidi="ar"/>
                    </w:rPr>
                    <w:t>要为</w:t>
                  </w:r>
                  <w:r>
                    <w:rPr>
                      <w:rFonts w:hint="eastAsia" w:ascii="宋体" w:hAnsi="宋体" w:cs="宋体"/>
                      <w:color w:val="auto"/>
                      <w:kern w:val="0"/>
                      <w:sz w:val="21"/>
                      <w:szCs w:val="21"/>
                      <w:highlight w:val="none"/>
                      <w:lang w:val="en-US" w:eastAsia="zh-CN" w:bidi="ar"/>
                    </w:rPr>
                    <w:t>其他</w:t>
                  </w:r>
                  <w:r>
                    <w:rPr>
                      <w:rFonts w:hint="default"/>
                      <w:color w:val="auto"/>
                      <w:highlight w:val="none"/>
                    </w:rPr>
                    <w:t>草地、林地</w:t>
                  </w:r>
                  <w:r>
                    <w:rPr>
                      <w:rFonts w:hint="eastAsia"/>
                      <w:color w:val="auto"/>
                      <w:highlight w:val="none"/>
                      <w:lang w:eastAsia="zh-CN"/>
                    </w:rPr>
                    <w:t>（</w:t>
                  </w:r>
                  <w:r>
                    <w:rPr>
                      <w:rFonts w:hint="eastAsia"/>
                      <w:color w:val="auto"/>
                      <w:highlight w:val="none"/>
                      <w:lang w:val="en-US" w:eastAsia="zh-CN"/>
                    </w:rPr>
                    <w:t>灌木、其他林地</w:t>
                  </w:r>
                  <w:r>
                    <w:rPr>
                      <w:rFonts w:hint="eastAsia"/>
                      <w:color w:val="auto"/>
                      <w:highlight w:val="none"/>
                      <w:lang w:eastAsia="zh-CN"/>
                    </w:rPr>
                    <w:t>）</w:t>
                  </w:r>
                  <w:r>
                    <w:rPr>
                      <w:rFonts w:hint="eastAsia"/>
                      <w:color w:val="auto"/>
                      <w:highlight w:val="none"/>
                      <w:lang w:val="en-US" w:eastAsia="zh-CN"/>
                    </w:rPr>
                    <w:t>和</w:t>
                  </w:r>
                  <w:r>
                    <w:rPr>
                      <w:rFonts w:hint="default"/>
                      <w:color w:val="auto"/>
                      <w:highlight w:val="none"/>
                    </w:rPr>
                    <w:t>交通运输用地</w:t>
                  </w:r>
                  <w:r>
                    <w:rPr>
                      <w:rFonts w:hint="eastAsia"/>
                      <w:color w:val="auto"/>
                      <w:highlight w:val="none"/>
                      <w:lang w:eastAsia="zh-CN"/>
                    </w:rPr>
                    <w:t>。</w:t>
                  </w:r>
                </w:p>
                <w:p w14:paraId="1D45685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2.</w:t>
                  </w:r>
                  <w:r>
                    <w:rPr>
                      <w:rFonts w:hint="eastAsia" w:cs="Times New Roman"/>
                      <w:color w:val="auto"/>
                      <w:spacing w:val="0"/>
                      <w:kern w:val="0"/>
                      <w:sz w:val="21"/>
                      <w:szCs w:val="21"/>
                      <w:highlight w:val="none"/>
                      <w:lang w:val="en-US" w:eastAsia="zh-CN" w:bidi="ar"/>
                    </w:rPr>
                    <w:t>根据《国投寻甸白石岩光伏发电项目总体设计报告》，</w:t>
                  </w:r>
                  <w:r>
                    <w:rPr>
                      <w:rFonts w:hint="eastAsia" w:ascii="宋体" w:hAnsi="宋体" w:eastAsia="宋体" w:cs="宋体"/>
                      <w:color w:val="auto"/>
                      <w:kern w:val="0"/>
                      <w:sz w:val="21"/>
                      <w:szCs w:val="21"/>
                      <w:lang w:val="en-US" w:eastAsia="zh-CN" w:bidi="ar"/>
                    </w:rPr>
                    <w:t>本项目按“林业种植+光伏发电”的方案进行设计。</w:t>
                  </w:r>
                </w:p>
                <w:p w14:paraId="342BE8BF">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cs="Times New Roman"/>
                      <w:color w:val="auto"/>
                      <w:spacing w:val="0"/>
                      <w:kern w:val="0"/>
                      <w:sz w:val="21"/>
                      <w:szCs w:val="21"/>
                      <w:highlight w:val="none"/>
                      <w:lang w:val="en-US" w:eastAsia="zh-CN" w:bidi="ar"/>
                    </w:rPr>
                    <w:t>3.</w:t>
                  </w:r>
                  <w:r>
                    <w:rPr>
                      <w:rFonts w:hint="default" w:ascii="Times New Roman" w:hAnsi="Times New Roman" w:eastAsia="宋体" w:cs="Times New Roman"/>
                      <w:color w:val="auto"/>
                      <w:kern w:val="0"/>
                      <w:sz w:val="21"/>
                      <w:szCs w:val="21"/>
                      <w:lang w:val="en-US" w:eastAsia="zh-CN" w:bidi="ar"/>
                    </w:rPr>
                    <w:t>根据项目使用林地可行性报告，本工程建设涉及占用林地情况为灌木林地、其他林地，保护等级Ⅱ~Ⅳ级，盖度小于50%</w:t>
                  </w:r>
                  <w:r>
                    <w:rPr>
                      <w:rFonts w:hint="eastAsia" w:cs="Times New Roman"/>
                      <w:color w:val="auto"/>
                      <w:spacing w:val="0"/>
                      <w:kern w:val="0"/>
                      <w:sz w:val="21"/>
                      <w:szCs w:val="21"/>
                      <w:lang w:val="en-US" w:eastAsia="zh-CN" w:bidi="ar"/>
                    </w:rPr>
                    <w:t>，不占用竹林地，</w:t>
                  </w:r>
                  <w:r>
                    <w:rPr>
                      <w:rFonts w:hint="eastAsia" w:ascii="Times New Roman" w:hAnsi="Times New Roman" w:eastAsia="宋体" w:cs="Times New Roman"/>
                      <w:color w:val="auto"/>
                      <w:kern w:val="0"/>
                      <w:sz w:val="21"/>
                      <w:szCs w:val="21"/>
                      <w:highlight w:val="none"/>
                      <w:lang w:val="en-US" w:eastAsia="zh-CN"/>
                    </w:rPr>
                    <w:t>施工不会</w:t>
                  </w:r>
                  <w:r>
                    <w:rPr>
                      <w:rFonts w:hint="default" w:ascii="Times New Roman" w:hAnsi="Times New Roman" w:cs="Times New Roman"/>
                      <w:color w:val="auto"/>
                      <w:kern w:val="0"/>
                      <w:sz w:val="21"/>
                      <w:szCs w:val="21"/>
                      <w:highlight w:val="none"/>
                    </w:rPr>
                    <w:t>采伐林木、割灌及破坏原有植被，不</w:t>
                  </w:r>
                  <w:r>
                    <w:rPr>
                      <w:rFonts w:hint="eastAsia" w:ascii="Times New Roman" w:hAnsi="Times New Roman" w:cs="Times New Roman"/>
                      <w:color w:val="auto"/>
                      <w:kern w:val="0"/>
                      <w:sz w:val="21"/>
                      <w:szCs w:val="21"/>
                      <w:highlight w:val="none"/>
                      <w:lang w:val="en-US" w:eastAsia="zh-CN"/>
                    </w:rPr>
                    <w:t>会</w:t>
                  </w:r>
                  <w:r>
                    <w:rPr>
                      <w:rFonts w:hint="default" w:ascii="Times New Roman" w:hAnsi="Times New Roman" w:cs="Times New Roman"/>
                      <w:color w:val="auto"/>
                      <w:kern w:val="0"/>
                      <w:sz w:val="21"/>
                      <w:szCs w:val="21"/>
                      <w:highlight w:val="none"/>
                    </w:rPr>
                    <w:t>将乔木林地等采伐改造为灌木林地后架设光伏板</w:t>
                  </w:r>
                  <w:r>
                    <w:rPr>
                      <w:rFonts w:hint="eastAsia" w:ascii="Times New Roman" w:hAnsi="Times New Roman" w:cs="Times New Roman"/>
                      <w:color w:val="auto"/>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lang w:val="en-US" w:eastAsia="zh-CN" w:bidi="ar"/>
                    </w:rPr>
                    <w:t>与要求不冲突。</w:t>
                  </w:r>
                </w:p>
                <w:p w14:paraId="0CE32BF2">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4</w:t>
                  </w:r>
                  <w:r>
                    <w:rPr>
                      <w:rFonts w:hint="default" w:ascii="Times New Roman" w:hAnsi="Times New Roman"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项目</w:t>
                  </w:r>
                  <w:r>
                    <w:rPr>
                      <w:rFonts w:hint="eastAsia"/>
                      <w:color w:val="auto"/>
                      <w:spacing w:val="0"/>
                      <w:sz w:val="21"/>
                      <w:szCs w:val="21"/>
                      <w:highlight w:val="none"/>
                      <w:shd w:val="clear" w:color="auto" w:fill="auto"/>
                    </w:rPr>
                    <w:t>光伏组件按最低离地2.5m、桩基间列间距大于4m、行间距大于6.5m</w:t>
                  </w:r>
                  <w:r>
                    <w:rPr>
                      <w:rFonts w:hint="eastAsia"/>
                      <w:color w:val="auto"/>
                      <w:spacing w:val="0"/>
                      <w:sz w:val="21"/>
                      <w:szCs w:val="21"/>
                      <w:highlight w:val="none"/>
                      <w:shd w:val="clear" w:color="auto" w:fill="auto"/>
                      <w:lang w:eastAsia="zh-CN"/>
                    </w:rPr>
                    <w:t>，</w:t>
                  </w:r>
                  <w:r>
                    <w:rPr>
                      <w:rFonts w:hint="eastAsia"/>
                      <w:color w:val="auto"/>
                      <w:spacing w:val="0"/>
                      <w:sz w:val="21"/>
                      <w:szCs w:val="21"/>
                      <w:highlight w:val="none"/>
                      <w:shd w:val="clear" w:color="auto" w:fill="auto"/>
                      <w:lang w:val="en-US" w:eastAsia="zh-CN"/>
                    </w:rPr>
                    <w:t>且</w:t>
                  </w:r>
                  <w:r>
                    <w:rPr>
                      <w:rFonts w:hint="default"/>
                      <w:color w:val="auto"/>
                      <w:spacing w:val="0"/>
                      <w:sz w:val="21"/>
                      <w:szCs w:val="21"/>
                      <w:highlight w:val="none"/>
                      <w:shd w:val="clear" w:color="auto" w:fill="auto"/>
                    </w:rPr>
                    <w:t>光伏支架最低点应高于灌木高度1米以上，每列光伏板南北方向应合理设置净间距，具体由各地结合实地确定，并采取有效水土保持措施，确保灌木覆盖度等生长状态不低于林光互补前水平</w:t>
                  </w:r>
                  <w:r>
                    <w:rPr>
                      <w:rFonts w:hint="eastAsia"/>
                      <w:color w:val="auto"/>
                      <w:spacing w:val="0"/>
                      <w:sz w:val="21"/>
                      <w:szCs w:val="21"/>
                      <w:highlight w:val="none"/>
                      <w:shd w:val="clear" w:color="auto" w:fill="auto"/>
                      <w:lang w:eastAsia="zh-CN"/>
                    </w:rPr>
                    <w:t>。</w:t>
                  </w:r>
                </w:p>
                <w:p w14:paraId="077149D0">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val="en-US" w:eastAsia="zh-CN"/>
                    </w:rPr>
                    <w:t>.本项目</w:t>
                  </w:r>
                  <w:r>
                    <w:rPr>
                      <w:rFonts w:hint="eastAsia" w:ascii="Times New Roman" w:hAnsi="Times New Roman" w:cs="Times New Roman"/>
                      <w:color w:val="auto"/>
                      <w:kern w:val="0"/>
                      <w:sz w:val="21"/>
                      <w:szCs w:val="21"/>
                      <w:highlight w:val="none"/>
                      <w:lang w:val="en-US" w:eastAsia="zh-CN"/>
                    </w:rPr>
                    <w:t>正在</w:t>
                  </w:r>
                  <w:r>
                    <w:rPr>
                      <w:rFonts w:hint="default" w:ascii="Times New Roman" w:hAnsi="Times New Roman" w:cs="Times New Roman"/>
                      <w:color w:val="auto"/>
                      <w:kern w:val="0"/>
                      <w:sz w:val="21"/>
                      <w:szCs w:val="21"/>
                      <w:highlight w:val="none"/>
                      <w:lang w:val="en-US" w:eastAsia="zh-CN"/>
                    </w:rPr>
                    <w:t>编制水土保持方案报告书，</w:t>
                  </w:r>
                  <w:r>
                    <w:rPr>
                      <w:rFonts w:hint="default" w:ascii="Times New Roman" w:hAnsi="Times New Roman" w:cs="Times New Roman"/>
                      <w:color w:val="auto"/>
                      <w:kern w:val="0"/>
                      <w:sz w:val="21"/>
                      <w:szCs w:val="21"/>
                      <w:highlight w:val="none"/>
                    </w:rPr>
                    <w:t>并采取有效水土保持措施，确保灌木覆盖度等生长状态不低于林光互补前水平</w:t>
                  </w:r>
                  <w:r>
                    <w:rPr>
                      <w:rFonts w:hint="eastAsia" w:ascii="Times New Roman" w:hAnsi="Times New Roman" w:cs="Times New Roman"/>
                      <w:color w:val="auto"/>
                      <w:kern w:val="0"/>
                      <w:sz w:val="21"/>
                      <w:szCs w:val="21"/>
                      <w:highlight w:val="none"/>
                      <w:lang w:eastAsia="zh-CN"/>
                    </w:rPr>
                    <w:t>。</w:t>
                  </w:r>
                </w:p>
                <w:p w14:paraId="7483EDEB">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yellow"/>
                    </w:rPr>
                  </w:pPr>
                  <w:r>
                    <w:rPr>
                      <w:rFonts w:hint="eastAsia" w:ascii="Times New Roman" w:hAnsi="Times New Roman" w:cs="Times New Roman"/>
                      <w:color w:val="auto"/>
                      <w:kern w:val="0"/>
                      <w:sz w:val="21"/>
                      <w:szCs w:val="21"/>
                      <w:highlight w:val="none"/>
                      <w:lang w:val="en-US" w:eastAsia="zh-CN"/>
                    </w:rPr>
                    <w:t>6</w:t>
                  </w:r>
                  <w:r>
                    <w:rPr>
                      <w:rFonts w:hint="default" w:ascii="Times New Roman" w:hAnsi="Times New Roman" w:cs="Times New Roman"/>
                      <w:color w:val="auto"/>
                      <w:kern w:val="0"/>
                      <w:sz w:val="21"/>
                      <w:szCs w:val="21"/>
                      <w:highlight w:val="none"/>
                      <w:lang w:val="en-US" w:eastAsia="zh-CN"/>
                    </w:rPr>
                    <w:t>.</w:t>
                  </w:r>
                  <w:r>
                    <w:rPr>
                      <w:rFonts w:hint="eastAsia"/>
                      <w:bCs/>
                      <w:color w:val="auto"/>
                      <w:kern w:val="0"/>
                      <w:sz w:val="21"/>
                      <w:szCs w:val="21"/>
                      <w:highlight w:val="none"/>
                    </w:rPr>
                    <w:t>现阶段为项目施工阶段，</w:t>
                  </w:r>
                  <w:r>
                    <w:rPr>
                      <w:rFonts w:hint="eastAsia"/>
                      <w:bCs/>
                      <w:color w:val="auto"/>
                      <w:kern w:val="0"/>
                      <w:sz w:val="21"/>
                      <w:szCs w:val="21"/>
                      <w:highlight w:val="none"/>
                      <w:lang w:val="en-US" w:eastAsia="zh-CN"/>
                    </w:rPr>
                    <w:t>建设单位已</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严格根据相关用地法律法规要求按照程序办理用地使用手续</w:t>
                  </w:r>
                  <w:r>
                    <w:rPr>
                      <w:rFonts w:hint="eastAsia" w:eastAsia="宋体"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运营期间相关方签订协议，项目服务期满后应当恢复林地原状。</w:t>
                  </w:r>
                </w:p>
                <w:p w14:paraId="42C4F79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color w:val="auto"/>
                      <w:kern w:val="0"/>
                      <w:sz w:val="21"/>
                      <w:szCs w:val="21"/>
                      <w:highlight w:val="none"/>
                      <w:lang w:val="en-US" w:eastAsia="zh-CN"/>
                    </w:rPr>
                    <w:t>7.</w:t>
                  </w:r>
                  <w:r>
                    <w:rPr>
                      <w:rFonts w:hint="eastAsia"/>
                      <w:bCs/>
                      <w:color w:val="auto"/>
                      <w:spacing w:val="0"/>
                      <w:kern w:val="0"/>
                      <w:szCs w:val="21"/>
                      <w:highlight w:val="none"/>
                      <w:shd w:val="clear" w:color="auto" w:fill="auto"/>
                    </w:rPr>
                    <w:t>项</w:t>
                  </w:r>
                  <w:r>
                    <w:rPr>
                      <w:rFonts w:hint="default"/>
                      <w:bCs/>
                      <w:color w:val="auto"/>
                      <w:spacing w:val="0"/>
                      <w:kern w:val="0"/>
                      <w:szCs w:val="21"/>
                      <w:highlight w:val="none"/>
                      <w:shd w:val="clear" w:color="auto" w:fill="auto"/>
                    </w:rPr>
                    <w:t>目运营过程中将在光伏板下保护原</w:t>
                  </w:r>
                  <w:r>
                    <w:rPr>
                      <w:rFonts w:hint="eastAsia"/>
                      <w:bCs/>
                      <w:color w:val="auto"/>
                      <w:spacing w:val="0"/>
                      <w:kern w:val="0"/>
                      <w:szCs w:val="21"/>
                      <w:highlight w:val="none"/>
                      <w:shd w:val="clear" w:color="auto" w:fill="auto"/>
                    </w:rPr>
                    <w:t>有</w:t>
                  </w:r>
                  <w:r>
                    <w:rPr>
                      <w:rFonts w:hint="default"/>
                      <w:bCs/>
                      <w:color w:val="auto"/>
                      <w:spacing w:val="0"/>
                      <w:kern w:val="0"/>
                      <w:szCs w:val="21"/>
                      <w:highlight w:val="none"/>
                      <w:shd w:val="clear" w:color="auto" w:fill="auto"/>
                    </w:rPr>
                    <w:t>用地</w:t>
                  </w:r>
                  <w:r>
                    <w:rPr>
                      <w:rFonts w:hint="eastAsia"/>
                      <w:bCs/>
                      <w:color w:val="auto"/>
                      <w:spacing w:val="0"/>
                      <w:kern w:val="0"/>
                      <w:szCs w:val="21"/>
                      <w:highlight w:val="none"/>
                      <w:shd w:val="clear" w:color="auto" w:fill="auto"/>
                      <w:lang w:val="en-US" w:eastAsia="zh-CN"/>
                    </w:rPr>
                    <w:t>类型</w:t>
                  </w:r>
                  <w:r>
                    <w:rPr>
                      <w:rFonts w:hint="eastAsia"/>
                      <w:bCs/>
                      <w:color w:val="auto"/>
                      <w:spacing w:val="0"/>
                      <w:kern w:val="0"/>
                      <w:szCs w:val="21"/>
                      <w:highlight w:val="none"/>
                      <w:shd w:val="clear" w:color="auto" w:fill="auto"/>
                    </w:rPr>
                    <w:t>，保证</w:t>
                  </w:r>
                  <w:r>
                    <w:rPr>
                      <w:rFonts w:hint="default"/>
                      <w:color w:val="auto"/>
                      <w:spacing w:val="0"/>
                      <w:szCs w:val="21"/>
                      <w:highlight w:val="none"/>
                      <w:shd w:val="clear" w:color="auto" w:fill="auto"/>
                    </w:rPr>
                    <w:t>地表不裸露、</w:t>
                  </w:r>
                  <w:r>
                    <w:rPr>
                      <w:rFonts w:hint="eastAsia"/>
                      <w:color w:val="auto"/>
                      <w:spacing w:val="0"/>
                      <w:szCs w:val="21"/>
                      <w:highlight w:val="none"/>
                      <w:shd w:val="clear" w:color="auto" w:fill="auto"/>
                    </w:rPr>
                    <w:t>地面不</w:t>
                  </w:r>
                  <w:r>
                    <w:rPr>
                      <w:rFonts w:hint="default"/>
                      <w:color w:val="auto"/>
                      <w:spacing w:val="0"/>
                      <w:szCs w:val="21"/>
                      <w:highlight w:val="none"/>
                      <w:shd w:val="clear" w:color="auto" w:fill="auto"/>
                    </w:rPr>
                    <w:t>硬化或作其他用途。</w:t>
                  </w:r>
                </w:p>
              </w:tc>
              <w:tc>
                <w:tcPr>
                  <w:tcW w:w="537" w:type="pct"/>
                  <w:vAlign w:val="center"/>
                </w:tcPr>
                <w:p w14:paraId="1A431E06">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22E0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6" w:type="pct"/>
                  <w:vMerge w:val="continue"/>
                  <w:vAlign w:val="center"/>
                </w:tcPr>
                <w:p w14:paraId="1928C8B5">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p>
              </w:tc>
              <w:tc>
                <w:tcPr>
                  <w:tcW w:w="2072" w:type="pct"/>
                  <w:vAlign w:val="center"/>
                </w:tcPr>
                <w:p w14:paraId="0F21DC6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光伏发电项目配套设施用地，按建设用地进行管理，依法依规办理建设用地审批手续。其中，涉及占用耕地的，按规定落实占补平衡。符合光伏用地标准，位于方阵内部和四周，直接配套光伏方阵的道路，可按农村道路用地管理，涉及占用耕地的，按规定落实进出平衡。其他道路按建设用地管理。</w:t>
                  </w:r>
                </w:p>
              </w:tc>
              <w:tc>
                <w:tcPr>
                  <w:tcW w:w="1942" w:type="pct"/>
                  <w:vAlign w:val="center"/>
                </w:tcPr>
                <w:p w14:paraId="41A0A3C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vertAlign w:val="baseline"/>
                      <w:lang w:val="en-US" w:eastAsia="zh-CN"/>
                    </w:rPr>
                    <w:t>项目</w:t>
                  </w:r>
                  <w:r>
                    <w:rPr>
                      <w:rFonts w:hint="default" w:ascii="Times New Roman" w:hAnsi="Times New Roman" w:cs="Times New Roman"/>
                      <w:color w:val="auto"/>
                      <w:kern w:val="0"/>
                      <w:sz w:val="21"/>
                      <w:szCs w:val="21"/>
                    </w:rPr>
                    <w:t>直接配套光伏方阵的道路</w:t>
                  </w:r>
                  <w:r>
                    <w:rPr>
                      <w:rFonts w:hint="default" w:ascii="Times New Roman" w:hAnsi="Times New Roman" w:cs="Times New Roman"/>
                      <w:color w:val="auto"/>
                      <w:lang w:val="en-US" w:eastAsia="zh-CN"/>
                    </w:rPr>
                    <w:t>用地</w:t>
                  </w:r>
                  <w:r>
                    <w:rPr>
                      <w:rFonts w:hint="eastAsia" w:cs="Times New Roman"/>
                      <w:color w:val="auto"/>
                      <w:lang w:val="en-US" w:eastAsia="zh-CN"/>
                    </w:rPr>
                    <w:t>按照防火通道单独立项，</w:t>
                  </w:r>
                  <w:r>
                    <w:rPr>
                      <w:rFonts w:hint="default" w:ascii="Times New Roman" w:hAnsi="Times New Roman" w:cs="Times New Roman"/>
                      <w:color w:val="auto"/>
                      <w:lang w:val="en-US" w:eastAsia="zh-CN"/>
                    </w:rPr>
                    <w:t>采用农村道路的要求进行管理</w:t>
                  </w:r>
                  <w:r>
                    <w:rPr>
                      <w:rFonts w:hint="eastAsia" w:ascii="Times New Roman" w:hAnsi="Times New Roman" w:cs="Times New Roman"/>
                      <w:color w:val="auto"/>
                      <w:lang w:val="en-US" w:eastAsia="zh-CN"/>
                    </w:rPr>
                    <w:t>，</w:t>
                  </w:r>
                  <w:r>
                    <w:rPr>
                      <w:rFonts w:hint="eastAsia" w:cs="Times New Roman"/>
                      <w:color w:val="auto"/>
                      <w:lang w:val="en-US" w:eastAsia="zh-CN"/>
                    </w:rPr>
                    <w:t>不在本次评价范围内，其</w:t>
                  </w:r>
                  <w:r>
                    <w:rPr>
                      <w:rFonts w:hint="default" w:ascii="Times New Roman" w:hAnsi="Times New Roman" w:cs="Times New Roman"/>
                      <w:color w:val="auto"/>
                      <w:kern w:val="0"/>
                      <w:sz w:val="21"/>
                      <w:szCs w:val="21"/>
                    </w:rPr>
                    <w:t>他道路按建设用地管理</w:t>
                  </w:r>
                  <w:r>
                    <w:rPr>
                      <w:rFonts w:hint="eastAsia" w:cs="Times New Roman"/>
                      <w:color w:val="auto"/>
                      <w:kern w:val="0"/>
                      <w:sz w:val="21"/>
                      <w:szCs w:val="21"/>
                      <w:lang w:eastAsia="zh-CN"/>
                    </w:rPr>
                    <w:t>。</w:t>
                  </w:r>
                </w:p>
              </w:tc>
              <w:tc>
                <w:tcPr>
                  <w:tcW w:w="537" w:type="pct"/>
                  <w:vAlign w:val="center"/>
                </w:tcPr>
                <w:p w14:paraId="4AD38148">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lang w:val="en-US" w:eastAsia="zh-CN"/>
                    </w:rPr>
                    <w:t>符合</w:t>
                  </w:r>
                </w:p>
              </w:tc>
            </w:tr>
            <w:tr w14:paraId="6151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restart"/>
                  <w:vAlign w:val="center"/>
                </w:tcPr>
                <w:p w14:paraId="3D7F3653">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加快办理项目用地手续</w:t>
                  </w:r>
                </w:p>
              </w:tc>
              <w:tc>
                <w:tcPr>
                  <w:tcW w:w="2072" w:type="pct"/>
                  <w:vAlign w:val="center"/>
                </w:tcPr>
                <w:p w14:paraId="0B1A012C">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建立用地用林用草联审机制。各地自然资源、林草主管部门要建立项目用地用林用草审查协调联动机制，对于符合国土空间规划和用途管制要求、纳入国土空间规划“一张图”的国家大型光伏基地建设范围项目，在项目立项与论证时，要对项目用地用林用草提出意见与要求，严格执行《光伏发电站工程项目用地控制指标》和光伏电站使用林地有关规定，保障项目用地用林用草合理需求。</w:t>
                  </w:r>
                </w:p>
              </w:tc>
              <w:tc>
                <w:tcPr>
                  <w:tcW w:w="1942" w:type="pct"/>
                  <w:vAlign w:val="center"/>
                </w:tcPr>
                <w:p w14:paraId="7AB896A5">
                  <w:pPr>
                    <w:keepNext/>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本项目已取得寻甸县</w:t>
                  </w:r>
                  <w:r>
                    <w:rPr>
                      <w:rFonts w:hint="eastAsia" w:ascii="Times New Roman" w:hAnsi="Times New Roman" w:cs="Times New Roman"/>
                      <w:color w:val="auto"/>
                      <w:kern w:val="0"/>
                      <w:sz w:val="21"/>
                      <w:szCs w:val="21"/>
                      <w:lang w:val="en-US" w:eastAsia="zh-CN"/>
                    </w:rPr>
                    <w:t>自然资源局、</w:t>
                  </w:r>
                  <w:r>
                    <w:rPr>
                      <w:rFonts w:hint="eastAsia" w:cs="Times New Roman"/>
                      <w:color w:val="auto"/>
                      <w:kern w:val="0"/>
                      <w:sz w:val="21"/>
                      <w:szCs w:val="21"/>
                      <w:lang w:val="en-US" w:eastAsia="zh-CN"/>
                    </w:rPr>
                    <w:t>寻甸县</w:t>
                  </w:r>
                  <w:r>
                    <w:rPr>
                      <w:rFonts w:hint="eastAsia" w:ascii="Times New Roman" w:hAnsi="Times New Roman" w:cs="Times New Roman"/>
                      <w:color w:val="auto"/>
                      <w:kern w:val="0"/>
                      <w:sz w:val="21"/>
                      <w:szCs w:val="21"/>
                      <w:lang w:val="en-US" w:eastAsia="zh-CN"/>
                    </w:rPr>
                    <w:t>林业和草原局等部门选址意见，项目</w:t>
                  </w:r>
                  <w:r>
                    <w:rPr>
                      <w:rFonts w:hint="eastAsia" w:cs="Times New Roman"/>
                      <w:color w:val="auto"/>
                      <w:kern w:val="0"/>
                      <w:sz w:val="21"/>
                      <w:szCs w:val="21"/>
                      <w:lang w:val="en-US" w:eastAsia="zh-CN"/>
                    </w:rPr>
                    <w:t>将</w:t>
                  </w:r>
                  <w:r>
                    <w:rPr>
                      <w:rFonts w:hint="default" w:ascii="Times New Roman" w:hAnsi="Times New Roman" w:cs="Times New Roman"/>
                      <w:color w:val="auto"/>
                      <w:kern w:val="0"/>
                      <w:sz w:val="21"/>
                      <w:szCs w:val="21"/>
                    </w:rPr>
                    <w:t>严格执行《光伏发电站工程项目用地控制指标》和光伏电站使用林地有关规定，保障项目用地用林用草合理需求。</w:t>
                  </w:r>
                </w:p>
              </w:tc>
              <w:tc>
                <w:tcPr>
                  <w:tcW w:w="537" w:type="pct"/>
                  <w:vAlign w:val="center"/>
                </w:tcPr>
                <w:p w14:paraId="66003D50">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1194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2" w:hRule="atLeast"/>
              </w:trPr>
              <w:tc>
                <w:tcPr>
                  <w:tcW w:w="446" w:type="pct"/>
                  <w:vMerge w:val="continue"/>
                  <w:vAlign w:val="center"/>
                </w:tcPr>
                <w:p w14:paraId="47696997">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p>
              </w:tc>
              <w:tc>
                <w:tcPr>
                  <w:tcW w:w="2072" w:type="pct"/>
                  <w:vAlign w:val="center"/>
                </w:tcPr>
                <w:p w14:paraId="09F70C94">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及时办理征地或租赁等用地手续。光伏发电项目用地涉及使用建设用地的，可依照土地征收规定办理土地征收手续。光伏方阵用地允许以租赁等方式取得，用地单位与农村集体经济组织或国有土地权利主体、当地乡镇政府签订用地与补偿协议，报当地县级自然资源和林草主管部门备案。</w:t>
                  </w:r>
                </w:p>
              </w:tc>
              <w:tc>
                <w:tcPr>
                  <w:tcW w:w="1942" w:type="pct"/>
                  <w:vAlign w:val="center"/>
                </w:tcPr>
                <w:p w14:paraId="0BFE8393">
                  <w:pPr>
                    <w:keepNext/>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正依法办理</w:t>
                  </w:r>
                  <w:r>
                    <w:rPr>
                      <w:rFonts w:hint="eastAsia" w:ascii="Times New Roman" w:hAnsi="Times New Roman" w:cs="Times New Roman"/>
                      <w:color w:val="auto"/>
                      <w:kern w:val="0"/>
                      <w:sz w:val="21"/>
                      <w:szCs w:val="21"/>
                      <w:highlight w:val="none"/>
                      <w:lang w:val="en-US" w:eastAsia="zh-CN" w:bidi="ar"/>
                    </w:rPr>
                    <w:t>土地征收手续，依据国家和当地征地政策及相关规定执行。</w:t>
                  </w:r>
                  <w:r>
                    <w:rPr>
                      <w:rFonts w:hint="default" w:ascii="Times New Roman" w:hAnsi="Times New Roman" w:cs="Times New Roman"/>
                      <w:color w:val="auto"/>
                      <w:kern w:val="0"/>
                      <w:sz w:val="21"/>
                      <w:szCs w:val="21"/>
                      <w:highlight w:val="none"/>
                      <w:lang w:val="en-US" w:eastAsia="zh-CN" w:bidi="ar"/>
                    </w:rPr>
                    <w:t>项目</w:t>
                  </w:r>
                  <w:r>
                    <w:rPr>
                      <w:rFonts w:hint="eastAsia" w:ascii="Times New Roman" w:hAnsi="Times New Roman" w:cs="Times New Roman"/>
                      <w:color w:val="auto"/>
                      <w:kern w:val="0"/>
                      <w:sz w:val="21"/>
                      <w:szCs w:val="21"/>
                      <w:highlight w:val="none"/>
                      <w:lang w:val="en-US" w:eastAsia="zh-CN" w:bidi="ar"/>
                    </w:rPr>
                    <w:t>光伏方阵</w:t>
                  </w:r>
                  <w:r>
                    <w:rPr>
                      <w:rFonts w:hint="default" w:ascii="Times New Roman" w:hAnsi="Times New Roman" w:cs="Times New Roman"/>
                      <w:color w:val="auto"/>
                      <w:kern w:val="0"/>
                      <w:sz w:val="21"/>
                      <w:szCs w:val="21"/>
                      <w:highlight w:val="none"/>
                      <w:lang w:val="en-US" w:eastAsia="zh-CN" w:bidi="ar"/>
                    </w:rPr>
                    <w:t>用地以租赁方式取得，</w:t>
                  </w:r>
                  <w:r>
                    <w:rPr>
                      <w:rFonts w:hint="eastAsia" w:ascii="Times New Roman" w:hAnsi="Times New Roman" w:cs="Times New Roman"/>
                      <w:color w:val="auto"/>
                      <w:kern w:val="0"/>
                      <w:sz w:val="21"/>
                      <w:szCs w:val="21"/>
                      <w:highlight w:val="none"/>
                      <w:lang w:val="en-US" w:eastAsia="zh-CN"/>
                    </w:rPr>
                    <w:t>建设</w:t>
                  </w:r>
                  <w:r>
                    <w:rPr>
                      <w:rFonts w:hint="default" w:ascii="Times New Roman" w:hAnsi="Times New Roman" w:cs="Times New Roman"/>
                      <w:color w:val="auto"/>
                      <w:kern w:val="0"/>
                      <w:sz w:val="21"/>
                      <w:szCs w:val="21"/>
                      <w:highlight w:val="none"/>
                    </w:rPr>
                    <w:t>单位</w:t>
                  </w:r>
                  <w:r>
                    <w:rPr>
                      <w:rFonts w:hint="eastAsia" w:cs="Times New Roman"/>
                      <w:color w:val="auto"/>
                      <w:kern w:val="0"/>
                      <w:sz w:val="21"/>
                      <w:szCs w:val="21"/>
                      <w:highlight w:val="none"/>
                      <w:lang w:val="en-US" w:eastAsia="zh-CN"/>
                    </w:rPr>
                    <w:t>将</w:t>
                  </w:r>
                  <w:r>
                    <w:rPr>
                      <w:rFonts w:hint="default" w:ascii="Times New Roman" w:hAnsi="Times New Roman" w:cs="Times New Roman"/>
                      <w:color w:val="auto"/>
                      <w:kern w:val="0"/>
                      <w:sz w:val="21"/>
                      <w:szCs w:val="21"/>
                      <w:highlight w:val="none"/>
                    </w:rPr>
                    <w:t>与</w:t>
                  </w:r>
                  <w:r>
                    <w:rPr>
                      <w:rFonts w:hint="eastAsia" w:ascii="Times New Roman" w:hAnsi="Times New Roman" w:cs="Times New Roman"/>
                      <w:color w:val="auto"/>
                      <w:kern w:val="0"/>
                      <w:sz w:val="21"/>
                      <w:szCs w:val="21"/>
                      <w:highlight w:val="none"/>
                      <w:lang w:val="en-US" w:eastAsia="zh-CN"/>
                    </w:rPr>
                    <w:t>相关组织部门</w:t>
                  </w:r>
                  <w:r>
                    <w:rPr>
                      <w:rFonts w:hint="default" w:ascii="Times New Roman" w:hAnsi="Times New Roman" w:cs="Times New Roman"/>
                      <w:color w:val="auto"/>
                      <w:kern w:val="0"/>
                      <w:sz w:val="21"/>
                      <w:szCs w:val="21"/>
                      <w:highlight w:val="none"/>
                    </w:rPr>
                    <w:t>签订用地补偿协议，报当地县级自然资源和林草主管部门备案。</w:t>
                  </w:r>
                </w:p>
              </w:tc>
              <w:tc>
                <w:tcPr>
                  <w:tcW w:w="537" w:type="pct"/>
                  <w:vAlign w:val="center"/>
                </w:tcPr>
                <w:p w14:paraId="7EB83D5C">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lang w:val="en-US" w:eastAsia="zh-CN"/>
                    </w:rPr>
                    <w:t>符合</w:t>
                  </w:r>
                </w:p>
              </w:tc>
            </w:tr>
          </w:tbl>
          <w:p w14:paraId="601303C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cs="宋体"/>
                <w:b/>
                <w:bCs/>
                <w:color w:val="auto"/>
                <w:kern w:val="0"/>
                <w:sz w:val="24"/>
                <w:highlight w:val="none"/>
                <w:shd w:val="clear" w:color="auto" w:fill="auto"/>
                <w:lang w:bidi="ar"/>
              </w:rPr>
            </w:pPr>
            <w:r>
              <w:rPr>
                <w:rFonts w:hint="eastAsia"/>
                <w:b/>
                <w:bCs/>
                <w:color w:val="auto"/>
                <w:kern w:val="0"/>
                <w:sz w:val="24"/>
                <w:highlight w:val="none"/>
                <w:shd w:val="clear" w:color="auto" w:fill="auto"/>
                <w:lang w:val="en-US" w:eastAsia="zh-CN"/>
              </w:rPr>
              <w:t>13</w:t>
            </w:r>
            <w:r>
              <w:rPr>
                <w:rFonts w:hint="eastAsia"/>
                <w:b/>
                <w:bCs/>
                <w:color w:val="auto"/>
                <w:kern w:val="0"/>
                <w:sz w:val="24"/>
                <w:highlight w:val="none"/>
                <w:shd w:val="clear" w:color="auto" w:fill="auto"/>
              </w:rPr>
              <w:t>、与《</w:t>
            </w:r>
            <w:r>
              <w:rPr>
                <w:rFonts w:hint="eastAsia" w:ascii="宋体" w:hAnsi="宋体" w:cs="宋体"/>
                <w:b/>
                <w:bCs/>
                <w:color w:val="auto"/>
                <w:kern w:val="0"/>
                <w:sz w:val="24"/>
                <w:highlight w:val="none"/>
                <w:shd w:val="clear" w:color="auto" w:fill="auto"/>
                <w:lang w:bidi="ar"/>
              </w:rPr>
              <w:t xml:space="preserve">云南省自然资源厅 </w:t>
            </w:r>
            <w:r>
              <w:rPr>
                <w:rFonts w:hint="eastAsia"/>
                <w:b/>
                <w:bCs/>
                <w:color w:val="auto"/>
                <w:kern w:val="0"/>
                <w:sz w:val="24"/>
                <w:highlight w:val="none"/>
                <w:shd w:val="clear" w:color="auto" w:fill="auto"/>
              </w:rPr>
              <w:t>云南省能源局关于进一步支持光伏扶贫和规范光伏发电产业用地的通知》（</w:t>
            </w:r>
            <w:r>
              <w:rPr>
                <w:rFonts w:hint="eastAsia" w:ascii="宋体" w:hAnsi="宋体" w:cs="宋体"/>
                <w:b/>
                <w:bCs/>
                <w:color w:val="auto"/>
                <w:kern w:val="0"/>
                <w:sz w:val="24"/>
                <w:highlight w:val="none"/>
                <w:shd w:val="clear" w:color="auto" w:fill="auto"/>
                <w:lang w:bidi="ar"/>
              </w:rPr>
              <w:t>云自然资〔</w:t>
            </w:r>
            <w:r>
              <w:rPr>
                <w:rFonts w:hint="default"/>
                <w:b/>
                <w:bCs/>
                <w:color w:val="auto"/>
                <w:kern w:val="0"/>
                <w:sz w:val="24"/>
                <w:highlight w:val="none"/>
                <w:shd w:val="clear" w:color="auto" w:fill="auto"/>
                <w:lang w:bidi="ar"/>
              </w:rPr>
              <w:t>2019</w:t>
            </w:r>
            <w:r>
              <w:rPr>
                <w:rFonts w:hint="eastAsia" w:ascii="宋体" w:hAnsi="宋体" w:cs="宋体"/>
                <w:b/>
                <w:bCs/>
                <w:color w:val="auto"/>
                <w:kern w:val="0"/>
                <w:sz w:val="24"/>
                <w:highlight w:val="none"/>
                <w:shd w:val="clear" w:color="auto" w:fill="auto"/>
                <w:lang w:bidi="ar"/>
              </w:rPr>
              <w:t>〕</w:t>
            </w:r>
            <w:r>
              <w:rPr>
                <w:rFonts w:hint="default"/>
                <w:b/>
                <w:bCs/>
                <w:color w:val="auto"/>
                <w:kern w:val="0"/>
                <w:sz w:val="24"/>
                <w:highlight w:val="none"/>
                <w:shd w:val="clear" w:color="auto" w:fill="auto"/>
                <w:lang w:bidi="ar"/>
              </w:rPr>
              <w:t>196</w:t>
            </w:r>
            <w:r>
              <w:rPr>
                <w:rFonts w:hint="eastAsia" w:ascii="宋体" w:hAnsi="宋体" w:cs="宋体"/>
                <w:b/>
                <w:bCs/>
                <w:color w:val="auto"/>
                <w:kern w:val="0"/>
                <w:sz w:val="24"/>
                <w:highlight w:val="none"/>
                <w:shd w:val="clear" w:color="auto" w:fill="auto"/>
                <w:lang w:bidi="ar"/>
              </w:rPr>
              <w:t>号</w:t>
            </w:r>
            <w:r>
              <w:rPr>
                <w:rFonts w:hint="eastAsia"/>
                <w:b/>
                <w:bCs/>
                <w:color w:val="auto"/>
                <w:kern w:val="0"/>
                <w:sz w:val="24"/>
                <w:highlight w:val="none"/>
                <w:shd w:val="clear" w:color="auto" w:fill="auto"/>
              </w:rPr>
              <w:t>）的符合性</w:t>
            </w:r>
          </w:p>
          <w:p w14:paraId="36E7379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z w:val="21"/>
                <w:szCs w:val="21"/>
                <w:highlight w:val="none"/>
                <w:shd w:val="clear" w:color="auto" w:fill="auto"/>
              </w:rPr>
            </w:pPr>
            <w:r>
              <w:rPr>
                <w:rFonts w:hint="eastAsia" w:ascii="宋体" w:hAnsi="宋体" w:cs="宋体"/>
                <w:b/>
                <w:bCs/>
                <w:color w:val="auto"/>
                <w:kern w:val="0"/>
                <w:sz w:val="21"/>
                <w:szCs w:val="21"/>
                <w:highlight w:val="none"/>
                <w:shd w:val="clear" w:color="auto" w:fill="auto"/>
                <w:lang w:bidi="ar"/>
              </w:rPr>
              <w:t>表</w:t>
            </w:r>
            <w:r>
              <w:rPr>
                <w:rFonts w:hint="default"/>
                <w:b/>
                <w:bCs/>
                <w:color w:val="auto"/>
                <w:kern w:val="0"/>
                <w:sz w:val="21"/>
                <w:szCs w:val="21"/>
                <w:highlight w:val="none"/>
                <w:shd w:val="clear" w:color="auto" w:fill="auto"/>
                <w:lang w:bidi="ar"/>
              </w:rPr>
              <w:t>1-</w:t>
            </w:r>
            <w:r>
              <w:rPr>
                <w:rFonts w:hint="eastAsia"/>
                <w:b/>
                <w:bCs/>
                <w:color w:val="auto"/>
                <w:kern w:val="0"/>
                <w:sz w:val="21"/>
                <w:szCs w:val="21"/>
                <w:highlight w:val="none"/>
                <w:shd w:val="clear" w:color="auto" w:fill="auto"/>
                <w:lang w:val="en-US" w:eastAsia="zh-CN" w:bidi="ar"/>
              </w:rPr>
              <w:t>12</w:t>
            </w:r>
            <w:r>
              <w:rPr>
                <w:rFonts w:hint="default"/>
                <w:b/>
                <w:bCs/>
                <w:color w:val="auto"/>
                <w:kern w:val="0"/>
                <w:sz w:val="21"/>
                <w:szCs w:val="21"/>
                <w:highlight w:val="none"/>
                <w:shd w:val="clear" w:color="auto" w:fill="auto"/>
                <w:lang w:bidi="ar"/>
              </w:rPr>
              <w:t xml:space="preserve"> </w:t>
            </w:r>
            <w:r>
              <w:rPr>
                <w:rFonts w:hint="eastAsia"/>
                <w:b/>
                <w:bCs/>
                <w:color w:val="auto"/>
                <w:kern w:val="0"/>
                <w:sz w:val="21"/>
                <w:szCs w:val="21"/>
                <w:highlight w:val="none"/>
                <w:shd w:val="clear" w:color="auto" w:fill="auto"/>
                <w:lang w:val="en-US" w:eastAsia="zh-CN" w:bidi="ar"/>
              </w:rPr>
              <w:t xml:space="preserve"> </w:t>
            </w:r>
            <w:r>
              <w:rPr>
                <w:rFonts w:hint="eastAsia" w:ascii="宋体" w:hAnsi="宋体" w:cs="宋体"/>
                <w:b/>
                <w:bCs/>
                <w:color w:val="auto"/>
                <w:kern w:val="0"/>
                <w:sz w:val="21"/>
                <w:szCs w:val="21"/>
                <w:highlight w:val="none"/>
                <w:shd w:val="clear" w:color="auto" w:fill="auto"/>
                <w:lang w:bidi="ar"/>
              </w:rPr>
              <w:t>与云自然资〔</w:t>
            </w:r>
            <w:r>
              <w:rPr>
                <w:rFonts w:hint="default"/>
                <w:b/>
                <w:bCs/>
                <w:color w:val="auto"/>
                <w:kern w:val="0"/>
                <w:sz w:val="21"/>
                <w:szCs w:val="21"/>
                <w:highlight w:val="none"/>
                <w:shd w:val="clear" w:color="auto" w:fill="auto"/>
                <w:lang w:bidi="ar"/>
              </w:rPr>
              <w:t>2019</w:t>
            </w:r>
            <w:r>
              <w:rPr>
                <w:rFonts w:hint="eastAsia" w:ascii="宋体" w:hAnsi="宋体" w:cs="宋体"/>
                <w:b/>
                <w:bCs/>
                <w:color w:val="auto"/>
                <w:kern w:val="0"/>
                <w:sz w:val="21"/>
                <w:szCs w:val="21"/>
                <w:highlight w:val="none"/>
                <w:shd w:val="clear" w:color="auto" w:fill="auto"/>
                <w:lang w:bidi="ar"/>
              </w:rPr>
              <w:t>〕</w:t>
            </w:r>
            <w:r>
              <w:rPr>
                <w:rFonts w:hint="default"/>
                <w:b/>
                <w:bCs/>
                <w:color w:val="auto"/>
                <w:kern w:val="0"/>
                <w:sz w:val="21"/>
                <w:szCs w:val="21"/>
                <w:highlight w:val="none"/>
                <w:shd w:val="clear" w:color="auto" w:fill="auto"/>
                <w:lang w:bidi="ar"/>
              </w:rPr>
              <w:t>196</w:t>
            </w:r>
            <w:r>
              <w:rPr>
                <w:rFonts w:hint="eastAsia" w:ascii="宋体" w:hAnsi="宋体" w:cs="宋体"/>
                <w:b/>
                <w:bCs/>
                <w:color w:val="auto"/>
                <w:kern w:val="0"/>
                <w:sz w:val="21"/>
                <w:szCs w:val="21"/>
                <w:highlight w:val="none"/>
                <w:shd w:val="clear" w:color="auto" w:fill="auto"/>
                <w:lang w:bidi="ar"/>
              </w:rPr>
              <w:t>号文件符合性分析</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3189"/>
              <w:gridCol w:w="2598"/>
              <w:gridCol w:w="863"/>
            </w:tblGrid>
            <w:tr w14:paraId="01BD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22BCEA07">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b/>
                      <w:bCs/>
                      <w:color w:val="auto"/>
                      <w:kern w:val="0"/>
                      <w:szCs w:val="21"/>
                      <w:highlight w:val="none"/>
                      <w:shd w:val="clear" w:color="auto" w:fill="auto"/>
                    </w:rPr>
                    <w:t>序号</w:t>
                  </w:r>
                </w:p>
              </w:tc>
              <w:tc>
                <w:tcPr>
                  <w:tcW w:w="2181" w:type="pct"/>
                  <w:vAlign w:val="center"/>
                </w:tcPr>
                <w:p w14:paraId="6A8369E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lang w:bidi="ar"/>
                    </w:rPr>
                    <w:t>管控要求</w:t>
                  </w:r>
                </w:p>
              </w:tc>
              <w:tc>
                <w:tcPr>
                  <w:tcW w:w="1777" w:type="pct"/>
                  <w:vAlign w:val="center"/>
                </w:tcPr>
                <w:p w14:paraId="76182406">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lang w:bidi="ar"/>
                    </w:rPr>
                    <w:t>项目实际</w:t>
                  </w:r>
                </w:p>
              </w:tc>
              <w:tc>
                <w:tcPr>
                  <w:tcW w:w="590" w:type="pct"/>
                  <w:vAlign w:val="center"/>
                </w:tcPr>
                <w:p w14:paraId="203F5BD0">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b/>
                      <w:bCs/>
                      <w:color w:val="auto"/>
                      <w:kern w:val="0"/>
                      <w:szCs w:val="21"/>
                      <w:highlight w:val="none"/>
                      <w:shd w:val="clear" w:color="auto" w:fill="auto"/>
                    </w:rPr>
                    <w:t>符合性</w:t>
                  </w:r>
                </w:p>
              </w:tc>
            </w:tr>
            <w:tr w14:paraId="49DE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3C0A5D2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1</w:t>
                  </w:r>
                </w:p>
              </w:tc>
              <w:tc>
                <w:tcPr>
                  <w:tcW w:w="2181" w:type="pct"/>
                  <w:vAlign w:val="center"/>
                </w:tcPr>
                <w:p w14:paraId="7A321642">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ascii="宋体" w:hAnsi="宋体" w:cs="宋体"/>
                      <w:color w:val="auto"/>
                      <w:kern w:val="0"/>
                      <w:szCs w:val="21"/>
                      <w:highlight w:val="none"/>
                      <w:shd w:val="clear" w:color="auto" w:fill="auto"/>
                      <w:lang w:bidi="ar"/>
                    </w:rPr>
                    <w:t>对国土资规〔</w:t>
                  </w:r>
                  <w:r>
                    <w:rPr>
                      <w:rFonts w:hint="default"/>
                      <w:color w:val="auto"/>
                      <w:kern w:val="0"/>
                      <w:szCs w:val="21"/>
                      <w:highlight w:val="none"/>
                      <w:shd w:val="clear" w:color="auto" w:fill="auto"/>
                      <w:lang w:bidi="ar"/>
                    </w:rPr>
                    <w:t>2017</w:t>
                  </w:r>
                  <w:r>
                    <w:rPr>
                      <w:rFonts w:hint="eastAsia" w:ascii="宋体" w:hAnsi="宋体" w:cs="宋体"/>
                      <w:color w:val="auto"/>
                      <w:kern w:val="0"/>
                      <w:szCs w:val="21"/>
                      <w:highlight w:val="none"/>
                      <w:shd w:val="clear" w:color="auto" w:fill="auto"/>
                      <w:lang w:bidi="ar"/>
                    </w:rPr>
                    <w:t>〕</w:t>
                  </w:r>
                  <w:r>
                    <w:rPr>
                      <w:rFonts w:hint="default"/>
                      <w:color w:val="auto"/>
                      <w:kern w:val="0"/>
                      <w:szCs w:val="21"/>
                      <w:highlight w:val="none"/>
                      <w:shd w:val="clear" w:color="auto" w:fill="auto"/>
                      <w:lang w:bidi="ar"/>
                    </w:rPr>
                    <w:t>8</w:t>
                  </w:r>
                  <w:r>
                    <w:rPr>
                      <w:rFonts w:hint="eastAsia" w:ascii="宋体" w:hAnsi="宋体" w:cs="宋体"/>
                      <w:color w:val="auto"/>
                      <w:kern w:val="0"/>
                      <w:szCs w:val="21"/>
                      <w:highlight w:val="none"/>
                      <w:shd w:val="clear" w:color="auto" w:fill="auto"/>
                      <w:lang w:bidi="ar"/>
                    </w:rPr>
                    <w:t>号文件确定利用农用地复合建设的光伏发电项目（以下简称光伏复合项目）以外的其他光伏发电项目用地，应严格执行国土资规〔</w:t>
                  </w:r>
                  <w:r>
                    <w:rPr>
                      <w:rFonts w:hint="default"/>
                      <w:color w:val="auto"/>
                      <w:kern w:val="0"/>
                      <w:szCs w:val="21"/>
                      <w:highlight w:val="none"/>
                      <w:shd w:val="clear" w:color="auto" w:fill="auto"/>
                      <w:lang w:bidi="ar"/>
                    </w:rPr>
                    <w:t>2015</w:t>
                  </w:r>
                  <w:r>
                    <w:rPr>
                      <w:rFonts w:hint="eastAsia" w:ascii="宋体" w:hAnsi="宋体" w:cs="宋体"/>
                      <w:color w:val="auto"/>
                      <w:kern w:val="0"/>
                      <w:szCs w:val="21"/>
                      <w:highlight w:val="none"/>
                      <w:shd w:val="clear" w:color="auto" w:fill="auto"/>
                      <w:lang w:bidi="ar"/>
                    </w:rPr>
                    <w:t>〕</w:t>
                  </w:r>
                  <w:r>
                    <w:rPr>
                      <w:rFonts w:hint="default"/>
                      <w:color w:val="auto"/>
                      <w:kern w:val="0"/>
                      <w:szCs w:val="21"/>
                      <w:highlight w:val="none"/>
                      <w:shd w:val="clear" w:color="auto" w:fill="auto"/>
                      <w:lang w:bidi="ar"/>
                    </w:rPr>
                    <w:t>5</w:t>
                  </w:r>
                  <w:r>
                    <w:rPr>
                      <w:rFonts w:hint="eastAsia" w:ascii="宋体" w:hAnsi="宋体" w:cs="宋体"/>
                      <w:color w:val="auto"/>
                      <w:kern w:val="0"/>
                      <w:szCs w:val="21"/>
                      <w:highlight w:val="none"/>
                      <w:shd w:val="clear" w:color="auto" w:fill="auto"/>
                      <w:lang w:bidi="ar"/>
                    </w:rPr>
                    <w:t>号文件规定，使用未利用地的，对不占压土地、不改变地表形态的光伏方阵用地部分可按原地类认定，不改变土地用途，用地允许以租赁等方式取得，双方签订好补偿协议，报当地县（市、区）自然资源主管部门备案；其他用地部分，应依法办理建设用地审批手续；对建设占用农用地的，所有用地部分均应按建设用地管理。</w:t>
                  </w:r>
                </w:p>
              </w:tc>
              <w:tc>
                <w:tcPr>
                  <w:tcW w:w="1777" w:type="pct"/>
                  <w:vAlign w:val="center"/>
                </w:tcPr>
                <w:p w14:paraId="5EF8D0CB">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lang w:eastAsia="zh-CN"/>
                    </w:rPr>
                    <w:t>项目通过租赁和流转方式使用土地，</w:t>
                  </w:r>
                  <w:r>
                    <w:rPr>
                      <w:rFonts w:hint="eastAsia"/>
                      <w:color w:val="auto"/>
                      <w:kern w:val="0"/>
                      <w:szCs w:val="21"/>
                      <w:highlight w:val="none"/>
                      <w:shd w:val="clear" w:color="auto" w:fill="auto"/>
                      <w:lang w:val="en-US" w:eastAsia="zh-CN"/>
                    </w:rPr>
                    <w:t>将与</w:t>
                  </w:r>
                  <w:r>
                    <w:rPr>
                      <w:rFonts w:hint="eastAsia"/>
                      <w:color w:val="auto"/>
                      <w:spacing w:val="0"/>
                      <w:szCs w:val="21"/>
                      <w:highlight w:val="none"/>
                      <w:shd w:val="clear" w:color="auto" w:fill="auto"/>
                      <w:lang w:bidi="he-IL"/>
                    </w:rPr>
                    <w:t>林权权利人签订</w:t>
                  </w:r>
                  <w:r>
                    <w:rPr>
                      <w:rFonts w:hint="eastAsia"/>
                      <w:color w:val="auto"/>
                      <w:spacing w:val="0"/>
                      <w:szCs w:val="21"/>
                      <w:highlight w:val="none"/>
                      <w:shd w:val="clear" w:color="auto" w:fill="auto"/>
                      <w:lang w:val="en-US" w:eastAsia="zh-CN" w:bidi="he-IL"/>
                    </w:rPr>
                    <w:t>协议，目前正在办理中</w:t>
                  </w:r>
                  <w:r>
                    <w:rPr>
                      <w:rFonts w:hint="eastAsia"/>
                      <w:color w:val="auto"/>
                      <w:kern w:val="0"/>
                      <w:szCs w:val="21"/>
                      <w:highlight w:val="none"/>
                      <w:shd w:val="clear" w:color="auto" w:fill="auto"/>
                      <w:lang w:val="en-US" w:eastAsia="zh-CN"/>
                    </w:rPr>
                    <w:t>。</w:t>
                  </w:r>
                  <w:r>
                    <w:rPr>
                      <w:rFonts w:hint="eastAsia" w:ascii="宋体" w:hAnsi="宋体" w:cs="宋体"/>
                      <w:color w:val="auto"/>
                      <w:kern w:val="0"/>
                      <w:szCs w:val="21"/>
                      <w:highlight w:val="none"/>
                      <w:lang w:bidi="ar"/>
                    </w:rPr>
                    <w:t>项目用地现状为</w:t>
                  </w:r>
                  <w:r>
                    <w:rPr>
                      <w:rFonts w:hint="eastAsia" w:ascii="宋体" w:hAnsi="宋体" w:cs="宋体"/>
                      <w:color w:val="auto"/>
                      <w:kern w:val="0"/>
                      <w:szCs w:val="21"/>
                      <w:highlight w:val="none"/>
                      <w:lang w:val="en-US" w:eastAsia="zh-CN" w:bidi="ar"/>
                    </w:rPr>
                    <w:t>其他</w:t>
                  </w:r>
                  <w:r>
                    <w:rPr>
                      <w:rFonts w:hint="eastAsia" w:ascii="Times New Roman" w:hAnsi="Times New Roman" w:eastAsia="宋体" w:cs="Times New Roman"/>
                      <w:color w:val="auto"/>
                      <w:sz w:val="21"/>
                      <w:szCs w:val="21"/>
                      <w:highlight w:val="none"/>
                      <w:lang w:val="en-US" w:eastAsia="zh-CN"/>
                    </w:rPr>
                    <w:t>草地</w:t>
                  </w:r>
                  <w:r>
                    <w:rPr>
                      <w:rFonts w:hint="eastAsia" w:eastAsia="宋体" w:cs="Times New Roman"/>
                      <w:color w:val="auto"/>
                      <w:sz w:val="21"/>
                      <w:szCs w:val="21"/>
                      <w:highlight w:val="none"/>
                      <w:lang w:val="en-US" w:eastAsia="zh-CN"/>
                    </w:rPr>
                    <w:t>、林地</w:t>
                  </w:r>
                  <w:r>
                    <w:rPr>
                      <w:rFonts w:hint="eastAsia" w:cs="Times New Roman"/>
                      <w:color w:val="auto"/>
                      <w:sz w:val="21"/>
                      <w:szCs w:val="21"/>
                      <w:highlight w:val="none"/>
                      <w:lang w:val="en-US" w:eastAsia="zh-CN"/>
                    </w:rPr>
                    <w:t>和</w:t>
                  </w:r>
                  <w:r>
                    <w:rPr>
                      <w:rFonts w:hint="eastAsia" w:eastAsia="宋体" w:cs="Times New Roman"/>
                      <w:color w:val="auto"/>
                      <w:sz w:val="21"/>
                      <w:szCs w:val="21"/>
                      <w:highlight w:val="none"/>
                      <w:lang w:val="en-US" w:eastAsia="zh-CN"/>
                    </w:rPr>
                    <w:t>交通运输用地</w:t>
                  </w: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shd w:val="clear" w:color="auto" w:fill="auto"/>
                      <w:lang w:bidi="ar"/>
                    </w:rPr>
                    <w:t>对不占压土地、不改变地表形态的光伏方阵用地部分可按原地类认定，不改变土地用途</w:t>
                  </w:r>
                  <w:r>
                    <w:rPr>
                      <w:rFonts w:hint="eastAsia" w:ascii="宋体" w:hAnsi="宋体" w:cs="宋体"/>
                      <w:color w:val="auto"/>
                      <w:kern w:val="0"/>
                      <w:szCs w:val="21"/>
                      <w:lang w:bidi="ar"/>
                    </w:rPr>
                    <w:t>。本项目</w:t>
                  </w:r>
                  <w:r>
                    <w:rPr>
                      <w:rFonts w:hint="eastAsia" w:ascii="宋体" w:hAnsi="宋体" w:cs="宋体"/>
                      <w:color w:val="auto"/>
                      <w:kern w:val="0"/>
                      <w:szCs w:val="21"/>
                      <w:lang w:val="en-US" w:eastAsia="zh-CN" w:bidi="ar"/>
                    </w:rPr>
                    <w:t>建成后占用林地的部分实施林光互补工程，项目</w:t>
                  </w:r>
                  <w:r>
                    <w:rPr>
                      <w:rFonts w:hint="eastAsia" w:ascii="宋体" w:hAnsi="宋体" w:cs="宋体"/>
                      <w:color w:val="auto"/>
                      <w:kern w:val="0"/>
                      <w:szCs w:val="21"/>
                      <w:lang w:bidi="ar"/>
                    </w:rPr>
                    <w:t>建设不会改变项目用地性质。</w:t>
                  </w:r>
                </w:p>
              </w:tc>
              <w:tc>
                <w:tcPr>
                  <w:tcW w:w="590" w:type="pct"/>
                  <w:vAlign w:val="center"/>
                </w:tcPr>
                <w:p w14:paraId="026B488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r w14:paraId="7032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4CE13E5C">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2</w:t>
                  </w:r>
                </w:p>
              </w:tc>
              <w:tc>
                <w:tcPr>
                  <w:tcW w:w="2181" w:type="pct"/>
                  <w:vAlign w:val="center"/>
                </w:tcPr>
                <w:p w14:paraId="1D4D934C">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光伏复合项目，架设在一般耕地或其他农用地上的光伏方阵用地，满足光伏组件最低沿高于地面</w:t>
                  </w:r>
                  <w:r>
                    <w:rPr>
                      <w:rFonts w:hint="default"/>
                      <w:color w:val="auto"/>
                      <w:kern w:val="0"/>
                      <w:szCs w:val="21"/>
                      <w:highlight w:val="none"/>
                      <w:shd w:val="clear" w:color="auto" w:fill="auto"/>
                    </w:rPr>
                    <w:t>2.5m</w:t>
                  </w:r>
                  <w:r>
                    <w:rPr>
                      <w:rFonts w:hint="eastAsia"/>
                      <w:color w:val="auto"/>
                      <w:kern w:val="0"/>
                      <w:szCs w:val="21"/>
                      <w:highlight w:val="none"/>
                      <w:shd w:val="clear" w:color="auto" w:fill="auto"/>
                    </w:rPr>
                    <w:t>、高于最高水位</w:t>
                  </w:r>
                  <w:r>
                    <w:rPr>
                      <w:rFonts w:hint="default"/>
                      <w:color w:val="auto"/>
                      <w:kern w:val="0"/>
                      <w:szCs w:val="21"/>
                      <w:highlight w:val="none"/>
                      <w:shd w:val="clear" w:color="auto" w:fill="auto"/>
                    </w:rPr>
                    <w:t>0.6m</w:t>
                  </w:r>
                  <w:r>
                    <w:rPr>
                      <w:rFonts w:hint="eastAsia"/>
                      <w:color w:val="auto"/>
                      <w:kern w:val="0"/>
                      <w:szCs w:val="21"/>
                      <w:highlight w:val="none"/>
                      <w:shd w:val="clear" w:color="auto" w:fill="auto"/>
                    </w:rPr>
                    <w:t>，桩基间列间距大于</w:t>
                  </w:r>
                  <w:r>
                    <w:rPr>
                      <w:rFonts w:hint="default"/>
                      <w:color w:val="auto"/>
                      <w:kern w:val="0"/>
                      <w:szCs w:val="21"/>
                      <w:highlight w:val="none"/>
                      <w:shd w:val="clear" w:color="auto" w:fill="auto"/>
                    </w:rPr>
                    <w:t>4m</w:t>
                  </w:r>
                  <w:r>
                    <w:rPr>
                      <w:rFonts w:hint="eastAsia"/>
                      <w:color w:val="auto"/>
                      <w:kern w:val="0"/>
                      <w:szCs w:val="21"/>
                      <w:highlight w:val="none"/>
                      <w:shd w:val="clear" w:color="auto" w:fill="auto"/>
                    </w:rPr>
                    <w:t>、行间距大于</w:t>
                  </w:r>
                  <w:r>
                    <w:rPr>
                      <w:rFonts w:hint="default"/>
                      <w:color w:val="auto"/>
                      <w:kern w:val="0"/>
                      <w:szCs w:val="21"/>
                      <w:highlight w:val="none"/>
                      <w:shd w:val="clear" w:color="auto" w:fill="auto"/>
                    </w:rPr>
                    <w:t>6.5m</w:t>
                  </w:r>
                  <w:r>
                    <w:rPr>
                      <w:rFonts w:hint="eastAsia"/>
                      <w:color w:val="auto"/>
                      <w:kern w:val="0"/>
                      <w:szCs w:val="21"/>
                      <w:highlight w:val="none"/>
                      <w:shd w:val="clear" w:color="auto" w:fill="auto"/>
                    </w:rPr>
                    <w:t>的架设要求，不破坏林业或农业生产条件的可不改变原用地性质，除桩基用地外，严禁硬化地面、破坏耕作层，严禁抛荒、撂荒。采用直埋电缆方式敷设的集电线路用地，实行与项目光伏方阵用地同样的管理方式，场内道路可按农村道路用地管理。变电站、运行管理中心、集电线路杆塔基础等其他设施用地按建设用地管理。</w:t>
                  </w:r>
                </w:p>
              </w:tc>
              <w:tc>
                <w:tcPr>
                  <w:tcW w:w="1777" w:type="pct"/>
                  <w:vAlign w:val="center"/>
                </w:tcPr>
                <w:p w14:paraId="611FF451">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ascii="宋体" w:hAnsi="宋体" w:cs="宋体"/>
                      <w:color w:val="auto"/>
                      <w:kern w:val="0"/>
                      <w:szCs w:val="21"/>
                      <w:highlight w:val="none"/>
                      <w:lang w:bidi="ar"/>
                    </w:rPr>
                    <w:t>项目用地现状为</w:t>
                  </w:r>
                  <w:r>
                    <w:rPr>
                      <w:rFonts w:hint="eastAsia" w:ascii="宋体" w:hAnsi="宋体" w:cs="宋体"/>
                      <w:color w:val="auto"/>
                      <w:kern w:val="0"/>
                      <w:szCs w:val="21"/>
                      <w:highlight w:val="none"/>
                      <w:lang w:val="en-US" w:eastAsia="zh-CN" w:bidi="ar"/>
                    </w:rPr>
                    <w:t>其他</w:t>
                  </w:r>
                  <w:r>
                    <w:rPr>
                      <w:rFonts w:hint="eastAsia" w:ascii="Times New Roman" w:hAnsi="Times New Roman" w:eastAsia="宋体" w:cs="Times New Roman"/>
                      <w:color w:val="auto"/>
                      <w:sz w:val="21"/>
                      <w:szCs w:val="21"/>
                      <w:highlight w:val="none"/>
                      <w:lang w:val="en-US" w:eastAsia="zh-CN"/>
                    </w:rPr>
                    <w:t>草地</w:t>
                  </w:r>
                  <w:r>
                    <w:rPr>
                      <w:rFonts w:hint="eastAsia" w:eastAsia="宋体" w:cs="Times New Roman"/>
                      <w:color w:val="auto"/>
                      <w:sz w:val="21"/>
                      <w:szCs w:val="21"/>
                      <w:highlight w:val="none"/>
                      <w:lang w:val="en-US" w:eastAsia="zh-CN"/>
                    </w:rPr>
                    <w:t>、林地</w:t>
                  </w:r>
                  <w:r>
                    <w:rPr>
                      <w:rFonts w:hint="eastAsia" w:cs="Times New Roman"/>
                      <w:color w:val="auto"/>
                      <w:sz w:val="21"/>
                      <w:szCs w:val="21"/>
                      <w:highlight w:val="none"/>
                      <w:lang w:val="en-US" w:eastAsia="zh-CN"/>
                    </w:rPr>
                    <w:t>和</w:t>
                  </w:r>
                  <w:r>
                    <w:rPr>
                      <w:rFonts w:hint="eastAsia" w:eastAsia="宋体" w:cs="Times New Roman"/>
                      <w:color w:val="auto"/>
                      <w:sz w:val="21"/>
                      <w:szCs w:val="21"/>
                      <w:highlight w:val="none"/>
                      <w:lang w:val="en-US" w:eastAsia="zh-CN"/>
                    </w:rPr>
                    <w:t>交通运输用地</w:t>
                  </w:r>
                  <w:r>
                    <w:rPr>
                      <w:rFonts w:hint="eastAsia" w:ascii="宋体" w:hAnsi="宋体" w:cs="宋体"/>
                      <w:color w:val="auto"/>
                      <w:kern w:val="0"/>
                      <w:szCs w:val="21"/>
                      <w:highlight w:val="none"/>
                      <w:lang w:bidi="ar"/>
                    </w:rPr>
                    <w:t>，</w:t>
                  </w:r>
                  <w:r>
                    <w:rPr>
                      <w:rFonts w:hint="eastAsia" w:cs="Times New Roman"/>
                      <w:color w:val="auto"/>
                      <w:kern w:val="0"/>
                      <w:sz w:val="21"/>
                      <w:szCs w:val="21"/>
                      <w:lang w:eastAsia="zh-CN" w:bidi="ar"/>
                    </w:rPr>
                    <w:t>根据</w:t>
                  </w:r>
                  <w:r>
                    <w:rPr>
                      <w:rFonts w:hint="default" w:ascii="Times New Roman" w:hAnsi="Times New Roman" w:eastAsia="宋体" w:cs="Times New Roman"/>
                      <w:color w:val="auto"/>
                      <w:kern w:val="0"/>
                      <w:sz w:val="21"/>
                      <w:szCs w:val="21"/>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lang w:val="en-US" w:eastAsia="zh-CN" w:bidi="ar"/>
                    </w:rPr>
                    <w:t>，需实施林光互补，</w:t>
                  </w:r>
                  <w:r>
                    <w:rPr>
                      <w:rFonts w:hint="eastAsia" w:cs="Times New Roman"/>
                      <w:color w:val="auto"/>
                      <w:kern w:val="0"/>
                      <w:sz w:val="21"/>
                      <w:szCs w:val="21"/>
                      <w:lang w:eastAsia="zh-CN"/>
                    </w:rPr>
                    <w:t>光</w:t>
                  </w:r>
                  <w:r>
                    <w:rPr>
                      <w:rFonts w:hint="default" w:ascii="Times New Roman" w:hAnsi="Times New Roman" w:cs="Times New Roman"/>
                      <w:color w:val="auto"/>
                      <w:kern w:val="0"/>
                      <w:sz w:val="21"/>
                      <w:szCs w:val="21"/>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lang w:bidi="ar"/>
                    </w:rPr>
                    <w:t>进行建设；</w:t>
                  </w:r>
                  <w:r>
                    <w:rPr>
                      <w:rFonts w:hint="eastAsia" w:ascii="宋体" w:hAnsi="宋体" w:cs="宋体"/>
                      <w:color w:val="auto"/>
                      <w:kern w:val="0"/>
                      <w:szCs w:val="21"/>
                      <w:lang w:bidi="ar"/>
                    </w:rPr>
                    <w:t>项目光伏区仅</w:t>
                  </w:r>
                  <w:r>
                    <w:rPr>
                      <w:rFonts w:hint="default" w:ascii="Times New Roman" w:hAnsi="Times New Roman" w:eastAsia="宋体" w:cs="Times New Roman"/>
                      <w:color w:val="auto"/>
                      <w:sz w:val="21"/>
                      <w:szCs w:val="21"/>
                      <w:highlight w:val="none"/>
                      <w:shd w:val="clear" w:color="auto" w:fill="FFFFFF"/>
                    </w:rPr>
                    <w:t>对</w:t>
                  </w:r>
                  <w:r>
                    <w:rPr>
                      <w:rFonts w:hint="eastAsia" w:cs="Times New Roman"/>
                      <w:color w:val="auto"/>
                      <w:sz w:val="21"/>
                      <w:szCs w:val="21"/>
                      <w:highlight w:val="none"/>
                      <w:shd w:val="clear" w:color="auto" w:fill="FFFFFF"/>
                      <w:lang w:eastAsia="zh-CN"/>
                    </w:rPr>
                    <w:t>光伏支架基坑</w:t>
                  </w:r>
                  <w:r>
                    <w:rPr>
                      <w:rFonts w:hint="eastAsia" w:ascii="宋体" w:hAnsi="宋体" w:cs="宋体"/>
                      <w:color w:val="auto"/>
                      <w:kern w:val="0"/>
                      <w:szCs w:val="21"/>
                      <w:lang w:bidi="ar"/>
                    </w:rPr>
                    <w:t>进行硬化，阵列架设完成后及时完成组件下方</w:t>
                  </w:r>
                  <w:r>
                    <w:rPr>
                      <w:rFonts w:hint="eastAsia" w:ascii="宋体" w:hAnsi="宋体" w:cs="宋体"/>
                      <w:color w:val="auto"/>
                      <w:kern w:val="0"/>
                      <w:szCs w:val="21"/>
                      <w:lang w:val="en-US" w:eastAsia="zh-CN" w:bidi="ar"/>
                    </w:rPr>
                    <w:t>林草植被的恢复</w:t>
                  </w:r>
                  <w:r>
                    <w:rPr>
                      <w:rFonts w:hint="eastAsia" w:ascii="宋体" w:hAnsi="宋体" w:cs="宋体"/>
                      <w:color w:val="auto"/>
                      <w:kern w:val="0"/>
                      <w:szCs w:val="21"/>
                      <w:lang w:bidi="ar"/>
                    </w:rPr>
                    <w:t>，严禁抛荒、撂荒；</w:t>
                  </w:r>
                  <w:r>
                    <w:rPr>
                      <w:rFonts w:hint="eastAsia"/>
                      <w:color w:val="auto"/>
                      <w:kern w:val="0"/>
                      <w:szCs w:val="21"/>
                    </w:rPr>
                    <w:t>采用直埋电缆方式敷设的集电线路用地，实行与项目光伏方阵用地同样的管理方式</w:t>
                  </w:r>
                  <w:r>
                    <w:rPr>
                      <w:rFonts w:hint="eastAsia"/>
                      <w:color w:val="auto"/>
                      <w:kern w:val="0"/>
                      <w:szCs w:val="21"/>
                      <w:lang w:eastAsia="zh-CN"/>
                    </w:rPr>
                    <w:t>；</w:t>
                  </w:r>
                  <w:r>
                    <w:rPr>
                      <w:rFonts w:hint="eastAsia"/>
                      <w:color w:val="auto"/>
                      <w:kern w:val="0"/>
                      <w:szCs w:val="21"/>
                    </w:rPr>
                    <w:t>场内道路按农村道路用地管理</w:t>
                  </w:r>
                  <w:r>
                    <w:rPr>
                      <w:rFonts w:hint="eastAsia" w:ascii="宋体" w:hAnsi="宋体" w:cs="宋体"/>
                      <w:color w:val="auto"/>
                      <w:kern w:val="0"/>
                      <w:szCs w:val="21"/>
                      <w:lang w:bidi="ar"/>
                    </w:rPr>
                    <w:t>；</w:t>
                  </w:r>
                  <w:r>
                    <w:rPr>
                      <w:rFonts w:hint="default" w:ascii="Times New Roman" w:hAnsi="Times New Roman" w:cs="Times New Roman"/>
                      <w:color w:val="auto"/>
                      <w:kern w:val="0"/>
                      <w:szCs w:val="21"/>
                      <w:lang w:val="en-US" w:eastAsia="zh-CN" w:bidi="ar"/>
                    </w:rPr>
                    <w:t>35kV架空</w:t>
                  </w:r>
                  <w:r>
                    <w:rPr>
                      <w:rFonts w:hint="default" w:ascii="Times New Roman" w:hAnsi="Times New Roman" w:cs="Times New Roman"/>
                      <w:color w:val="auto"/>
                      <w:kern w:val="0"/>
                      <w:szCs w:val="21"/>
                      <w:lang w:bidi="ar"/>
                    </w:rPr>
                    <w:t>集电线路</w:t>
                  </w:r>
                  <w:r>
                    <w:rPr>
                      <w:rFonts w:hint="default" w:ascii="Times New Roman" w:hAnsi="Times New Roman" w:cs="Times New Roman"/>
                      <w:color w:val="auto"/>
                      <w:kern w:val="0"/>
                      <w:szCs w:val="21"/>
                      <w:lang w:val="en-US" w:eastAsia="zh-CN" w:bidi="ar"/>
                    </w:rPr>
                    <w:t>不包含在本次评价范围内。</w:t>
                  </w:r>
                </w:p>
              </w:tc>
              <w:tc>
                <w:tcPr>
                  <w:tcW w:w="590" w:type="pct"/>
                  <w:vAlign w:val="center"/>
                </w:tcPr>
                <w:p w14:paraId="66B82054">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r w14:paraId="451A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162F9695">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eastAsia="宋体"/>
                      <w:color w:val="auto"/>
                      <w:kern w:val="0"/>
                      <w:szCs w:val="21"/>
                      <w:highlight w:val="none"/>
                      <w:shd w:val="clear" w:color="auto" w:fill="auto"/>
                      <w:lang w:eastAsia="zh-CN"/>
                    </w:rPr>
                  </w:pPr>
                  <w:r>
                    <w:rPr>
                      <w:rFonts w:hint="eastAsia"/>
                      <w:color w:val="auto"/>
                      <w:kern w:val="0"/>
                      <w:szCs w:val="21"/>
                      <w:highlight w:val="none"/>
                      <w:shd w:val="clear" w:color="auto" w:fill="auto"/>
                      <w:lang w:val="en-US" w:eastAsia="zh-CN"/>
                    </w:rPr>
                    <w:t>3</w:t>
                  </w:r>
                </w:p>
              </w:tc>
              <w:tc>
                <w:tcPr>
                  <w:tcW w:w="2181" w:type="pct"/>
                  <w:vAlign w:val="center"/>
                </w:tcPr>
                <w:p w14:paraId="5F00B26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szCs w:val="21"/>
                      <w:highlight w:val="none"/>
                      <w:shd w:val="clear" w:color="auto" w:fill="auto"/>
                    </w:rPr>
                  </w:pPr>
                  <w:r>
                    <w:rPr>
                      <w:rFonts w:hint="default"/>
                      <w:color w:val="auto"/>
                      <w:szCs w:val="21"/>
                      <w:highlight w:val="none"/>
                      <w:shd w:val="clear" w:color="auto" w:fill="auto"/>
                    </w:rPr>
                    <w:t>光伏发电项目用地中按农用地、未利用地管理的，除桩基用地外，场内道路等功能分区用地不得硬化地面、破坏耕作层，否则，应当依法办理建设用地审批手续，未办理审批手续的，按违法用地依法查处。对于布设后未能并网发电的光伏方阵，由项目所在地能源主管部门清理。光伏方阵用地按农用地、未利用地管理的项目退出时，未按规定恢复原状的，由项目所在地能源主管部门责令整改到位。</w:t>
                  </w:r>
                </w:p>
              </w:tc>
              <w:tc>
                <w:tcPr>
                  <w:tcW w:w="1777" w:type="pct"/>
                  <w:vAlign w:val="center"/>
                </w:tcPr>
                <w:p w14:paraId="64A2461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color w:val="auto"/>
                      <w:szCs w:val="21"/>
                      <w:highlight w:val="none"/>
                      <w:shd w:val="clear" w:color="auto" w:fill="auto"/>
                      <w:lang w:eastAsia="zh-CN"/>
                    </w:rPr>
                  </w:pPr>
                  <w:r>
                    <w:rPr>
                      <w:rFonts w:hint="eastAsia"/>
                      <w:color w:val="auto"/>
                      <w:szCs w:val="21"/>
                      <w:highlight w:val="none"/>
                      <w:shd w:val="clear" w:color="auto" w:fill="auto"/>
                    </w:rPr>
                    <w:t>本项目光伏电池组件阵列区仅对桩基用地进行硬化，场内道路</w:t>
                  </w:r>
                  <w:r>
                    <w:rPr>
                      <w:rFonts w:hint="eastAsia"/>
                      <w:color w:val="auto"/>
                      <w:szCs w:val="21"/>
                      <w:highlight w:val="none"/>
                      <w:shd w:val="clear" w:color="auto" w:fill="auto"/>
                      <w:lang w:val="en-US" w:eastAsia="zh-CN"/>
                    </w:rPr>
                    <w:t>按防火通道单独立项，不在本次评价范围内</w:t>
                  </w:r>
                  <w:r>
                    <w:rPr>
                      <w:rFonts w:hint="eastAsia"/>
                      <w:color w:val="auto"/>
                      <w:szCs w:val="21"/>
                      <w:highlight w:val="none"/>
                      <w:shd w:val="clear" w:color="auto" w:fill="auto"/>
                      <w:lang w:eastAsia="zh-CN"/>
                    </w:rPr>
                    <w:t>。</w:t>
                  </w:r>
                </w:p>
                <w:p w14:paraId="683527D8">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szCs w:val="21"/>
                      <w:highlight w:val="none"/>
                      <w:shd w:val="clear" w:color="auto" w:fill="auto"/>
                    </w:rPr>
                  </w:pPr>
                  <w:r>
                    <w:rPr>
                      <w:rFonts w:hint="eastAsia"/>
                      <w:color w:val="auto"/>
                      <w:szCs w:val="21"/>
                      <w:highlight w:val="none"/>
                      <w:shd w:val="clear" w:color="auto" w:fill="auto"/>
                    </w:rPr>
                    <w:t>在项目服务结束期满后，将光伏阵列设备进行拆除，</w:t>
                  </w:r>
                  <w:r>
                    <w:rPr>
                      <w:rFonts w:hint="eastAsia" w:ascii="宋体" w:hAnsi="宋体" w:cs="宋体"/>
                      <w:color w:val="auto"/>
                      <w:kern w:val="0"/>
                      <w:szCs w:val="21"/>
                      <w:lang w:bidi="ar"/>
                    </w:rPr>
                    <w:t>项目用地进行</w:t>
                  </w:r>
                  <w:r>
                    <w:rPr>
                      <w:rFonts w:hint="eastAsia" w:ascii="宋体" w:hAnsi="宋体" w:cs="宋体"/>
                      <w:color w:val="auto"/>
                      <w:kern w:val="0"/>
                      <w:szCs w:val="21"/>
                      <w:lang w:val="en-US" w:eastAsia="zh-CN" w:bidi="ar"/>
                    </w:rPr>
                    <w:t>植被恢复</w:t>
                  </w:r>
                  <w:r>
                    <w:rPr>
                      <w:rFonts w:hint="eastAsia" w:ascii="宋体" w:hAnsi="宋体" w:cs="宋体"/>
                      <w:color w:val="auto"/>
                      <w:kern w:val="0"/>
                      <w:szCs w:val="21"/>
                      <w:lang w:bidi="ar"/>
                    </w:rPr>
                    <w:t>。本项目</w:t>
                  </w:r>
                  <w:r>
                    <w:rPr>
                      <w:rFonts w:hint="eastAsia" w:ascii="宋体" w:hAnsi="宋体" w:cs="宋体"/>
                      <w:color w:val="auto"/>
                      <w:kern w:val="0"/>
                      <w:szCs w:val="21"/>
                      <w:lang w:val="en-US" w:eastAsia="zh-CN" w:bidi="ar"/>
                    </w:rPr>
                    <w:t>建成后占用林地的部分实施林光互补工程，项目</w:t>
                  </w:r>
                  <w:r>
                    <w:rPr>
                      <w:rFonts w:hint="eastAsia" w:ascii="宋体" w:hAnsi="宋体" w:cs="宋体"/>
                      <w:color w:val="auto"/>
                      <w:kern w:val="0"/>
                      <w:szCs w:val="21"/>
                      <w:lang w:bidi="ar"/>
                    </w:rPr>
                    <w:t>建设不会改变项目用地性质。</w:t>
                  </w:r>
                </w:p>
              </w:tc>
              <w:tc>
                <w:tcPr>
                  <w:tcW w:w="590" w:type="pct"/>
                  <w:vAlign w:val="center"/>
                </w:tcPr>
                <w:p w14:paraId="053B3BD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bl>
          <w:p w14:paraId="12B6851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rPr>
            </w:pPr>
            <w:r>
              <w:rPr>
                <w:rFonts w:hint="eastAsia"/>
                <w:color w:val="auto"/>
                <w:kern w:val="0"/>
                <w:sz w:val="24"/>
                <w:highlight w:val="none"/>
                <w:shd w:val="clear" w:color="auto" w:fill="auto"/>
              </w:rPr>
              <w:t>经上表分析可知，本项目符合《云南省自然资源厅云南省能源局关于进一步支持光伏扶贫和规范光伏发电产业用地的通知》（云自然资〔</w:t>
            </w:r>
            <w:r>
              <w:rPr>
                <w:rFonts w:hint="default"/>
                <w:color w:val="auto"/>
                <w:kern w:val="0"/>
                <w:sz w:val="24"/>
                <w:highlight w:val="none"/>
                <w:shd w:val="clear" w:color="auto" w:fill="auto"/>
              </w:rPr>
              <w:t>2019</w:t>
            </w:r>
            <w:r>
              <w:rPr>
                <w:rFonts w:hint="eastAsia"/>
                <w:color w:val="auto"/>
                <w:kern w:val="0"/>
                <w:sz w:val="24"/>
                <w:highlight w:val="none"/>
                <w:shd w:val="clear" w:color="auto" w:fill="auto"/>
              </w:rPr>
              <w:t>〕</w:t>
            </w:r>
            <w:r>
              <w:rPr>
                <w:rFonts w:hint="default"/>
                <w:color w:val="auto"/>
                <w:kern w:val="0"/>
                <w:sz w:val="24"/>
                <w:highlight w:val="none"/>
                <w:shd w:val="clear" w:color="auto" w:fill="auto"/>
              </w:rPr>
              <w:t>196</w:t>
            </w:r>
            <w:r>
              <w:rPr>
                <w:rFonts w:hint="eastAsia"/>
                <w:color w:val="auto"/>
                <w:kern w:val="0"/>
                <w:sz w:val="24"/>
                <w:highlight w:val="none"/>
                <w:shd w:val="clear" w:color="auto" w:fill="auto"/>
              </w:rPr>
              <w:t>号）的相关要求。</w:t>
            </w:r>
          </w:p>
          <w:p w14:paraId="430CAD4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textAlignment w:val="auto"/>
              <w:rPr>
                <w:rFonts w:hint="default" w:ascii="Times New Roman" w:hAnsi="Times New Roman" w:eastAsia="宋体"/>
                <w:b/>
                <w:color w:val="auto"/>
                <w:sz w:val="24"/>
              </w:rPr>
            </w:pPr>
            <w:r>
              <w:rPr>
                <w:rFonts w:hint="eastAsia" w:ascii="Times New Roman" w:hAnsi="Times New Roman" w:eastAsia="宋体"/>
                <w:b/>
                <w:color w:val="auto"/>
                <w:sz w:val="24"/>
                <w:lang w:val="en-US" w:eastAsia="zh-CN"/>
              </w:rPr>
              <w:t>1</w:t>
            </w:r>
            <w:r>
              <w:rPr>
                <w:rFonts w:hint="eastAsia"/>
                <w:b/>
                <w:color w:val="auto"/>
                <w:sz w:val="24"/>
                <w:lang w:val="en-US" w:eastAsia="zh-CN"/>
              </w:rPr>
              <w:t>4</w:t>
            </w:r>
            <w:r>
              <w:rPr>
                <w:rFonts w:hint="default" w:ascii="Times New Roman" w:hAnsi="Times New Roman" w:eastAsia="宋体"/>
                <w:b/>
                <w:color w:val="auto"/>
                <w:sz w:val="24"/>
              </w:rPr>
              <w:t>、与</w:t>
            </w:r>
            <w:r>
              <w:rPr>
                <w:rFonts w:hint="eastAsia" w:ascii="Times New Roman" w:hAnsi="Times New Roman" w:eastAsia="宋体"/>
                <w:b/>
                <w:color w:val="auto"/>
                <w:sz w:val="24"/>
              </w:rPr>
              <w:t>《云南省能源局关于推进太阳能光伏开发利用的指导意见》（云能源水电</w:t>
            </w:r>
            <w:r>
              <w:rPr>
                <w:rFonts w:hint="eastAsia" w:ascii="Times New Roman" w:hAnsi="Times New Roman" w:eastAsia="宋体"/>
                <w:b/>
                <w:color w:val="auto"/>
                <w:sz w:val="24"/>
                <w:lang w:eastAsia="zh-CN"/>
              </w:rPr>
              <w:t>〔</w:t>
            </w:r>
            <w:r>
              <w:rPr>
                <w:rFonts w:hint="eastAsia" w:ascii="Times New Roman" w:hAnsi="Times New Roman" w:eastAsia="宋体"/>
                <w:b/>
                <w:color w:val="auto"/>
                <w:sz w:val="24"/>
              </w:rPr>
              <w:t>2016</w:t>
            </w:r>
            <w:r>
              <w:rPr>
                <w:rFonts w:hint="eastAsia" w:ascii="Times New Roman" w:hAnsi="Times New Roman" w:eastAsia="宋体"/>
                <w:b/>
                <w:color w:val="auto"/>
                <w:sz w:val="24"/>
                <w:lang w:eastAsia="zh-CN"/>
              </w:rPr>
              <w:t>〕</w:t>
            </w:r>
            <w:r>
              <w:rPr>
                <w:rFonts w:hint="eastAsia" w:ascii="Times New Roman" w:hAnsi="Times New Roman" w:eastAsia="宋体"/>
                <w:b/>
                <w:color w:val="auto"/>
                <w:sz w:val="24"/>
              </w:rPr>
              <w:t>15号）的符合性分析</w:t>
            </w:r>
          </w:p>
          <w:p w14:paraId="185B8CB1">
            <w:pPr>
              <w:pStyle w:val="1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2016年2月23日云南省</w:t>
            </w:r>
            <w:r>
              <w:rPr>
                <w:rFonts w:hint="eastAsia" w:ascii="Times New Roman" w:hAnsi="Times New Roman" w:eastAsia="宋体" w:cs="Times New Roman"/>
                <w:color w:val="auto"/>
                <w:kern w:val="0"/>
                <w:sz w:val="24"/>
                <w:szCs w:val="24"/>
                <w:highlight w:val="none"/>
                <w:shd w:val="clear" w:color="auto" w:fill="auto"/>
                <w:lang w:val="en-US" w:eastAsia="zh-CN" w:bidi="ar-SA"/>
              </w:rPr>
              <w:t>能源局下发了关于推进太阳能光伏开发利用的指导意见，《意见》指出，云南不再发展纯地面光伏电站，未来发展重点主要在光伏农（林、牧、渔）业、光伏提水、光伏制冷（脱水、保鲜）、光伏制热（烘干、食品加工）、户用光伏扶贫，以及城市、工业园区的屋顶分布式光伏领域。《意见》强调，云南光伏电站建设要坚决避让环境敏感区域。这些地方包括生物多样性富集区域、拥有特殊生态环境及特有物种区域、鸟类通道、自然保护区、湿地、风景名胜区、民俗保护区等。《意见》提出要利用能源企业的资金和技术优势，在农业、科技等部门的指导下大力发展高原特色农（林）业、养殖业，为当地经济社会发展、农民脱贫致富探索一条创新、绿色发展道路。</w:t>
            </w:r>
          </w:p>
          <w:p w14:paraId="4F10901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color w:val="auto"/>
                <w:kern w:val="0"/>
                <w:sz w:val="24"/>
                <w:highlight w:val="yellow"/>
              </w:rPr>
            </w:pPr>
            <w:r>
              <w:rPr>
                <w:rFonts w:hint="eastAsia"/>
                <w:b/>
                <w:bCs/>
                <w:color w:val="auto"/>
                <w:kern w:val="0"/>
                <w:sz w:val="24"/>
              </w:rPr>
              <w:t>符合性分析：</w:t>
            </w:r>
            <w:r>
              <w:rPr>
                <w:rFonts w:hint="eastAsia"/>
                <w:color w:val="auto"/>
                <w:kern w:val="0"/>
                <w:sz w:val="24"/>
              </w:rPr>
              <w:t>根据云南省林草局、云南省能源局以《关于进一步规范光伏复合项目使用林草地有关事项的通知》（云林规〔2021〕5号）对云南省内光伏发电项目依法依规使用林地的详细规定，本项目在满足正常运营的同时，须保证电池组件阵列下方不得改变林草地用途，不得裸露地表、硬化或作其他用途。</w:t>
            </w:r>
            <w:r>
              <w:rPr>
                <w:rFonts w:hint="default"/>
                <w:color w:val="auto"/>
                <w:kern w:val="0"/>
                <w:sz w:val="24"/>
              </w:rPr>
              <w:t>项目</w:t>
            </w:r>
            <w:r>
              <w:rPr>
                <w:rFonts w:hint="eastAsia"/>
                <w:color w:val="auto"/>
                <w:kern w:val="0"/>
                <w:sz w:val="24"/>
              </w:rPr>
              <w:t>选址选线均</w:t>
            </w:r>
            <w:r>
              <w:rPr>
                <w:rFonts w:hint="eastAsia"/>
                <w:color w:val="auto"/>
                <w:kern w:val="0"/>
                <w:sz w:val="24"/>
                <w:highlight w:val="none"/>
                <w:shd w:val="clear" w:color="auto" w:fill="auto"/>
              </w:rPr>
              <w:t>已避让</w:t>
            </w:r>
            <w:r>
              <w:rPr>
                <w:rFonts w:hint="default" w:ascii="Arial" w:hAnsi="Arial" w:eastAsia="Arial" w:cs="Arial"/>
                <w:color w:val="auto"/>
                <w:sz w:val="24"/>
                <w:highlight w:val="none"/>
                <w:shd w:val="clear" w:color="auto" w:fill="auto"/>
              </w:rPr>
              <w:t>生物多样性富集区域、拥有特殊生态环境及特有物种区域、自然保护区、湿地、风景名胜区、民俗保护区</w:t>
            </w:r>
            <w:r>
              <w:rPr>
                <w:rFonts w:hint="eastAsia" w:cs="Times New Roman"/>
                <w:color w:val="auto"/>
                <w:kern w:val="0"/>
                <w:sz w:val="24"/>
                <w:highlight w:val="none"/>
                <w:lang w:val="en-US" w:eastAsia="zh-CN"/>
              </w:rPr>
              <w:t>和饮用水水源保护区</w:t>
            </w:r>
            <w:r>
              <w:rPr>
                <w:rFonts w:hint="default" w:ascii="Arial" w:hAnsi="Arial" w:eastAsia="Arial" w:cs="Arial"/>
                <w:color w:val="auto"/>
                <w:sz w:val="24"/>
                <w:highlight w:val="none"/>
                <w:shd w:val="clear" w:color="auto" w:fill="auto"/>
              </w:rPr>
              <w:t>等</w:t>
            </w:r>
            <w:r>
              <w:rPr>
                <w:rFonts w:hint="eastAsia"/>
                <w:color w:val="auto"/>
                <w:kern w:val="0"/>
                <w:sz w:val="24"/>
                <w:highlight w:val="none"/>
                <w:shd w:val="clear" w:color="auto" w:fill="auto"/>
              </w:rPr>
              <w:t>环境敏感区</w:t>
            </w:r>
            <w:r>
              <w:rPr>
                <w:rFonts w:hint="eastAsia"/>
                <w:color w:val="auto"/>
                <w:kern w:val="0"/>
                <w:sz w:val="24"/>
              </w:rPr>
              <w:t>。</w:t>
            </w:r>
            <w:r>
              <w:rPr>
                <w:rFonts w:hint="eastAsia" w:ascii="宋体" w:hAnsi="宋体" w:eastAsia="宋体" w:cs="宋体"/>
                <w:color w:val="auto"/>
                <w:spacing w:val="3"/>
                <w:sz w:val="24"/>
                <w:szCs w:val="24"/>
                <w:lang w:val="en-US" w:eastAsia="zh-CN"/>
              </w:rPr>
              <w:t>根据</w:t>
            </w:r>
            <w:r>
              <w:rPr>
                <w:rFonts w:hint="default" w:ascii="宋体" w:hAnsi="宋体" w:eastAsia="宋体" w:cs="宋体"/>
                <w:color w:val="auto"/>
                <w:spacing w:val="3"/>
                <w:sz w:val="24"/>
                <w:szCs w:val="24"/>
                <w:lang w:eastAsia="zh-CN"/>
              </w:rPr>
              <w:t>云南省林业和草原局于</w:t>
            </w:r>
            <w:r>
              <w:rPr>
                <w:rFonts w:hint="default" w:ascii="宋体" w:hAnsi="宋体" w:eastAsia="宋体" w:cs="宋体"/>
                <w:color w:val="auto"/>
                <w:spacing w:val="-50"/>
                <w:sz w:val="24"/>
                <w:szCs w:val="24"/>
                <w:lang w:eastAsia="zh-CN"/>
              </w:rPr>
              <w:t xml:space="preserve"> </w:t>
            </w:r>
            <w:r>
              <w:rPr>
                <w:rFonts w:hint="default" w:ascii="Times New Roman" w:hAnsi="Times New Roman" w:eastAsia="Times New Roman" w:cs="Times New Roman"/>
                <w:color w:val="auto"/>
                <w:spacing w:val="3"/>
                <w:sz w:val="24"/>
                <w:szCs w:val="24"/>
                <w:lang w:eastAsia="zh-CN"/>
              </w:rPr>
              <w:t>202</w:t>
            </w:r>
            <w:r>
              <w:rPr>
                <w:rFonts w:hint="default" w:ascii="Times New Roman" w:hAnsi="Times New Roman" w:eastAsia="Times New Roman" w:cs="Times New Roman"/>
                <w:color w:val="auto"/>
                <w:spacing w:val="2"/>
                <w:sz w:val="24"/>
                <w:szCs w:val="24"/>
                <w:lang w:eastAsia="zh-CN"/>
              </w:rPr>
              <w:t>3</w:t>
            </w:r>
            <w:r>
              <w:rPr>
                <w:rFonts w:hint="default" w:ascii="宋体" w:hAnsi="宋体" w:eastAsia="宋体" w:cs="宋体"/>
                <w:color w:val="auto"/>
                <w:spacing w:val="2"/>
                <w:sz w:val="24"/>
                <w:szCs w:val="24"/>
                <w:lang w:eastAsia="zh-CN"/>
              </w:rPr>
              <w:t>年</w:t>
            </w:r>
            <w:r>
              <w:rPr>
                <w:rFonts w:hint="default" w:ascii="Times New Roman" w:hAnsi="Times New Roman" w:eastAsia="Times New Roman" w:cs="Times New Roman"/>
                <w:color w:val="auto"/>
                <w:spacing w:val="2"/>
                <w:sz w:val="24"/>
                <w:szCs w:val="24"/>
                <w:lang w:eastAsia="zh-CN"/>
              </w:rPr>
              <w:t>12</w:t>
            </w:r>
            <w:r>
              <w:rPr>
                <w:rFonts w:hint="default" w:ascii="宋体" w:hAnsi="宋体" w:eastAsia="宋体" w:cs="宋体"/>
                <w:color w:val="auto"/>
                <w:spacing w:val="2"/>
                <w:sz w:val="24"/>
                <w:szCs w:val="24"/>
                <w:lang w:eastAsia="zh-CN"/>
              </w:rPr>
              <w:t>月</w:t>
            </w:r>
            <w:r>
              <w:rPr>
                <w:rFonts w:hint="default" w:ascii="Times New Roman" w:hAnsi="Times New Roman" w:eastAsia="Times New Roman" w:cs="Times New Roman"/>
                <w:color w:val="auto"/>
                <w:spacing w:val="3"/>
                <w:sz w:val="24"/>
                <w:szCs w:val="24"/>
                <w:lang w:eastAsia="zh-CN"/>
              </w:rPr>
              <w:t>19</w:t>
            </w:r>
            <w:r>
              <w:rPr>
                <w:rFonts w:hint="default" w:ascii="宋体" w:hAnsi="宋体" w:eastAsia="宋体" w:cs="宋体"/>
                <w:color w:val="auto"/>
                <w:spacing w:val="3"/>
                <w:sz w:val="24"/>
                <w:szCs w:val="24"/>
                <w:lang w:eastAsia="zh-CN"/>
              </w:rPr>
              <w:t>日公布</w:t>
            </w:r>
            <w:r>
              <w:rPr>
                <w:rFonts w:hint="eastAsia" w:ascii="宋体" w:hAnsi="宋体" w:eastAsia="宋体" w:cs="宋体"/>
                <w:color w:val="auto"/>
                <w:spacing w:val="3"/>
                <w:sz w:val="24"/>
                <w:szCs w:val="24"/>
                <w:lang w:eastAsia="zh-CN"/>
              </w:rPr>
              <w:t>的</w:t>
            </w:r>
            <w:r>
              <w:rPr>
                <w:rFonts w:hint="default" w:ascii="宋体" w:hAnsi="宋体" w:eastAsia="宋体" w:cs="宋体"/>
                <w:color w:val="auto"/>
                <w:spacing w:val="3"/>
                <w:sz w:val="24"/>
                <w:szCs w:val="24"/>
                <w:lang w:eastAsia="zh-CN"/>
              </w:rPr>
              <w:t>云南省候鸟迁徙通道重点区域范围（第一批）。在划定的</w:t>
            </w:r>
            <w:r>
              <w:rPr>
                <w:rFonts w:hint="default" w:ascii="Times New Roman" w:hAnsi="Times New Roman" w:eastAsia="Times New Roman" w:cs="Times New Roman"/>
                <w:color w:val="auto"/>
                <w:spacing w:val="3"/>
                <w:sz w:val="24"/>
                <w:szCs w:val="24"/>
                <w:lang w:eastAsia="zh-CN"/>
              </w:rPr>
              <w:t>10</w:t>
            </w:r>
            <w:r>
              <w:rPr>
                <w:rFonts w:hint="default" w:ascii="宋体" w:hAnsi="宋体" w:eastAsia="宋体" w:cs="宋体"/>
                <w:color w:val="auto"/>
                <w:spacing w:val="3"/>
                <w:sz w:val="24"/>
                <w:szCs w:val="24"/>
                <w:lang w:eastAsia="zh-CN"/>
              </w:rPr>
              <w:t>个重点区域</w:t>
            </w:r>
            <w:r>
              <w:rPr>
                <w:rFonts w:hint="default" w:ascii="宋体" w:hAnsi="宋体" w:eastAsia="宋体" w:cs="宋体"/>
                <w:color w:val="auto"/>
                <w:spacing w:val="-1"/>
                <w:sz w:val="24"/>
                <w:szCs w:val="24"/>
                <w:lang w:eastAsia="zh-CN"/>
              </w:rPr>
              <w:t>中，距离项目最近的为</w:t>
            </w:r>
            <w:r>
              <w:rPr>
                <w:rFonts w:hint="eastAsia" w:ascii="宋体" w:hAnsi="宋体" w:eastAsia="宋体" w:cs="宋体"/>
                <w:color w:val="auto"/>
                <w:spacing w:val="1"/>
                <w:sz w:val="24"/>
                <w:szCs w:val="24"/>
                <w:highlight w:val="none"/>
                <w:lang w:eastAsia="zh-CN"/>
              </w:rPr>
              <w:t>开远市大黑山</w:t>
            </w:r>
            <w:r>
              <w:rPr>
                <w:rFonts w:hint="eastAsia" w:ascii="宋体" w:hAnsi="宋体" w:eastAsia="宋体" w:cs="宋体"/>
                <w:color w:val="auto"/>
                <w:spacing w:val="1"/>
                <w:sz w:val="24"/>
                <w:szCs w:val="24"/>
                <w:lang w:eastAsia="zh-CN"/>
              </w:rPr>
              <w:t>，距最近的占地直线距</w:t>
            </w:r>
            <w:r>
              <w:rPr>
                <w:rFonts w:hint="default" w:ascii="Times New Roman" w:hAnsi="Times New Roman" w:eastAsia="宋体" w:cs="Times New Roman"/>
                <w:color w:val="auto"/>
                <w:spacing w:val="1"/>
                <w:sz w:val="24"/>
                <w:szCs w:val="24"/>
                <w:highlight w:val="none"/>
                <w:lang w:eastAsia="zh-CN"/>
              </w:rPr>
              <w:t>离</w:t>
            </w:r>
            <w:r>
              <w:rPr>
                <w:rFonts w:hint="default" w:ascii="Times New Roman" w:hAnsi="Times New Roman" w:eastAsia="宋体" w:cs="Times New Roman"/>
                <w:color w:val="auto"/>
                <w:spacing w:val="1"/>
                <w:sz w:val="24"/>
                <w:szCs w:val="24"/>
                <w:highlight w:val="none"/>
                <w:lang w:val="en-US" w:eastAsia="zh-CN"/>
              </w:rPr>
              <w:t>232</w:t>
            </w:r>
            <w:r>
              <w:rPr>
                <w:rFonts w:hint="default" w:ascii="Times New Roman" w:hAnsi="Times New Roman" w:eastAsia="宋体" w:cs="Times New Roman"/>
                <w:color w:val="auto"/>
                <w:spacing w:val="1"/>
                <w:sz w:val="24"/>
                <w:szCs w:val="24"/>
                <w:highlight w:val="none"/>
                <w:lang w:eastAsia="zh-CN"/>
              </w:rPr>
              <w:t>km，其他候鸟迁徙通道距离占地直线距离均在</w:t>
            </w:r>
            <w:r>
              <w:rPr>
                <w:rFonts w:hint="default" w:ascii="Times New Roman" w:hAnsi="Times New Roman" w:eastAsia="宋体" w:cs="Times New Roman"/>
                <w:color w:val="auto"/>
                <w:spacing w:val="1"/>
                <w:sz w:val="24"/>
                <w:szCs w:val="24"/>
                <w:highlight w:val="none"/>
                <w:lang w:val="en-US" w:eastAsia="zh-CN"/>
              </w:rPr>
              <w:t>232</w:t>
            </w:r>
            <w:r>
              <w:rPr>
                <w:rFonts w:hint="default" w:ascii="Times New Roman" w:hAnsi="Times New Roman" w:eastAsia="宋体" w:cs="Times New Roman"/>
                <w:color w:val="auto"/>
                <w:spacing w:val="1"/>
                <w:sz w:val="24"/>
                <w:szCs w:val="24"/>
                <w:highlight w:val="none"/>
                <w:lang w:eastAsia="zh-CN"/>
              </w:rPr>
              <w:t>km以上。</w:t>
            </w:r>
          </w:p>
          <w:p w14:paraId="3C1D5BA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kern w:val="0"/>
                <w:sz w:val="24"/>
                <w:highlight w:val="none"/>
                <w:shd w:val="clear" w:color="auto" w:fill="auto"/>
                <w:lang w:val="en-US" w:eastAsia="zh-CN"/>
              </w:rPr>
            </w:pPr>
            <w:r>
              <w:rPr>
                <w:rFonts w:hint="eastAsia" w:ascii="Times New Roman" w:hAnsi="Times New Roman" w:cs="Times New Roman"/>
                <w:b w:val="0"/>
                <w:bCs w:val="0"/>
                <w:color w:val="auto"/>
                <w:kern w:val="0"/>
                <w:sz w:val="24"/>
                <w:szCs w:val="24"/>
                <w:highlight w:val="none"/>
                <w:shd w:val="clear" w:color="auto" w:fill="auto"/>
                <w:lang w:val="en-US" w:eastAsia="zh-CN"/>
              </w:rPr>
              <w:t>项目所在地占地类型为</w:t>
            </w:r>
            <w:r>
              <w:rPr>
                <w:rFonts w:hint="eastAsia" w:cs="Times New Roman"/>
                <w:b w:val="0"/>
                <w:bCs w:val="0"/>
                <w:color w:val="auto"/>
                <w:kern w:val="0"/>
                <w:sz w:val="24"/>
                <w:szCs w:val="24"/>
                <w:highlight w:val="none"/>
                <w:shd w:val="clear" w:color="auto" w:fill="auto"/>
                <w:lang w:val="en-US" w:eastAsia="zh-CN"/>
              </w:rPr>
              <w:t>其他</w:t>
            </w:r>
            <w:r>
              <w:rPr>
                <w:rFonts w:hint="eastAsia" w:ascii="Times New Roman" w:hAnsi="Times New Roman" w:cs="Times New Roman"/>
                <w:b w:val="0"/>
                <w:bCs w:val="0"/>
                <w:color w:val="auto"/>
                <w:kern w:val="0"/>
                <w:sz w:val="24"/>
                <w:szCs w:val="24"/>
                <w:highlight w:val="none"/>
                <w:shd w:val="clear" w:color="auto" w:fill="auto"/>
                <w:lang w:val="en-US" w:eastAsia="zh-CN"/>
              </w:rPr>
              <w:t>草地、</w:t>
            </w:r>
            <w:r>
              <w:rPr>
                <w:rFonts w:hint="default" w:ascii="Times New Roman" w:hAnsi="Times New Roman" w:eastAsia="宋体" w:cs="Times New Roman"/>
                <w:i w:val="0"/>
                <w:iCs w:val="0"/>
                <w:color w:val="auto"/>
                <w:kern w:val="0"/>
                <w:sz w:val="24"/>
                <w:szCs w:val="24"/>
                <w:highlight w:val="none"/>
                <w:u w:val="none"/>
                <w:lang w:val="en-US" w:eastAsia="zh-CN" w:bidi="ar"/>
              </w:rPr>
              <w:t>林地和交通运输用地</w:t>
            </w:r>
            <w:r>
              <w:rPr>
                <w:rFonts w:hint="eastAsia" w:cs="Times New Roman"/>
                <w:b w:val="0"/>
                <w:bCs w:val="0"/>
                <w:color w:val="auto"/>
                <w:kern w:val="0"/>
                <w:sz w:val="24"/>
                <w:szCs w:val="24"/>
                <w:highlight w:val="none"/>
                <w:shd w:val="clear" w:color="auto" w:fill="auto"/>
                <w:lang w:val="en-US" w:eastAsia="zh-CN"/>
              </w:rPr>
              <w:t>，</w:t>
            </w:r>
            <w:r>
              <w:rPr>
                <w:rFonts w:hint="eastAsia"/>
                <w:color w:val="auto"/>
                <w:kern w:val="0"/>
                <w:sz w:val="24"/>
                <w:szCs w:val="24"/>
                <w:highlight w:val="none"/>
                <w:shd w:val="clear" w:color="auto" w:fill="auto"/>
              </w:rPr>
              <w:t>本项目在进行光伏发电的同时，</w:t>
            </w:r>
            <w:r>
              <w:rPr>
                <w:rFonts w:hint="eastAsia"/>
                <w:color w:val="auto"/>
                <w:kern w:val="0"/>
                <w:sz w:val="24"/>
                <w:szCs w:val="24"/>
                <w:highlight w:val="none"/>
                <w:shd w:val="clear" w:color="auto" w:fill="auto"/>
                <w:lang w:val="en-US" w:eastAsia="zh-CN"/>
              </w:rPr>
              <w:t>光伏场区进行林业种植</w:t>
            </w:r>
            <w:r>
              <w:rPr>
                <w:rFonts w:hint="eastAsia"/>
                <w:color w:val="auto"/>
                <w:kern w:val="0"/>
                <w:sz w:val="24"/>
                <w:szCs w:val="24"/>
                <w:highlight w:val="none"/>
                <w:shd w:val="clear" w:color="auto" w:fill="auto"/>
              </w:rPr>
              <w:t>，对土地合理利用，对于架设在</w:t>
            </w:r>
            <w:r>
              <w:rPr>
                <w:rFonts w:hint="eastAsia"/>
                <w:color w:val="auto"/>
                <w:kern w:val="0"/>
                <w:sz w:val="24"/>
                <w:szCs w:val="24"/>
                <w:highlight w:val="none"/>
                <w:shd w:val="clear" w:color="auto" w:fill="auto"/>
                <w:lang w:val="en-US" w:eastAsia="zh-CN"/>
              </w:rPr>
              <w:t>植被</w:t>
            </w:r>
            <w:r>
              <w:rPr>
                <w:rFonts w:hint="eastAsia"/>
                <w:color w:val="auto"/>
                <w:kern w:val="0"/>
                <w:sz w:val="24"/>
                <w:szCs w:val="24"/>
                <w:highlight w:val="none"/>
                <w:shd w:val="clear" w:color="auto" w:fill="auto"/>
              </w:rPr>
              <w:t>上的</w:t>
            </w:r>
            <w:r>
              <w:rPr>
                <w:rFonts w:hint="eastAsia"/>
                <w:color w:val="auto"/>
                <w:kern w:val="0"/>
                <w:sz w:val="24"/>
                <w:szCs w:val="24"/>
                <w:highlight w:val="none"/>
                <w:shd w:val="clear" w:color="auto" w:fill="auto"/>
                <w:lang w:val="en-US" w:eastAsia="zh-CN"/>
              </w:rPr>
              <w:t>光伏</w:t>
            </w:r>
            <w:r>
              <w:rPr>
                <w:rFonts w:hint="eastAsia"/>
                <w:color w:val="auto"/>
                <w:kern w:val="0"/>
                <w:sz w:val="24"/>
                <w:szCs w:val="24"/>
                <w:highlight w:val="none"/>
                <w:shd w:val="clear" w:color="auto" w:fill="auto"/>
              </w:rPr>
              <w:t>阵列，要求严格按</w:t>
            </w:r>
            <w:r>
              <w:rPr>
                <w:rFonts w:hint="default" w:ascii="Times New Roman" w:hAnsi="Times New Roman" w:eastAsia="宋体" w:cs="Times New Roman"/>
                <w:color w:val="auto"/>
                <w:kern w:val="0"/>
                <w:sz w:val="24"/>
                <w:szCs w:val="24"/>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4"/>
                <w:szCs w:val="24"/>
                <w:lang w:eastAsia="zh-CN"/>
              </w:rPr>
              <w:t>光</w:t>
            </w:r>
            <w:r>
              <w:rPr>
                <w:rFonts w:hint="default" w:ascii="Times New Roman" w:hAnsi="Times New Roman" w:cs="Times New Roman"/>
                <w:color w:val="auto"/>
                <w:kern w:val="0"/>
                <w:sz w:val="24"/>
                <w:szCs w:val="24"/>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4"/>
                <w:szCs w:val="24"/>
                <w:lang w:bidi="ar"/>
              </w:rPr>
              <w:t>进行建设</w:t>
            </w:r>
            <w:r>
              <w:rPr>
                <w:rFonts w:hint="eastAsia" w:ascii="Times New Roman" w:hAnsi="Times New Roman" w:eastAsia="宋体" w:cs="Times New Roman"/>
                <w:color w:val="auto"/>
                <w:kern w:val="0"/>
                <w:sz w:val="24"/>
                <w:szCs w:val="24"/>
                <w:lang w:eastAsia="zh-CN" w:bidi="ar"/>
              </w:rPr>
              <w:t>，</w:t>
            </w:r>
            <w:r>
              <w:rPr>
                <w:rFonts w:hint="eastAsia"/>
                <w:color w:val="auto"/>
                <w:kern w:val="0"/>
                <w:sz w:val="24"/>
                <w:lang w:eastAsia="zh-CN"/>
              </w:rPr>
              <w:t>建设完成后对组件下方进行</w:t>
            </w:r>
            <w:r>
              <w:rPr>
                <w:rFonts w:hint="eastAsia"/>
                <w:color w:val="auto"/>
                <w:sz w:val="24"/>
              </w:rPr>
              <w:t>覆土</w:t>
            </w:r>
            <w:r>
              <w:rPr>
                <w:rFonts w:hint="eastAsia"/>
                <w:color w:val="auto"/>
                <w:sz w:val="24"/>
                <w:lang w:eastAsia="zh-CN"/>
              </w:rPr>
              <w:t>，并种植林草植被，</w:t>
            </w:r>
            <w:r>
              <w:rPr>
                <w:rFonts w:hint="eastAsia"/>
                <w:color w:val="auto"/>
                <w:kern w:val="0"/>
                <w:sz w:val="24"/>
                <w:lang w:eastAsia="zh-CN"/>
              </w:rPr>
              <w:t>恢复光伏阵列区植被，促进生态环境的发展</w:t>
            </w:r>
            <w:r>
              <w:rPr>
                <w:rFonts w:hint="eastAsia"/>
                <w:color w:val="auto"/>
                <w:kern w:val="0"/>
                <w:sz w:val="24"/>
                <w:highlight w:val="none"/>
                <w:shd w:val="clear" w:color="auto" w:fill="auto"/>
              </w:rPr>
              <w:t>。</w:t>
            </w:r>
            <w:r>
              <w:rPr>
                <w:rFonts w:hint="eastAsia"/>
                <w:color w:val="auto"/>
                <w:kern w:val="0"/>
                <w:sz w:val="24"/>
              </w:rPr>
              <w:t>因此，项目与《</w:t>
            </w:r>
            <w:r>
              <w:rPr>
                <w:rFonts w:hint="default"/>
                <w:color w:val="auto"/>
                <w:kern w:val="0"/>
                <w:sz w:val="24"/>
              </w:rPr>
              <w:t>云南省能源局关于推进太阳能光伏开发利用的指导意见</w:t>
            </w:r>
            <w:r>
              <w:rPr>
                <w:rFonts w:hint="eastAsia"/>
                <w:color w:val="auto"/>
                <w:kern w:val="0"/>
                <w:sz w:val="24"/>
              </w:rPr>
              <w:t>》（云能源水电〔</w:t>
            </w:r>
            <w:r>
              <w:rPr>
                <w:rFonts w:hint="default"/>
                <w:color w:val="auto"/>
                <w:kern w:val="0"/>
                <w:sz w:val="24"/>
              </w:rPr>
              <w:t>201</w:t>
            </w:r>
            <w:r>
              <w:rPr>
                <w:rFonts w:hint="eastAsia"/>
                <w:color w:val="auto"/>
                <w:kern w:val="0"/>
                <w:sz w:val="24"/>
              </w:rPr>
              <w:t>6〕15号）相符。</w:t>
            </w:r>
          </w:p>
          <w:p w14:paraId="4AA1988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left"/>
              <w:textAlignment w:val="auto"/>
              <w:rPr>
                <w:rFonts w:hint="default" w:ascii="Times New Roman" w:hAnsi="Times New Roman" w:eastAsia="宋体"/>
                <w:b/>
                <w:color w:val="auto"/>
                <w:sz w:val="24"/>
              </w:rPr>
            </w:pPr>
            <w:r>
              <w:rPr>
                <w:rFonts w:hint="eastAsia" w:ascii="Times New Roman" w:hAnsi="Times New Roman" w:eastAsia="宋体"/>
                <w:b/>
                <w:color w:val="auto"/>
                <w:sz w:val="24"/>
                <w:lang w:val="en-US" w:eastAsia="zh-CN"/>
              </w:rPr>
              <w:t>1</w:t>
            </w:r>
            <w:r>
              <w:rPr>
                <w:rFonts w:hint="eastAsia"/>
                <w:b/>
                <w:color w:val="auto"/>
                <w:sz w:val="24"/>
                <w:lang w:val="en-US" w:eastAsia="zh-CN"/>
              </w:rPr>
              <w:t>5</w:t>
            </w:r>
            <w:r>
              <w:rPr>
                <w:rFonts w:hint="eastAsia" w:ascii="Times New Roman" w:hAnsi="Times New Roman" w:eastAsia="宋体"/>
                <w:b/>
                <w:color w:val="auto"/>
                <w:sz w:val="24"/>
              </w:rPr>
              <w:t>、与</w:t>
            </w:r>
            <w:r>
              <w:rPr>
                <w:rFonts w:hint="eastAsia" w:ascii="Times New Roman" w:hAnsi="Times New Roman" w:eastAsia="宋体"/>
                <w:b/>
                <w:color w:val="auto"/>
                <w:sz w:val="24"/>
                <w:lang w:eastAsia="zh-CN"/>
              </w:rPr>
              <w:t>《云南省人民政府印发关于加快光伏发电发展若干政策措施的通知》</w:t>
            </w:r>
            <w:r>
              <w:rPr>
                <w:rFonts w:hint="eastAsia" w:ascii="Times New Roman" w:hAnsi="Times New Roman" w:eastAsia="宋体"/>
                <w:b/>
                <w:color w:val="auto"/>
                <w:sz w:val="24"/>
              </w:rPr>
              <w:t>的相符性分析</w:t>
            </w:r>
          </w:p>
          <w:p w14:paraId="6BC51CF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b/>
                <w:color w:val="auto"/>
                <w:kern w:val="0"/>
                <w:sz w:val="21"/>
                <w:szCs w:val="21"/>
              </w:rPr>
            </w:pPr>
            <w:r>
              <w:rPr>
                <w:rFonts w:hint="default" w:ascii="Times New Roman" w:hAnsi="Times New Roman" w:eastAsia="宋体"/>
                <w:color w:val="auto"/>
                <w:kern w:val="0"/>
                <w:sz w:val="24"/>
              </w:rPr>
              <w:t>20</w:t>
            </w:r>
            <w:r>
              <w:rPr>
                <w:rFonts w:hint="eastAsia" w:ascii="Times New Roman" w:hAnsi="Times New Roman" w:eastAsia="宋体"/>
                <w:color w:val="auto"/>
                <w:kern w:val="0"/>
                <w:sz w:val="24"/>
                <w:lang w:val="en-US" w:eastAsia="zh-CN"/>
              </w:rPr>
              <w:t>22</w:t>
            </w:r>
            <w:r>
              <w:rPr>
                <w:rFonts w:hint="eastAsia" w:ascii="Times New Roman" w:hAnsi="Times New Roman" w:eastAsia="宋体"/>
                <w:color w:val="auto"/>
                <w:kern w:val="0"/>
                <w:sz w:val="24"/>
              </w:rPr>
              <w:t>年</w:t>
            </w:r>
            <w:r>
              <w:rPr>
                <w:rFonts w:hint="eastAsia" w:ascii="Times New Roman" w:hAnsi="Times New Roman" w:eastAsia="宋体"/>
                <w:color w:val="auto"/>
                <w:kern w:val="0"/>
                <w:sz w:val="24"/>
                <w:lang w:val="en-US" w:eastAsia="zh-CN"/>
              </w:rPr>
              <w:t>3</w:t>
            </w:r>
            <w:r>
              <w:rPr>
                <w:rFonts w:hint="eastAsia" w:ascii="Times New Roman" w:hAnsi="Times New Roman" w:eastAsia="宋体"/>
                <w:color w:val="auto"/>
                <w:kern w:val="0"/>
                <w:sz w:val="24"/>
              </w:rPr>
              <w:t>月</w:t>
            </w:r>
            <w:r>
              <w:rPr>
                <w:rFonts w:hint="eastAsia" w:ascii="Times New Roman" w:hAnsi="Times New Roman" w:eastAsia="宋体"/>
                <w:color w:val="auto"/>
                <w:kern w:val="0"/>
                <w:sz w:val="24"/>
                <w:lang w:val="en-US" w:eastAsia="zh-CN"/>
              </w:rPr>
              <w:t>24</w:t>
            </w:r>
            <w:r>
              <w:rPr>
                <w:rFonts w:hint="eastAsia" w:ascii="Times New Roman" w:hAnsi="Times New Roman" w:eastAsia="宋体"/>
                <w:color w:val="auto"/>
                <w:kern w:val="0"/>
                <w:sz w:val="24"/>
              </w:rPr>
              <w:t>日云南省人民政府</w:t>
            </w:r>
            <w:r>
              <w:rPr>
                <w:rFonts w:hint="eastAsia" w:ascii="Times New Roman" w:hAnsi="Times New Roman" w:eastAsia="宋体"/>
                <w:color w:val="auto"/>
                <w:kern w:val="0"/>
                <w:sz w:val="24"/>
                <w:lang w:eastAsia="zh-CN"/>
              </w:rPr>
              <w:t>以</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云南省人民政府印发关于加快光伏发电发展若干政策措施的通知</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（云政发〔2022〕16号），印发了</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关于加快光伏发电发展若干政策措施</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本项目与</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关于加快光伏发电发展若干政策措施</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中有关要求的符合性分析详见下表。</w:t>
            </w:r>
          </w:p>
          <w:p w14:paraId="70AB2B36">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b/>
                <w:color w:val="auto"/>
                <w:kern w:val="0"/>
                <w:sz w:val="21"/>
                <w:szCs w:val="21"/>
              </w:rPr>
            </w:pPr>
          </w:p>
          <w:p w14:paraId="214FA083">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b/>
                <w:color w:val="auto"/>
                <w:kern w:val="0"/>
                <w:sz w:val="21"/>
                <w:szCs w:val="21"/>
              </w:rPr>
            </w:pPr>
            <w:r>
              <w:rPr>
                <w:rFonts w:hint="default" w:ascii="Times New Roman" w:hAnsi="Times New Roman" w:eastAsia="宋体"/>
                <w:b/>
                <w:color w:val="auto"/>
                <w:kern w:val="0"/>
                <w:sz w:val="21"/>
                <w:szCs w:val="21"/>
              </w:rPr>
              <w:t>表</w:t>
            </w:r>
            <w:r>
              <w:rPr>
                <w:rFonts w:hint="eastAsia" w:ascii="Times New Roman" w:hAnsi="Times New Roman" w:eastAsia="宋体"/>
                <w:b/>
                <w:color w:val="auto"/>
                <w:kern w:val="0"/>
                <w:sz w:val="21"/>
                <w:szCs w:val="21"/>
              </w:rPr>
              <w:t>1</w:t>
            </w:r>
            <w:r>
              <w:rPr>
                <w:rFonts w:hint="default" w:ascii="Times New Roman" w:hAnsi="Times New Roman" w:eastAsia="宋体"/>
                <w:b/>
                <w:color w:val="auto"/>
                <w:kern w:val="0"/>
                <w:sz w:val="21"/>
                <w:szCs w:val="21"/>
              </w:rPr>
              <w:t>-</w:t>
            </w:r>
            <w:r>
              <w:rPr>
                <w:rFonts w:hint="eastAsia" w:ascii="Times New Roman" w:hAnsi="Times New Roman" w:eastAsia="宋体"/>
                <w:b/>
                <w:color w:val="auto"/>
                <w:kern w:val="0"/>
                <w:sz w:val="21"/>
                <w:szCs w:val="21"/>
                <w:lang w:val="en-US" w:eastAsia="zh-CN"/>
              </w:rPr>
              <w:t>1</w:t>
            </w:r>
            <w:r>
              <w:rPr>
                <w:rFonts w:hint="eastAsia"/>
                <w:b/>
                <w:color w:val="auto"/>
                <w:kern w:val="0"/>
                <w:sz w:val="21"/>
                <w:szCs w:val="21"/>
                <w:lang w:val="en-US" w:eastAsia="zh-CN"/>
              </w:rPr>
              <w:t>3</w:t>
            </w:r>
            <w:r>
              <w:rPr>
                <w:rFonts w:hint="default" w:ascii="Times New Roman" w:hAnsi="Times New Roman" w:eastAsia="宋体"/>
                <w:b/>
                <w:color w:val="auto"/>
                <w:kern w:val="0"/>
                <w:sz w:val="21"/>
                <w:szCs w:val="21"/>
              </w:rPr>
              <w:t xml:space="preserve">  </w:t>
            </w:r>
            <w:r>
              <w:rPr>
                <w:rFonts w:hint="eastAsia" w:ascii="Times New Roman" w:hAnsi="Times New Roman" w:eastAsia="宋体"/>
                <w:b/>
                <w:color w:val="auto"/>
                <w:kern w:val="0"/>
                <w:sz w:val="21"/>
                <w:szCs w:val="21"/>
                <w:lang w:eastAsia="zh-CN"/>
              </w:rPr>
              <w:t>项目</w:t>
            </w:r>
            <w:r>
              <w:rPr>
                <w:rFonts w:hint="default" w:ascii="Times New Roman" w:hAnsi="Times New Roman" w:eastAsia="宋体"/>
                <w:b/>
                <w:color w:val="auto"/>
                <w:kern w:val="0"/>
                <w:sz w:val="21"/>
                <w:szCs w:val="21"/>
              </w:rPr>
              <w:t>与</w:t>
            </w:r>
            <w:r>
              <w:rPr>
                <w:rFonts w:hint="eastAsia" w:ascii="Times New Roman" w:hAnsi="Times New Roman" w:eastAsia="宋体"/>
                <w:b/>
                <w:color w:val="auto"/>
                <w:kern w:val="0"/>
                <w:sz w:val="21"/>
                <w:szCs w:val="21"/>
              </w:rPr>
              <w:t>《</w:t>
            </w:r>
            <w:r>
              <w:rPr>
                <w:rFonts w:hint="eastAsia" w:ascii="Times New Roman" w:hAnsi="Times New Roman" w:eastAsia="宋体"/>
                <w:b/>
                <w:color w:val="auto"/>
                <w:kern w:val="0"/>
                <w:sz w:val="21"/>
                <w:szCs w:val="21"/>
                <w:lang w:eastAsia="zh-CN"/>
              </w:rPr>
              <w:t>关于加快光伏发电发展若干政策措施</w:t>
            </w:r>
            <w:r>
              <w:rPr>
                <w:rFonts w:hint="eastAsia" w:ascii="Times New Roman" w:hAnsi="Times New Roman" w:eastAsia="宋体"/>
                <w:b/>
                <w:color w:val="auto"/>
                <w:kern w:val="0"/>
                <w:sz w:val="21"/>
                <w:szCs w:val="21"/>
              </w:rPr>
              <w:t>》</w:t>
            </w:r>
            <w:r>
              <w:rPr>
                <w:rFonts w:hint="default" w:ascii="Times New Roman" w:hAnsi="Times New Roman" w:eastAsia="宋体"/>
                <w:b/>
                <w:color w:val="auto"/>
                <w:kern w:val="0"/>
                <w:sz w:val="21"/>
                <w:szCs w:val="21"/>
              </w:rPr>
              <w:t>的符合性分析</w:t>
            </w:r>
          </w:p>
          <w:tbl>
            <w:tblPr>
              <w:tblStyle w:val="43"/>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3210"/>
              <w:gridCol w:w="2575"/>
              <w:gridCol w:w="626"/>
            </w:tblGrid>
            <w:tr w14:paraId="122E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pct"/>
                  <w:noWrap w:val="0"/>
                  <w:vAlign w:val="center"/>
                </w:tcPr>
                <w:p w14:paraId="6ABC4495">
                  <w:pPr>
                    <w:keepNext w:val="0"/>
                    <w:keepLines w:val="0"/>
                    <w:suppressLineNumbers w:val="0"/>
                    <w:spacing w:before="0" w:beforeAutospacing="0" w:after="0" w:afterAutospacing="0"/>
                    <w:ind w:left="0" w:right="0"/>
                    <w:jc w:val="center"/>
                    <w:rPr>
                      <w:rFonts w:hint="eastAsia" w:ascii="Times New Roman" w:hAnsi="Times New Roman" w:eastAsia="宋体"/>
                      <w:b/>
                      <w:color w:val="auto"/>
                      <w:szCs w:val="21"/>
                      <w:lang w:eastAsia="zh-CN"/>
                    </w:rPr>
                  </w:pPr>
                  <w:r>
                    <w:rPr>
                      <w:rFonts w:hint="eastAsia" w:ascii="Times New Roman" w:hAnsi="Times New Roman" w:eastAsia="宋体"/>
                      <w:b/>
                      <w:color w:val="auto"/>
                      <w:szCs w:val="21"/>
                      <w:lang w:eastAsia="zh-CN"/>
                    </w:rPr>
                    <w:t>条目</w:t>
                  </w:r>
                </w:p>
              </w:tc>
              <w:tc>
                <w:tcPr>
                  <w:tcW w:w="2222" w:type="pct"/>
                  <w:noWrap w:val="0"/>
                  <w:vAlign w:val="center"/>
                </w:tcPr>
                <w:p w14:paraId="025B191C">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rPr>
                  </w:pPr>
                  <w:r>
                    <w:rPr>
                      <w:rFonts w:hint="default" w:ascii="Times New Roman" w:hAnsi="Times New Roman" w:eastAsia="宋体"/>
                      <w:b/>
                      <w:color w:val="auto"/>
                      <w:szCs w:val="21"/>
                    </w:rPr>
                    <w:t>内容要求</w:t>
                  </w:r>
                </w:p>
              </w:tc>
              <w:tc>
                <w:tcPr>
                  <w:tcW w:w="1782" w:type="pct"/>
                  <w:noWrap w:val="0"/>
                  <w:vAlign w:val="center"/>
                </w:tcPr>
                <w:p w14:paraId="3EEC0F3B">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rPr>
                  </w:pPr>
                  <w:r>
                    <w:rPr>
                      <w:rFonts w:hint="default" w:ascii="Times New Roman" w:hAnsi="Times New Roman" w:eastAsia="宋体"/>
                      <w:b/>
                      <w:color w:val="auto"/>
                      <w:szCs w:val="21"/>
                    </w:rPr>
                    <w:t>项目情况</w:t>
                  </w:r>
                </w:p>
              </w:tc>
              <w:tc>
                <w:tcPr>
                  <w:tcW w:w="433" w:type="pct"/>
                  <w:noWrap w:val="0"/>
                  <w:vAlign w:val="center"/>
                </w:tcPr>
                <w:p w14:paraId="312C3839">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rPr>
                  </w:pPr>
                  <w:r>
                    <w:rPr>
                      <w:rFonts w:hint="default" w:ascii="Times New Roman" w:hAnsi="Times New Roman" w:eastAsia="宋体"/>
                      <w:b/>
                      <w:color w:val="auto"/>
                      <w:szCs w:val="21"/>
                    </w:rPr>
                    <w:t>符合性</w:t>
                  </w:r>
                </w:p>
              </w:tc>
            </w:tr>
            <w:tr w14:paraId="3BB2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1" w:type="pct"/>
                  <w:noWrap w:val="0"/>
                  <w:vAlign w:val="center"/>
                </w:tcPr>
                <w:p w14:paraId="0542D57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全面有序放开</w:t>
                  </w:r>
                </w:p>
              </w:tc>
              <w:tc>
                <w:tcPr>
                  <w:tcW w:w="2222" w:type="pct"/>
                  <w:noWrap w:val="0"/>
                  <w:vAlign w:val="center"/>
                </w:tcPr>
                <w:p w14:paraId="6F3B1DE4">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color w:val="auto"/>
                      <w:szCs w:val="21"/>
                    </w:rPr>
                    <w:t>建立资源图和项目库。严守</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三线一单</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，组织各州、市开展光伏发电资源全面清查，统筹资源条件、电力供需、生态环境保护、要素保障等因素，形成资源分布</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一张图</w:t>
                  </w:r>
                  <w:r>
                    <w:rPr>
                      <w:rFonts w:hint="eastAsia" w:ascii="Times New Roman" w:hAnsi="Times New Roman" w:eastAsia="宋体"/>
                      <w:color w:val="auto"/>
                      <w:szCs w:val="21"/>
                      <w:lang w:eastAsia="zh-CN"/>
                    </w:rPr>
                    <w:t>”</w:t>
                  </w:r>
                  <w:r>
                    <w:rPr>
                      <w:rFonts w:hint="default" w:ascii="Times New Roman" w:hAnsi="Times New Roman" w:eastAsia="宋体"/>
                      <w:color w:val="auto"/>
                      <w:szCs w:val="21"/>
                    </w:rPr>
                    <w:t>。发挥规划统筹和引领作用，将光伏发电项目及配套接网工程统一纳入国土空间规划，搭建省级统一管理的项目库，入库项目须充分衔接省级和州、市规划，未入库项目各州、市不得开发建设。</w:t>
                  </w:r>
                </w:p>
              </w:tc>
              <w:tc>
                <w:tcPr>
                  <w:tcW w:w="1782" w:type="pct"/>
                  <w:noWrap w:val="0"/>
                  <w:vAlign w:val="center"/>
                </w:tcPr>
                <w:p w14:paraId="79CF89D6">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default" w:ascii="Times New Roman" w:hAnsi="Times New Roman" w:eastAsia="宋体"/>
                      <w:color w:val="auto"/>
                      <w:szCs w:val="21"/>
                    </w:rPr>
                    <w:t>项目建设符合</w:t>
                  </w:r>
                  <w:r>
                    <w:rPr>
                      <w:rFonts w:hint="eastAsia" w:ascii="Times New Roman" w:hAnsi="Times New Roman" w:eastAsia="宋体"/>
                      <w:color w:val="auto"/>
                      <w:szCs w:val="21"/>
                    </w:rPr>
                    <w:t>《昆明市生态环境分区管控动态更新方案（征求意见稿）》</w:t>
                  </w:r>
                  <w:r>
                    <w:rPr>
                      <w:rFonts w:hint="default" w:ascii="Times New Roman" w:hAnsi="Times New Roman" w:eastAsia="宋体"/>
                      <w:color w:val="auto"/>
                      <w:szCs w:val="21"/>
                    </w:rPr>
                    <w:t>控制要求</w:t>
                  </w:r>
                  <w:r>
                    <w:rPr>
                      <w:rFonts w:hint="eastAsia" w:ascii="Times New Roman" w:hAnsi="Times New Roman" w:eastAsia="宋体"/>
                      <w:color w:val="auto"/>
                      <w:szCs w:val="21"/>
                      <w:lang w:eastAsia="zh-CN"/>
                    </w:rPr>
                    <w:t>，具体分析详见上文；经对照“三区三线”划定成果，项目拟用地未占用永久基本农田、生态保护红线。</w:t>
                  </w:r>
                </w:p>
              </w:tc>
              <w:tc>
                <w:tcPr>
                  <w:tcW w:w="433" w:type="pct"/>
                  <w:noWrap w:val="0"/>
                  <w:vAlign w:val="center"/>
                </w:tcPr>
                <w:p w14:paraId="1B53BF51">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符合</w:t>
                  </w:r>
                </w:p>
              </w:tc>
            </w:tr>
            <w:tr w14:paraId="02CD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561" w:type="pct"/>
                  <w:vMerge w:val="restart"/>
                  <w:noWrap w:val="0"/>
                  <w:vAlign w:val="center"/>
                </w:tcPr>
                <w:p w14:paraId="3D69BC5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强化要素保障</w:t>
                  </w:r>
                </w:p>
              </w:tc>
              <w:tc>
                <w:tcPr>
                  <w:tcW w:w="2222" w:type="pct"/>
                  <w:noWrap w:val="0"/>
                  <w:vAlign w:val="center"/>
                </w:tcPr>
                <w:p w14:paraId="170D9890">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color w:val="auto"/>
                      <w:szCs w:val="21"/>
                    </w:rPr>
                    <w:t>保障用地用林指标。严格落实耕地保护和节约集约用地的规定和要求，强化前期选址踏勘论证，光伏复合项目用地不得占用永久基本农田，尽量避让长期稳定利用耕地，特别是坝区集中连片优质耕地。</w:t>
                  </w:r>
                </w:p>
              </w:tc>
              <w:tc>
                <w:tcPr>
                  <w:tcW w:w="1782" w:type="pct"/>
                  <w:noWrap w:val="0"/>
                  <w:vAlign w:val="center"/>
                </w:tcPr>
                <w:p w14:paraId="36B95817">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 w:val="21"/>
                      <w:szCs w:val="21"/>
                      <w:highlight w:val="none"/>
                      <w:lang w:eastAsia="zh-CN"/>
                    </w:rPr>
                    <w:t>项目用地现状为</w:t>
                  </w:r>
                  <w:r>
                    <w:rPr>
                      <w:rFonts w:hint="eastAsia"/>
                      <w:color w:val="auto"/>
                      <w:sz w:val="21"/>
                      <w:szCs w:val="21"/>
                      <w:highlight w:val="none"/>
                      <w:lang w:val="en-US" w:eastAsia="zh-CN"/>
                    </w:rPr>
                    <w:t>其他</w:t>
                  </w:r>
                  <w:r>
                    <w:rPr>
                      <w:rFonts w:hint="default" w:ascii="Times New Roman" w:hAnsi="Times New Roman" w:eastAsia="宋体" w:cs="Times New Roman"/>
                      <w:i w:val="0"/>
                      <w:iCs w:val="0"/>
                      <w:color w:val="auto"/>
                      <w:kern w:val="0"/>
                      <w:sz w:val="21"/>
                      <w:szCs w:val="21"/>
                      <w:highlight w:val="none"/>
                      <w:u w:val="none"/>
                      <w:lang w:val="en-US" w:eastAsia="zh-CN" w:bidi="ar"/>
                    </w:rPr>
                    <w:t>草地、林地和交通运输用地</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Cs w:val="21"/>
                      <w:lang w:eastAsia="zh-CN"/>
                    </w:rPr>
                    <w:t>根据经对照“三区三线”划定成果，项目拟用地未占用永久基本农田，</w:t>
                  </w:r>
                  <w:r>
                    <w:rPr>
                      <w:rFonts w:hint="eastAsia" w:ascii="Times New Roman" w:hAnsi="Times New Roman" w:eastAsia="宋体"/>
                      <w:color w:val="auto"/>
                      <w:sz w:val="21"/>
                      <w:szCs w:val="21"/>
                      <w:highlight w:val="none"/>
                      <w:lang w:eastAsia="zh-CN"/>
                    </w:rPr>
                    <w:t>不</w:t>
                  </w:r>
                  <w:r>
                    <w:rPr>
                      <w:rFonts w:hint="eastAsia" w:ascii="Times New Roman" w:hAnsi="Times New Roman" w:eastAsia="宋体"/>
                      <w:color w:val="auto"/>
                      <w:szCs w:val="21"/>
                      <w:lang w:eastAsia="zh-CN"/>
                    </w:rPr>
                    <w:t>占用</w:t>
                  </w:r>
                  <w:r>
                    <w:rPr>
                      <w:rFonts w:hint="default" w:ascii="Times New Roman" w:hAnsi="Times New Roman" w:eastAsia="宋体"/>
                      <w:color w:val="auto"/>
                      <w:szCs w:val="21"/>
                    </w:rPr>
                    <w:t>长期稳定利用耕地</w:t>
                  </w:r>
                  <w:r>
                    <w:rPr>
                      <w:rFonts w:hint="eastAsia"/>
                      <w:color w:val="auto"/>
                      <w:szCs w:val="21"/>
                      <w:lang w:val="en-US" w:eastAsia="zh-CN"/>
                    </w:rPr>
                    <w:t>和</w:t>
                  </w:r>
                  <w:r>
                    <w:rPr>
                      <w:rFonts w:hint="default" w:ascii="Times New Roman" w:hAnsi="Times New Roman" w:eastAsia="宋体"/>
                      <w:color w:val="auto"/>
                      <w:szCs w:val="21"/>
                    </w:rPr>
                    <w:t>坝区集中连片优质耕地</w:t>
                  </w:r>
                  <w:r>
                    <w:rPr>
                      <w:rFonts w:hint="eastAsia" w:ascii="Times New Roman" w:hAnsi="Times New Roman" w:eastAsia="宋体"/>
                      <w:color w:val="auto"/>
                      <w:szCs w:val="21"/>
                      <w:lang w:eastAsia="zh-CN"/>
                    </w:rPr>
                    <w:t>。</w:t>
                  </w:r>
                </w:p>
              </w:tc>
              <w:tc>
                <w:tcPr>
                  <w:tcW w:w="433" w:type="pct"/>
                  <w:noWrap w:val="0"/>
                  <w:vAlign w:val="center"/>
                </w:tcPr>
                <w:p w14:paraId="3F3B0EE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符合</w:t>
                  </w:r>
                </w:p>
              </w:tc>
            </w:tr>
            <w:tr w14:paraId="1C10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jc w:val="center"/>
              </w:trPr>
              <w:tc>
                <w:tcPr>
                  <w:tcW w:w="561" w:type="pct"/>
                  <w:vMerge w:val="continue"/>
                  <w:noWrap w:val="0"/>
                  <w:vAlign w:val="center"/>
                </w:tcPr>
                <w:p w14:paraId="3B48521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p>
              </w:tc>
              <w:tc>
                <w:tcPr>
                  <w:tcW w:w="2222" w:type="pct"/>
                  <w:noWrap w:val="0"/>
                  <w:vAlign w:val="center"/>
                </w:tcPr>
                <w:p w14:paraId="2D0272CE">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rPr>
                  </w:pPr>
                  <w:r>
                    <w:rPr>
                      <w:rFonts w:hint="default" w:ascii="Times New Roman" w:hAnsi="Times New Roman" w:eastAsia="宋体"/>
                      <w:color w:val="auto"/>
                      <w:szCs w:val="21"/>
                    </w:rPr>
                    <w:t>落实用地用林支持。对符合我省光伏复合项目建设要求和认定标准的项目，利用25度以上耕地（水田除外）或其他农用地布设的光伏方阵，在不破坏耕地耕作层及农用地生产条件和不改变原用地性质的条件下，允许以租赁等方式使用；采用直埋电缆方式敷设集电线路的用地，实行与光伏方阵用地同样的管理方式；场内道路用地可按照农村道路用地管理。</w:t>
                  </w:r>
                </w:p>
              </w:tc>
              <w:tc>
                <w:tcPr>
                  <w:tcW w:w="1782" w:type="pct"/>
                  <w:noWrap w:val="0"/>
                  <w:vAlign w:val="center"/>
                </w:tcPr>
                <w:p w14:paraId="4C51758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eastAsia" w:ascii="Times New Roman" w:hAnsi="Times New Roman" w:eastAsia="宋体"/>
                      <w:color w:val="auto"/>
                      <w:szCs w:val="21"/>
                      <w:lang w:eastAsia="zh-CN"/>
                    </w:rPr>
                    <w:t>项目</w:t>
                  </w:r>
                  <w:r>
                    <w:rPr>
                      <w:rFonts w:hint="default" w:ascii="Times New Roman" w:hAnsi="Times New Roman" w:eastAsia="宋体"/>
                      <w:color w:val="auto"/>
                      <w:szCs w:val="21"/>
                      <w:highlight w:val="none"/>
                    </w:rPr>
                    <w:t>光伏方阵</w:t>
                  </w:r>
                  <w:r>
                    <w:rPr>
                      <w:rFonts w:hint="eastAsia" w:ascii="Times New Roman" w:hAnsi="Times New Roman" w:eastAsia="宋体"/>
                      <w:color w:val="auto"/>
                      <w:szCs w:val="21"/>
                      <w:highlight w:val="none"/>
                      <w:lang w:eastAsia="zh-CN"/>
                    </w:rPr>
                    <w:t>用地现状为</w:t>
                  </w:r>
                  <w:r>
                    <w:rPr>
                      <w:rFonts w:hint="eastAsia"/>
                      <w:color w:val="auto"/>
                      <w:sz w:val="21"/>
                      <w:szCs w:val="21"/>
                      <w:highlight w:val="none"/>
                      <w:lang w:val="en-US" w:eastAsia="zh-CN"/>
                    </w:rPr>
                    <w:t>其他</w:t>
                  </w:r>
                  <w:r>
                    <w:rPr>
                      <w:rFonts w:hint="default" w:ascii="Times New Roman" w:hAnsi="Times New Roman" w:eastAsia="宋体" w:cs="Times New Roman"/>
                      <w:i w:val="0"/>
                      <w:iCs w:val="0"/>
                      <w:color w:val="auto"/>
                      <w:kern w:val="0"/>
                      <w:sz w:val="21"/>
                      <w:szCs w:val="21"/>
                      <w:highlight w:val="none"/>
                      <w:u w:val="none"/>
                      <w:lang w:val="en-US" w:eastAsia="zh-CN" w:bidi="ar"/>
                    </w:rPr>
                    <w:t>草地、林地和交通运输用地</w:t>
                  </w:r>
                  <w:r>
                    <w:rPr>
                      <w:rFonts w:hint="eastAsia" w:ascii="Times New Roman" w:hAnsi="Times New Roman" w:eastAsia="宋体"/>
                      <w:color w:val="auto"/>
                      <w:szCs w:val="21"/>
                      <w:lang w:eastAsia="zh-CN"/>
                    </w:rPr>
                    <w:t>，不占用</w:t>
                  </w:r>
                  <w:r>
                    <w:rPr>
                      <w:rFonts w:hint="default" w:ascii="Times New Roman" w:hAnsi="Times New Roman" w:eastAsia="宋体"/>
                      <w:color w:val="auto"/>
                      <w:szCs w:val="21"/>
                    </w:rPr>
                    <w:t>25度以上耕地（水田除外）或其他农用地</w:t>
                  </w:r>
                  <w:r>
                    <w:rPr>
                      <w:rFonts w:hint="eastAsia" w:ascii="Times New Roman" w:hAnsi="Times New Roman" w:eastAsia="宋体"/>
                      <w:color w:val="auto"/>
                      <w:szCs w:val="21"/>
                      <w:lang w:eastAsia="zh-CN"/>
                    </w:rPr>
                    <w:t>。</w:t>
                  </w:r>
                  <w:r>
                    <w:rPr>
                      <w:rFonts w:hint="eastAsia"/>
                      <w:color w:val="auto"/>
                      <w:szCs w:val="21"/>
                      <w:lang w:val="en-US" w:eastAsia="zh-CN"/>
                    </w:rPr>
                    <w:t>项目集电线路和</w:t>
                  </w:r>
                  <w:r>
                    <w:rPr>
                      <w:rFonts w:hint="default" w:ascii="Times New Roman" w:hAnsi="Times New Roman" w:eastAsia="宋体"/>
                      <w:color w:val="auto"/>
                      <w:szCs w:val="21"/>
                    </w:rPr>
                    <w:t>场内道路</w:t>
                  </w:r>
                  <w:r>
                    <w:rPr>
                      <w:rFonts w:hint="eastAsia"/>
                      <w:color w:val="auto"/>
                      <w:szCs w:val="21"/>
                      <w:lang w:val="en-US" w:eastAsia="zh-CN"/>
                    </w:rPr>
                    <w:t>单独立项</w:t>
                  </w:r>
                  <w:r>
                    <w:rPr>
                      <w:rFonts w:hint="eastAsia"/>
                      <w:color w:val="auto"/>
                      <w:szCs w:val="21"/>
                      <w:lang w:eastAsia="zh-CN"/>
                    </w:rPr>
                    <w:t>，</w:t>
                  </w:r>
                  <w:r>
                    <w:rPr>
                      <w:rFonts w:hint="eastAsia"/>
                      <w:color w:val="auto"/>
                      <w:szCs w:val="21"/>
                      <w:lang w:val="en-US" w:eastAsia="zh-CN"/>
                    </w:rPr>
                    <w:t>均不在本次评价范围内</w:t>
                  </w:r>
                  <w:r>
                    <w:rPr>
                      <w:rFonts w:hint="default" w:ascii="Times New Roman" w:hAnsi="Times New Roman" w:eastAsia="宋体"/>
                      <w:color w:val="auto"/>
                      <w:szCs w:val="21"/>
                    </w:rPr>
                    <w:t>。</w:t>
                  </w:r>
                </w:p>
              </w:tc>
              <w:tc>
                <w:tcPr>
                  <w:tcW w:w="433" w:type="pct"/>
                  <w:noWrap w:val="0"/>
                  <w:vAlign w:val="center"/>
                </w:tcPr>
                <w:p w14:paraId="4505C69D">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符合</w:t>
                  </w:r>
                </w:p>
              </w:tc>
            </w:tr>
          </w:tbl>
          <w:p w14:paraId="6A3B01F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kern w:val="0"/>
                <w:sz w:val="24"/>
                <w:highlight w:val="none"/>
                <w:shd w:val="clear" w:color="auto" w:fill="auto"/>
                <w:lang w:val="en-US" w:eastAsia="zh-CN"/>
              </w:rPr>
            </w:pPr>
            <w:r>
              <w:rPr>
                <w:rFonts w:hint="eastAsia" w:ascii="Times New Roman" w:hAnsi="Times New Roman" w:eastAsia="宋体"/>
                <w:color w:val="auto"/>
                <w:kern w:val="0"/>
                <w:sz w:val="24"/>
                <w:lang w:eastAsia="zh-CN"/>
              </w:rPr>
              <w:t>由上表可知，本项目与</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关于加快光伏发电发展若干政策措施</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eastAsia="zh-CN"/>
              </w:rPr>
              <w:t>中有关要求相符</w:t>
            </w:r>
            <w:r>
              <w:rPr>
                <w:rFonts w:hint="eastAsia" w:ascii="Times New Roman" w:hAnsi="Times New Roman" w:eastAsia="宋体"/>
                <w:color w:val="auto"/>
                <w:kern w:val="0"/>
                <w:sz w:val="24"/>
              </w:rPr>
              <w:t>。</w:t>
            </w:r>
          </w:p>
          <w:p w14:paraId="7CA39DE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lang w:eastAsia="zh-CN"/>
              </w:rPr>
            </w:pPr>
            <w:r>
              <w:rPr>
                <w:rFonts w:hint="eastAsia" w:cs="Times New Roman"/>
                <w:b/>
                <w:bCs/>
                <w:color w:val="auto"/>
                <w:kern w:val="0"/>
                <w:sz w:val="24"/>
                <w:lang w:val="en-US" w:eastAsia="zh-CN"/>
              </w:rPr>
              <w:t>16</w:t>
            </w:r>
            <w:r>
              <w:rPr>
                <w:rFonts w:hint="default" w:ascii="Times New Roman" w:hAnsi="Times New Roman" w:cs="Times New Roman"/>
                <w:b/>
                <w:bCs/>
                <w:color w:val="auto"/>
                <w:kern w:val="0"/>
                <w:sz w:val="24"/>
              </w:rPr>
              <w:t>、</w:t>
            </w:r>
            <w:r>
              <w:rPr>
                <w:rFonts w:hint="default" w:ascii="Times New Roman" w:hAnsi="Times New Roman" w:eastAsia="宋体" w:cs="Times New Roman"/>
                <w:b/>
                <w:bCs/>
                <w:color w:val="auto"/>
                <w:sz w:val="24"/>
                <w:szCs w:val="24"/>
                <w:lang w:val="en-US" w:eastAsia="zh-CN"/>
              </w:rPr>
              <w:t>与云南省自然资源厅《云南省产业用地政策实施工作指引（2022年版）》（云自然资利用〔2022〕525号）</w:t>
            </w:r>
            <w:r>
              <w:rPr>
                <w:rFonts w:hint="default" w:ascii="Times New Roman" w:hAnsi="Times New Roman" w:eastAsia="宋体" w:cs="Times New Roman"/>
                <w:b/>
                <w:bCs/>
                <w:color w:val="auto"/>
                <w:sz w:val="24"/>
                <w:szCs w:val="24"/>
                <w:lang w:eastAsia="zh-CN"/>
              </w:rPr>
              <w:t>符合性分析</w:t>
            </w:r>
          </w:p>
          <w:p w14:paraId="73DFED67">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kern w:val="0"/>
                <w:sz w:val="24"/>
                <w:lang w:eastAsia="zh-CN"/>
              </w:rPr>
              <w:t>根据《云南省产业用地政策实施工作指引（2022年版）》（云自然资利用〔2022〕525号）</w:t>
            </w:r>
            <w:r>
              <w:rPr>
                <w:rFonts w:hint="default" w:ascii="Times New Roman" w:hAnsi="Times New Roman" w:eastAsia="宋体" w:cs="Times New Roman"/>
                <w:color w:val="auto"/>
                <w:kern w:val="0"/>
                <w:sz w:val="24"/>
                <w:lang w:val="en-US" w:eastAsia="zh-CN"/>
              </w:rPr>
              <w:t>中有关光伏发电产业用地政策。</w:t>
            </w:r>
            <w:r>
              <w:rPr>
                <w:rFonts w:hint="default" w:ascii="Times New Roman" w:hAnsi="Times New Roman" w:cs="Times New Roman"/>
                <w:b w:val="0"/>
                <w:bCs w:val="0"/>
                <w:color w:val="auto"/>
                <w:kern w:val="0"/>
                <w:sz w:val="24"/>
                <w:szCs w:val="24"/>
                <w:lang w:eastAsia="zh-CN"/>
              </w:rPr>
              <w:t>本项目</w:t>
            </w:r>
            <w:r>
              <w:rPr>
                <w:rFonts w:hint="default" w:ascii="Times New Roman" w:hAnsi="Times New Roman" w:cs="Times New Roman"/>
                <w:b w:val="0"/>
                <w:bCs w:val="0"/>
                <w:color w:val="auto"/>
                <w:kern w:val="0"/>
                <w:sz w:val="24"/>
                <w:szCs w:val="24"/>
                <w:lang w:val="en-US" w:eastAsia="zh-CN"/>
              </w:rPr>
              <w:t>属于符合条件的利用农用地复合建设的光伏发电项目（以下简称光伏复合项目），项目</w:t>
            </w:r>
            <w:r>
              <w:rPr>
                <w:rFonts w:hint="default" w:ascii="Times New Roman" w:hAnsi="Times New Roman" w:cs="Times New Roman"/>
                <w:b w:val="0"/>
                <w:bCs w:val="0"/>
                <w:color w:val="auto"/>
                <w:kern w:val="0"/>
                <w:sz w:val="24"/>
                <w:szCs w:val="24"/>
                <w:lang w:eastAsia="zh-CN"/>
              </w:rPr>
              <w:t>与</w:t>
            </w:r>
            <w:r>
              <w:rPr>
                <w:rFonts w:hint="default" w:ascii="Times New Roman" w:hAnsi="Times New Roman" w:eastAsia="宋体" w:cs="Times New Roman"/>
                <w:color w:val="auto"/>
                <w:kern w:val="0"/>
                <w:sz w:val="24"/>
                <w:lang w:eastAsia="zh-CN"/>
              </w:rPr>
              <w:t>《云南省产业用地政策实施工作指引（2022年版）》</w:t>
            </w:r>
            <w:r>
              <w:rPr>
                <w:rFonts w:hint="default" w:ascii="Times New Roman" w:hAnsi="Times New Roman" w:cs="Times New Roman"/>
                <w:b w:val="0"/>
                <w:bCs w:val="0"/>
                <w:color w:val="auto"/>
                <w:kern w:val="0"/>
                <w:sz w:val="24"/>
                <w:szCs w:val="24"/>
                <w:lang w:eastAsia="zh-CN"/>
              </w:rPr>
              <w:t>符合性分析见表</w:t>
            </w:r>
            <w:r>
              <w:rPr>
                <w:rFonts w:hint="default" w:ascii="Times New Roman" w:hAnsi="Times New Roman" w:cs="Times New Roman"/>
                <w:b w:val="0"/>
                <w:bCs w:val="0"/>
                <w:color w:val="auto"/>
                <w:kern w:val="0"/>
                <w:sz w:val="24"/>
                <w:szCs w:val="24"/>
                <w:lang w:val="en-US" w:eastAsia="zh-CN"/>
              </w:rPr>
              <w:t>1-</w:t>
            </w:r>
            <w:r>
              <w:rPr>
                <w:rFonts w:hint="eastAsia" w:cs="Times New Roman"/>
                <w:b w:val="0"/>
                <w:bCs w:val="0"/>
                <w:color w:val="auto"/>
                <w:kern w:val="0"/>
                <w:sz w:val="24"/>
                <w:szCs w:val="24"/>
                <w:lang w:val="en-US" w:eastAsia="zh-CN"/>
              </w:rPr>
              <w:t>14</w:t>
            </w:r>
            <w:r>
              <w:rPr>
                <w:rFonts w:hint="default" w:ascii="Times New Roman" w:hAnsi="Times New Roman" w:cs="Times New Roman"/>
                <w:b w:val="0"/>
                <w:bCs w:val="0"/>
                <w:color w:val="auto"/>
                <w:kern w:val="0"/>
                <w:sz w:val="24"/>
                <w:szCs w:val="24"/>
                <w:lang w:val="en-US" w:eastAsia="zh-CN"/>
              </w:rPr>
              <w:t>。</w:t>
            </w:r>
          </w:p>
          <w:p w14:paraId="1C4910B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1</w:t>
            </w:r>
            <w:r>
              <w:rPr>
                <w:rFonts w:hint="eastAsia" w:cs="Times New Roman"/>
                <w:b/>
                <w:bCs/>
                <w:color w:val="auto"/>
                <w:kern w:val="0"/>
                <w:sz w:val="21"/>
                <w:szCs w:val="21"/>
                <w:lang w:val="en-US" w:eastAsia="zh-CN" w:bidi="ar"/>
              </w:rPr>
              <w:t>4</w:t>
            </w:r>
            <w:r>
              <w:rPr>
                <w:rFonts w:hint="default" w:ascii="Times New Roman" w:hAnsi="Times New Roman" w:eastAsia="宋体" w:cs="Times New Roman"/>
                <w:b/>
                <w:bCs/>
                <w:color w:val="auto"/>
                <w:kern w:val="0"/>
                <w:sz w:val="21"/>
                <w:szCs w:val="21"/>
                <w:lang w:val="en-US" w:eastAsia="zh-CN" w:bidi="ar"/>
              </w:rPr>
              <w:t xml:space="preserve"> </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项目与云自然资利用〔2022〕525号符合性分析</w:t>
            </w:r>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6"/>
              <w:gridCol w:w="2913"/>
              <w:gridCol w:w="880"/>
            </w:tblGrid>
            <w:tr w14:paraId="345A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105A0A2F">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《工作指引》要求</w:t>
                  </w:r>
                </w:p>
              </w:tc>
              <w:tc>
                <w:tcPr>
                  <w:tcW w:w="1992" w:type="pct"/>
                  <w:noWrap w:val="0"/>
                  <w:vAlign w:val="center"/>
                </w:tcPr>
                <w:p w14:paraId="30A8BE33">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本项目情况</w:t>
                  </w:r>
                </w:p>
              </w:tc>
              <w:tc>
                <w:tcPr>
                  <w:tcW w:w="602" w:type="pct"/>
                  <w:noWrap w:val="0"/>
                  <w:vAlign w:val="center"/>
                </w:tcPr>
                <w:p w14:paraId="38C4783B">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tc>
            </w:tr>
            <w:tr w14:paraId="4AD4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3FFD98A7">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rPr>
                    <w:t>架设在25度以上耕地（水田除外）或其他农用地上的光伏方阵用地，满足光伏组件最低沿高于地面2.5米、高于最高水位0.6米，桩基间列间距大于4米，行间距大于6.5米的架设要求，在不破坏耕地耕作层及农用地生产条件和不改变原用地性质的条件下，允许以租赁等方式使用</w:t>
                  </w:r>
                  <w:r>
                    <w:rPr>
                      <w:rFonts w:hint="eastAsia" w:cs="Times New Roman"/>
                      <w:color w:val="auto"/>
                      <w:lang w:eastAsia="zh-CN"/>
                    </w:rPr>
                    <w:t>。</w:t>
                  </w:r>
                </w:p>
              </w:tc>
              <w:tc>
                <w:tcPr>
                  <w:tcW w:w="1992" w:type="pct"/>
                  <w:noWrap w:val="0"/>
                  <w:vAlign w:val="center"/>
                </w:tcPr>
                <w:p w14:paraId="6A5827BC">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本项目光伏方阵用地不</w:t>
                  </w:r>
                  <w:r>
                    <w:rPr>
                      <w:rFonts w:hint="eastAsia" w:cs="Times New Roman"/>
                      <w:color w:val="auto"/>
                      <w:sz w:val="21"/>
                      <w:szCs w:val="21"/>
                      <w:vertAlign w:val="baseline"/>
                      <w:lang w:val="en-US" w:eastAsia="zh-CN"/>
                    </w:rPr>
                    <w:t>占用耕地和</w:t>
                  </w:r>
                  <w:r>
                    <w:rPr>
                      <w:rFonts w:hint="default" w:ascii="Times New Roman" w:hAnsi="Times New Roman" w:eastAsia="宋体" w:cs="Times New Roman"/>
                      <w:color w:val="auto"/>
                      <w:sz w:val="21"/>
                      <w:szCs w:val="21"/>
                      <w:vertAlign w:val="baseline"/>
                      <w:lang w:val="en-US" w:eastAsia="zh-CN"/>
                    </w:rPr>
                    <w:t>水田；</w:t>
                  </w:r>
                  <w:r>
                    <w:rPr>
                      <w:rFonts w:hint="default" w:ascii="Times New Roman" w:hAnsi="Times New Roman" w:cs="Times New Roman"/>
                      <w:color w:val="auto"/>
                    </w:rPr>
                    <w:t>不破坏耕地耕作层及农用地生产条件和不改变原用地性质</w:t>
                  </w:r>
                  <w:r>
                    <w:rPr>
                      <w:rFonts w:hint="eastAsia" w:ascii="Times New Roman" w:hAnsi="Times New Roman" w:cs="Times New Roman"/>
                      <w:color w:val="auto"/>
                      <w:lang w:eastAsia="zh-CN"/>
                    </w:rPr>
                    <w:t>。</w:t>
                  </w:r>
                </w:p>
                <w:p w14:paraId="75EE132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bidi="ar"/>
                    </w:rPr>
                    <w:t>项目</w:t>
                  </w:r>
                  <w:r>
                    <w:rPr>
                      <w:rFonts w:hint="eastAsia" w:cs="Times New Roman"/>
                      <w:color w:val="auto"/>
                      <w:kern w:val="0"/>
                      <w:sz w:val="21"/>
                      <w:szCs w:val="21"/>
                      <w:lang w:eastAsia="zh-CN" w:bidi="ar"/>
                    </w:rPr>
                    <w:t>根据</w:t>
                  </w:r>
                  <w:r>
                    <w:rPr>
                      <w:rFonts w:hint="default" w:ascii="Times New Roman" w:hAnsi="Times New Roman" w:eastAsia="宋体" w:cs="Times New Roman"/>
                      <w:color w:val="auto"/>
                      <w:kern w:val="0"/>
                      <w:sz w:val="21"/>
                      <w:szCs w:val="21"/>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lang w:eastAsia="zh-CN"/>
                    </w:rPr>
                    <w:t>光</w:t>
                  </w:r>
                  <w:r>
                    <w:rPr>
                      <w:rFonts w:hint="default" w:ascii="Times New Roman" w:hAnsi="Times New Roman" w:cs="Times New Roman"/>
                      <w:color w:val="auto"/>
                      <w:kern w:val="0"/>
                      <w:sz w:val="21"/>
                      <w:szCs w:val="21"/>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lang w:bidi="ar"/>
                    </w:rPr>
                    <w:t>进行建设</w:t>
                  </w:r>
                  <w:r>
                    <w:rPr>
                      <w:rFonts w:hint="eastAsia" w:ascii="Times New Roman" w:hAnsi="Times New Roman" w:eastAsia="宋体" w:cs="Times New Roman"/>
                      <w:color w:val="auto"/>
                      <w:kern w:val="0"/>
                      <w:sz w:val="21"/>
                      <w:szCs w:val="21"/>
                      <w:lang w:eastAsia="zh-CN" w:bidi="ar"/>
                    </w:rPr>
                    <w:t>。</w:t>
                  </w:r>
                </w:p>
              </w:tc>
              <w:tc>
                <w:tcPr>
                  <w:tcW w:w="602" w:type="pct"/>
                  <w:noWrap w:val="0"/>
                  <w:vAlign w:val="center"/>
                </w:tcPr>
                <w:p w14:paraId="42F8890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符合</w:t>
                  </w:r>
                </w:p>
              </w:tc>
            </w:tr>
            <w:tr w14:paraId="519C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2098581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rPr>
                    <w:t>除桩基用地外，严禁硬化地面、破坏耕作层，严禁抛荒、</w:t>
                  </w:r>
                  <w:r>
                    <w:rPr>
                      <w:rFonts w:hint="eastAsia" w:ascii="Times New Roman" w:hAnsi="Times New Roman" w:cs="Times New Roman"/>
                      <w:color w:val="auto"/>
                      <w:lang w:val="en-US" w:eastAsia="zh-CN"/>
                    </w:rPr>
                    <w:t>撂荒</w:t>
                  </w:r>
                  <w:r>
                    <w:rPr>
                      <w:rFonts w:hint="default" w:ascii="Times New Roman" w:hAnsi="Times New Roman" w:cs="Times New Roman"/>
                      <w:color w:val="auto"/>
                    </w:rPr>
                    <w:t>。</w:t>
                  </w:r>
                </w:p>
              </w:tc>
              <w:tc>
                <w:tcPr>
                  <w:tcW w:w="1992" w:type="pct"/>
                  <w:noWrap w:val="0"/>
                  <w:vAlign w:val="center"/>
                </w:tcPr>
                <w:p w14:paraId="5F989FBC">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光伏方阵区域除桩基用地外，不涉及硬化地面，</w:t>
                  </w:r>
                  <w:r>
                    <w:rPr>
                      <w:rFonts w:hint="eastAsia" w:cs="Times New Roman"/>
                      <w:color w:val="auto"/>
                      <w:sz w:val="21"/>
                      <w:szCs w:val="21"/>
                      <w:highlight w:val="none"/>
                      <w:vertAlign w:val="baseline"/>
                      <w:lang w:val="en-US" w:eastAsia="zh-CN"/>
                    </w:rPr>
                    <w:t>项目不占用耕地，在施工结束将进行植被恢复，</w:t>
                  </w:r>
                  <w:r>
                    <w:rPr>
                      <w:rFonts w:hint="default" w:ascii="Times New Roman" w:hAnsi="Times New Roman" w:eastAsia="宋体" w:cs="Times New Roman"/>
                      <w:color w:val="auto"/>
                      <w:sz w:val="21"/>
                      <w:szCs w:val="21"/>
                      <w:highlight w:val="none"/>
                      <w:vertAlign w:val="baseline"/>
                      <w:lang w:val="en-US" w:eastAsia="zh-CN"/>
                    </w:rPr>
                    <w:t>不会对土地</w:t>
                  </w:r>
                  <w:r>
                    <w:rPr>
                      <w:rFonts w:hint="default" w:ascii="Times New Roman" w:hAnsi="Times New Roman" w:cs="Times New Roman"/>
                      <w:color w:val="auto"/>
                    </w:rPr>
                    <w:t>抛荒、</w:t>
                  </w:r>
                  <w:r>
                    <w:rPr>
                      <w:rFonts w:hint="eastAsia" w:ascii="Times New Roman" w:hAnsi="Times New Roman" w:cs="Times New Roman"/>
                      <w:color w:val="auto"/>
                      <w:lang w:val="en-US" w:eastAsia="zh-CN"/>
                    </w:rPr>
                    <w:t>撂荒</w:t>
                  </w:r>
                  <w:r>
                    <w:rPr>
                      <w:rFonts w:hint="eastAsia" w:ascii="Times New Roman" w:hAnsi="Times New Roman" w:cs="Times New Roman"/>
                      <w:color w:val="auto"/>
                      <w:lang w:eastAsia="zh-CN"/>
                    </w:rPr>
                    <w:t>。</w:t>
                  </w:r>
                </w:p>
              </w:tc>
              <w:tc>
                <w:tcPr>
                  <w:tcW w:w="602" w:type="pct"/>
                  <w:noWrap w:val="0"/>
                  <w:vAlign w:val="center"/>
                </w:tcPr>
                <w:p w14:paraId="56CB5BB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符合</w:t>
                  </w:r>
                </w:p>
              </w:tc>
            </w:tr>
            <w:tr w14:paraId="17EC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036D2F19">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rPr>
                    <w:t>采用直埋电缆方式敷设的集电线路用地，实行与项目光伏方阵用地同样的管理方式。</w:t>
                  </w:r>
                </w:p>
              </w:tc>
              <w:tc>
                <w:tcPr>
                  <w:tcW w:w="1992" w:type="pct"/>
                  <w:noWrap w:val="0"/>
                  <w:vAlign w:val="center"/>
                </w:tcPr>
                <w:p w14:paraId="2FC1A9E2">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rPr>
                    <w:t>采用直埋电缆方式敷设的集电线路用地，实行与项目光伏方阵用地同样的管理方式</w:t>
                  </w:r>
                  <w:r>
                    <w:rPr>
                      <w:rFonts w:hint="eastAsia" w:ascii="Times New Roman" w:hAnsi="Times New Roman" w:cs="Times New Roman"/>
                      <w:color w:val="auto"/>
                      <w:kern w:val="0"/>
                      <w:szCs w:val="21"/>
                      <w:lang w:val="en-US" w:eastAsia="zh-CN" w:bidi="ar"/>
                    </w:rPr>
                    <w:t>。</w:t>
                  </w:r>
                </w:p>
              </w:tc>
              <w:tc>
                <w:tcPr>
                  <w:tcW w:w="602" w:type="pct"/>
                  <w:noWrap w:val="0"/>
                  <w:vAlign w:val="center"/>
                </w:tcPr>
                <w:p w14:paraId="3104ADF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符合</w:t>
                  </w:r>
                </w:p>
              </w:tc>
            </w:tr>
            <w:tr w14:paraId="3101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1B0DFD2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rPr>
                    <w:t>场内道路用地可按农村道路用地管理。</w:t>
                  </w:r>
                </w:p>
              </w:tc>
              <w:tc>
                <w:tcPr>
                  <w:tcW w:w="1992" w:type="pct"/>
                  <w:noWrap w:val="0"/>
                  <w:vAlign w:val="center"/>
                </w:tcPr>
                <w:p w14:paraId="2CEAB14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场区道路用地采用农村道路的要求进行管理</w:t>
                  </w:r>
                  <w:r>
                    <w:rPr>
                      <w:rFonts w:hint="eastAsia" w:ascii="Times New Roman" w:hAnsi="Times New Roman" w:cs="Times New Roman"/>
                      <w:color w:val="auto"/>
                      <w:lang w:val="en-US" w:eastAsia="zh-CN"/>
                    </w:rPr>
                    <w:t>。</w:t>
                  </w:r>
                </w:p>
              </w:tc>
              <w:tc>
                <w:tcPr>
                  <w:tcW w:w="602" w:type="pct"/>
                  <w:noWrap w:val="0"/>
                  <w:vAlign w:val="center"/>
                </w:tcPr>
                <w:p w14:paraId="14E217E2">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符合</w:t>
                  </w:r>
                </w:p>
              </w:tc>
            </w:tr>
            <w:tr w14:paraId="1D2E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228EBF4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rPr>
                    <w:t>变电站、运行管理中心、集电线路杆塔基础等其他设施用地按建设用地管理。</w:t>
                  </w:r>
                </w:p>
              </w:tc>
              <w:tc>
                <w:tcPr>
                  <w:tcW w:w="1992" w:type="pct"/>
                  <w:noWrap w:val="0"/>
                  <w:vAlign w:val="center"/>
                </w:tcPr>
                <w:p w14:paraId="5622F8F8">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kern w:val="0"/>
                      <w:szCs w:val="21"/>
                      <w:lang w:val="en-US" w:eastAsia="zh-CN" w:bidi="ar"/>
                    </w:rPr>
                    <w:t>35kV架空</w:t>
                  </w:r>
                  <w:r>
                    <w:rPr>
                      <w:rFonts w:hint="default" w:ascii="Times New Roman" w:hAnsi="Times New Roman" w:cs="Times New Roman"/>
                      <w:color w:val="auto"/>
                      <w:kern w:val="0"/>
                      <w:szCs w:val="21"/>
                      <w:lang w:bidi="ar"/>
                    </w:rPr>
                    <w:t>集电线路</w:t>
                  </w:r>
                  <w:r>
                    <w:rPr>
                      <w:rFonts w:hint="default" w:ascii="Times New Roman" w:hAnsi="Times New Roman" w:cs="Times New Roman"/>
                      <w:color w:val="auto"/>
                      <w:kern w:val="0"/>
                      <w:szCs w:val="21"/>
                      <w:lang w:val="en-US" w:eastAsia="zh-CN" w:bidi="ar"/>
                    </w:rPr>
                    <w:t>不包含在本次评价范围内</w:t>
                  </w:r>
                  <w:r>
                    <w:rPr>
                      <w:rFonts w:hint="eastAsia" w:ascii="Times New Roman" w:hAnsi="Times New Roman" w:cs="Times New Roman"/>
                      <w:color w:val="auto"/>
                      <w:kern w:val="0"/>
                      <w:szCs w:val="21"/>
                      <w:lang w:val="en-US" w:eastAsia="zh-CN" w:bidi="ar"/>
                    </w:rPr>
                    <w:t>。</w:t>
                  </w:r>
                </w:p>
              </w:tc>
              <w:tc>
                <w:tcPr>
                  <w:tcW w:w="602" w:type="pct"/>
                  <w:noWrap w:val="0"/>
                  <w:vAlign w:val="center"/>
                </w:tcPr>
                <w:p w14:paraId="1076742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符合</w:t>
                  </w:r>
                </w:p>
              </w:tc>
            </w:tr>
          </w:tbl>
          <w:p w14:paraId="7103CAF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val="en-US" w:eastAsia="zh-CN"/>
              </w:rPr>
              <w:t>根据上表分析结果，本项目符合云南省自然资源厅《云南省产业用地政策实施工作指引（2022年版）》（云自然资利用〔2022〕525号）</w:t>
            </w:r>
            <w:r>
              <w:rPr>
                <w:rFonts w:hint="default" w:ascii="Times New Roman" w:hAnsi="Times New Roman" w:eastAsia="宋体" w:cs="Times New Roman"/>
                <w:color w:val="auto"/>
                <w:kern w:val="0"/>
                <w:sz w:val="24"/>
                <w:lang w:eastAsia="zh-CN"/>
              </w:rPr>
              <w:t>的要求。</w:t>
            </w:r>
          </w:p>
          <w:p w14:paraId="63585CBA">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rPr>
            </w:pPr>
            <w:r>
              <w:rPr>
                <w:rFonts w:hint="eastAsia"/>
                <w:b/>
                <w:bCs/>
                <w:color w:val="auto"/>
                <w:kern w:val="0"/>
                <w:sz w:val="24"/>
                <w:lang w:val="en-US" w:eastAsia="zh-CN"/>
              </w:rPr>
              <w:t>17、</w:t>
            </w:r>
            <w:r>
              <w:rPr>
                <w:rFonts w:hint="eastAsia"/>
                <w:b/>
                <w:bCs/>
                <w:color w:val="auto"/>
                <w:kern w:val="0"/>
                <w:sz w:val="24"/>
              </w:rPr>
              <w:t>与</w:t>
            </w:r>
            <w:r>
              <w:rPr>
                <w:rFonts w:hint="default"/>
                <w:b/>
                <w:bCs/>
                <w:color w:val="auto"/>
                <w:kern w:val="0"/>
                <w:sz w:val="24"/>
              </w:rPr>
              <w:t>《</w:t>
            </w:r>
            <w:r>
              <w:rPr>
                <w:rFonts w:hint="eastAsia"/>
                <w:b/>
                <w:bCs/>
                <w:color w:val="auto"/>
                <w:kern w:val="0"/>
                <w:sz w:val="24"/>
                <w:lang w:eastAsia="zh-CN"/>
              </w:rPr>
              <w:t>云南省林地管理条例</w:t>
            </w:r>
            <w:r>
              <w:rPr>
                <w:rFonts w:hint="eastAsia"/>
                <w:b/>
                <w:bCs/>
                <w:color w:val="auto"/>
                <w:kern w:val="0"/>
                <w:sz w:val="24"/>
              </w:rPr>
              <w:t>》的</w:t>
            </w:r>
            <w:r>
              <w:rPr>
                <w:rFonts w:hint="default"/>
                <w:b/>
                <w:bCs/>
                <w:color w:val="auto"/>
                <w:kern w:val="0"/>
                <w:sz w:val="24"/>
              </w:rPr>
              <w:t>符合性分析</w:t>
            </w:r>
          </w:p>
          <w:p w14:paraId="6EA17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《云南省林地管理条例》</w:t>
            </w:r>
            <w:r>
              <w:rPr>
                <w:rFonts w:hint="eastAsia" w:ascii="宋体" w:hAnsi="宋体" w:eastAsia="宋体" w:cs="宋体"/>
                <w:color w:val="auto"/>
                <w:kern w:val="0"/>
                <w:sz w:val="24"/>
                <w:szCs w:val="24"/>
                <w:lang w:val="en-US" w:eastAsia="zh-CN" w:bidi="ar"/>
              </w:rPr>
              <w:t>第三十三条使用林地的单位和个人，应当保护生态，增加投入，合理利用林地，科学选择造林树种，开发利用林下资源，发展林产业，提高林地综合效益；履行森林防火、有害生物防治以及野生动物、重点保护野生植物及古树名木等管护义务。</w:t>
            </w:r>
          </w:p>
          <w:p w14:paraId="2BDB1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第三十四条 林地权利人的合法权益受法律保护，任何单位和个人不得侵害。</w:t>
            </w:r>
          </w:p>
          <w:p w14:paraId="386C0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任何单位和个人不得非法占用、征收、征用林地，不得擅自改变林地用途，不得超过批准范围使用林地。</w:t>
            </w:r>
          </w:p>
          <w:p w14:paraId="5004F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第三十六条 采伐被占用、征收、征用或者流转林地上林木的，应当向所在地县级以上人民政府林业主管部门申请办理林木采伐许可证，未经批准不得采伐。</w:t>
            </w:r>
          </w:p>
          <w:p w14:paraId="0C601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第三十九条 占用、征收、征用林地的单位或者个人应当向被占用、征收、征用林地的所有权人或者使用权人支付林地补偿费，向林木所有权人支付林木补偿费，向林地使用权人支付安置补助费。</w:t>
            </w:r>
          </w:p>
          <w:p w14:paraId="74401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lang w:val="en-US" w:eastAsia="zh-CN"/>
              </w:rPr>
            </w:pPr>
            <w:r>
              <w:rPr>
                <w:rFonts w:hint="eastAsia" w:ascii="宋体" w:hAnsi="宋体" w:eastAsia="宋体" w:cs="宋体"/>
                <w:color w:val="auto"/>
                <w:kern w:val="0"/>
                <w:sz w:val="24"/>
                <w:szCs w:val="24"/>
                <w:lang w:val="en-US" w:eastAsia="zh-CN" w:bidi="ar"/>
              </w:rPr>
              <w:t>临时占用林地的，应当向所有权人或者使用权人支付林地补偿费，向林木所有权人支付林木补偿费。</w:t>
            </w:r>
          </w:p>
          <w:p w14:paraId="70F77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符合性分析：</w:t>
            </w:r>
            <w:r>
              <w:rPr>
                <w:rFonts w:hint="default" w:cs="Times New Roman"/>
                <w:color w:val="auto"/>
                <w:sz w:val="24"/>
                <w:szCs w:val="24"/>
                <w:highlight w:val="none"/>
                <w:lang w:val="en-US" w:eastAsia="zh-CN"/>
              </w:rPr>
              <w:t>根据项目使用林地可行性报告，</w:t>
            </w:r>
            <w:r>
              <w:rPr>
                <w:rFonts w:hint="eastAsia" w:cs="Times New Roman"/>
                <w:color w:val="auto"/>
                <w:sz w:val="24"/>
                <w:szCs w:val="24"/>
                <w:highlight w:val="none"/>
                <w:lang w:val="en-US" w:eastAsia="zh-CN"/>
              </w:rPr>
              <w:t>光伏阵列区涉林部分森林类别为省级公益林和一般商品林地，地类为一般灌木林和其他无立木林地，</w:t>
            </w:r>
            <w:r>
              <w:rPr>
                <w:rFonts w:hint="eastAsia" w:ascii="Times New Roman" w:hAnsi="Times New Roman" w:eastAsia="宋体" w:cs="Times New Roman"/>
                <w:color w:val="auto"/>
                <w:sz w:val="24"/>
                <w:szCs w:val="24"/>
                <w:highlight w:val="none"/>
                <w:lang w:val="en-US" w:eastAsia="zh-CN"/>
              </w:rPr>
              <w:t>覆盖度均不高于50%，依据规划数据，</w:t>
            </w:r>
            <w:r>
              <w:rPr>
                <w:rFonts w:hint="eastAsia" w:ascii="Times New Roman" w:hAnsi="Times New Roman" w:eastAsia="宋体" w:cs="Times New Roman"/>
                <w:color w:val="auto"/>
                <w:sz w:val="24"/>
                <w:szCs w:val="24"/>
                <w:lang w:val="en-US" w:eastAsia="zh-CN"/>
              </w:rPr>
              <w:t>可满足光伏项目用地条件。根据《云南省林地管理条例》文件，项目建设必须依法依规办理征收占用林地审批手续后方能使用林地，未取得使用林地审核同意书不得开工建设。</w:t>
            </w:r>
          </w:p>
          <w:p w14:paraId="7FF48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cs="Times New Roman"/>
                <w:color w:val="auto"/>
                <w:sz w:val="24"/>
                <w:szCs w:val="24"/>
                <w:highlight w:val="none"/>
                <w:lang w:val="en-US" w:eastAsia="zh-CN"/>
              </w:rPr>
              <w:t>项目使用林地可行性报告正在送审中，尚未取得批复，业主承诺</w:t>
            </w:r>
            <w:r>
              <w:rPr>
                <w:rFonts w:hint="eastAsia" w:ascii="Times New Roman" w:hAnsi="Times New Roman" w:eastAsia="宋体" w:cs="Times New Roman"/>
                <w:color w:val="auto"/>
                <w:sz w:val="24"/>
                <w:szCs w:val="24"/>
                <w:highlight w:val="none"/>
                <w:lang w:val="en-US" w:eastAsia="zh-CN"/>
              </w:rPr>
              <w:t>在办理相关手续后</w:t>
            </w:r>
            <w:r>
              <w:rPr>
                <w:rFonts w:hint="eastAsia" w:cs="Times New Roman"/>
                <w:color w:val="auto"/>
                <w:sz w:val="24"/>
                <w:szCs w:val="24"/>
                <w:highlight w:val="none"/>
                <w:lang w:val="en-US" w:eastAsia="zh-CN"/>
              </w:rPr>
              <w:t>再</w:t>
            </w:r>
            <w:r>
              <w:rPr>
                <w:rFonts w:hint="eastAsia" w:ascii="Times New Roman" w:hAnsi="Times New Roman" w:eastAsia="宋体" w:cs="Times New Roman"/>
                <w:color w:val="auto"/>
                <w:sz w:val="24"/>
                <w:szCs w:val="24"/>
                <w:highlight w:val="none"/>
                <w:lang w:val="en-US" w:eastAsia="zh-CN"/>
              </w:rPr>
              <w:t>进行建设，能够满足《云南省林地管理条例》中相关要求</w:t>
            </w:r>
            <w:r>
              <w:rPr>
                <w:rFonts w:hint="eastAsia" w:cs="Times New Roman"/>
                <w:color w:val="auto"/>
                <w:sz w:val="24"/>
                <w:szCs w:val="24"/>
                <w:highlight w:val="none"/>
                <w:lang w:val="en-US" w:eastAsia="zh-CN"/>
              </w:rPr>
              <w:t>。</w:t>
            </w:r>
          </w:p>
          <w:p w14:paraId="369DA149">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highlight w:val="none"/>
              </w:rPr>
            </w:pPr>
            <w:r>
              <w:rPr>
                <w:rFonts w:hint="eastAsia"/>
                <w:b/>
                <w:bCs/>
                <w:color w:val="auto"/>
                <w:kern w:val="0"/>
                <w:sz w:val="24"/>
                <w:highlight w:val="none"/>
                <w:lang w:val="en-US" w:eastAsia="zh-CN"/>
              </w:rPr>
              <w:t>18、</w:t>
            </w:r>
            <w:r>
              <w:rPr>
                <w:rFonts w:hint="eastAsia"/>
                <w:b/>
                <w:bCs/>
                <w:color w:val="auto"/>
                <w:kern w:val="0"/>
                <w:sz w:val="24"/>
                <w:highlight w:val="none"/>
              </w:rPr>
              <w:t>与</w:t>
            </w:r>
            <w:r>
              <w:rPr>
                <w:rFonts w:hint="default"/>
                <w:b/>
                <w:bCs/>
                <w:color w:val="auto"/>
                <w:kern w:val="0"/>
                <w:sz w:val="24"/>
                <w:highlight w:val="none"/>
              </w:rPr>
              <w:t>《</w:t>
            </w:r>
            <w:r>
              <w:rPr>
                <w:rFonts w:hint="eastAsia"/>
                <w:b/>
                <w:bCs/>
                <w:color w:val="auto"/>
                <w:kern w:val="0"/>
                <w:sz w:val="24"/>
                <w:highlight w:val="none"/>
                <w:lang w:eastAsia="zh-CN"/>
              </w:rPr>
              <w:t>云南省公益林管理办法</w:t>
            </w:r>
            <w:r>
              <w:rPr>
                <w:rFonts w:hint="eastAsia"/>
                <w:b/>
                <w:bCs/>
                <w:color w:val="auto"/>
                <w:kern w:val="0"/>
                <w:sz w:val="24"/>
                <w:highlight w:val="none"/>
              </w:rPr>
              <w:t>》</w:t>
            </w:r>
            <w:r>
              <w:rPr>
                <w:rFonts w:hint="eastAsia"/>
                <w:b/>
                <w:bCs/>
                <w:color w:val="auto"/>
                <w:kern w:val="0"/>
                <w:sz w:val="24"/>
                <w:highlight w:val="none"/>
                <w:lang w:eastAsia="zh-CN"/>
              </w:rPr>
              <w:t>（云林规</w:t>
            </w:r>
            <w:r>
              <w:rPr>
                <w:rFonts w:hint="default" w:ascii="Times New Roman" w:hAnsi="Times New Roman" w:eastAsia="宋体" w:cs="Times New Roman"/>
                <w:b/>
                <w:bCs/>
                <w:color w:val="auto"/>
                <w:sz w:val="24"/>
                <w:szCs w:val="24"/>
                <w:highlight w:val="none"/>
              </w:rPr>
              <w:t>〔201</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2号</w:t>
            </w:r>
            <w:r>
              <w:rPr>
                <w:rFonts w:hint="eastAsia"/>
                <w:b/>
                <w:bCs/>
                <w:color w:val="auto"/>
                <w:kern w:val="0"/>
                <w:sz w:val="24"/>
                <w:highlight w:val="none"/>
                <w:lang w:eastAsia="zh-CN"/>
              </w:rPr>
              <w:t>）</w:t>
            </w:r>
            <w:r>
              <w:rPr>
                <w:rFonts w:hint="eastAsia"/>
                <w:b/>
                <w:bCs/>
                <w:color w:val="auto"/>
                <w:kern w:val="0"/>
                <w:sz w:val="24"/>
                <w:highlight w:val="none"/>
              </w:rPr>
              <w:t>的</w:t>
            </w:r>
            <w:r>
              <w:rPr>
                <w:rFonts w:hint="default"/>
                <w:b/>
                <w:bCs/>
                <w:color w:val="auto"/>
                <w:kern w:val="0"/>
                <w:sz w:val="24"/>
                <w:highlight w:val="none"/>
              </w:rPr>
              <w:t>符合性分析</w:t>
            </w:r>
          </w:p>
          <w:p w14:paraId="40EDDD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《云南省公益林管理办法》（云林规〔2019〕2号）第二十五条：</w:t>
            </w:r>
            <w:r>
              <w:rPr>
                <w:rFonts w:hint="eastAsia" w:ascii="宋体" w:hAnsi="宋体" w:eastAsia="宋体" w:cs="宋体"/>
                <w:color w:val="auto"/>
                <w:sz w:val="24"/>
                <w:szCs w:val="24"/>
                <w:highlight w:val="none"/>
                <w:lang w:val="en-US" w:eastAsia="zh-CN"/>
              </w:rPr>
              <w:t>“严格控制勘查、采矿和工程建设使用公益林地。纳入生态红线范围的公益林，按生态管控红线相关要求执行；未纳入生态红线范围、确需使用的公益林，由县级以上林业和草原主管部门进行核查，严格按照相关规定办理使用林地和林木采伐手续……”。</w:t>
            </w:r>
          </w:p>
          <w:p w14:paraId="7C2DF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 xml:space="preserve">第二十八条：“国家级公益林开展生产经营活动，要严格按照《国家级公益林管理办法》相关规定执行。”第二十九条：“省级公益林在不影响整体森林生态系统功能发挥的前提下，应当参照《国家级公益林管理办法》第十二条第三款的规定开展抚育和更新性质的采伐。在不破坏森林植被的前提下，可以合理利用林地资源，适度开展林下种植养殖和森林游憩等非木质资源开发与利用，科学发展林下经济……”。 </w:t>
            </w:r>
          </w:p>
          <w:p w14:paraId="44F8B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符合性分析：</w:t>
            </w:r>
            <w:r>
              <w:rPr>
                <w:rFonts w:hint="default" w:cs="Times New Roman"/>
                <w:color w:val="auto"/>
                <w:sz w:val="24"/>
                <w:szCs w:val="24"/>
                <w:highlight w:val="none"/>
                <w:lang w:val="en-US" w:eastAsia="zh-CN"/>
              </w:rPr>
              <w:t>根据项目使用林地可行性报告，</w:t>
            </w:r>
            <w:r>
              <w:rPr>
                <w:rFonts w:hint="eastAsia" w:cs="Times New Roman"/>
                <w:color w:val="auto"/>
                <w:sz w:val="24"/>
                <w:szCs w:val="24"/>
                <w:highlight w:val="none"/>
                <w:lang w:val="en-US" w:eastAsia="zh-CN"/>
              </w:rPr>
              <w:t>光伏阵列区涉林部分森林类别为省级公益林和一般商品林地，地类为一般灌木林和其他无立木林地，</w:t>
            </w:r>
            <w:r>
              <w:rPr>
                <w:rFonts w:hint="eastAsia" w:ascii="Times New Roman" w:hAnsi="Times New Roman" w:eastAsia="宋体" w:cs="Times New Roman"/>
                <w:color w:val="auto"/>
                <w:sz w:val="24"/>
                <w:szCs w:val="24"/>
                <w:highlight w:val="none"/>
                <w:lang w:val="en-US" w:eastAsia="zh-CN"/>
              </w:rPr>
              <w:t>依据规划数据，可满足光伏项目用地条件。根据《云南省公益林管理办法》</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云林规</w:t>
            </w:r>
            <w:r>
              <w:rPr>
                <w:rFonts w:hint="default" w:ascii="Times New Roman" w:hAnsi="Times New Roman" w:eastAsia="宋体" w:cs="Times New Roman"/>
                <w:color w:val="auto"/>
                <w:sz w:val="24"/>
                <w:szCs w:val="24"/>
                <w:highlight w:val="none"/>
                <w:lang w:val="en-US" w:eastAsia="zh-CN"/>
              </w:rPr>
              <w:t>〔2019〕</w:t>
            </w:r>
            <w:r>
              <w:rPr>
                <w:rFonts w:hint="eastAsia" w:ascii="Times New Roman" w:hAnsi="Times New Roman" w:eastAsia="宋体" w:cs="Times New Roman"/>
                <w:color w:val="auto"/>
                <w:sz w:val="24"/>
                <w:szCs w:val="24"/>
                <w:highlight w:val="none"/>
                <w:lang w:val="en-US" w:eastAsia="zh-CN"/>
              </w:rPr>
              <w:t>2号</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文件，项目建设必须依法依规办理征收占用林地审批手续后方能使用林地，未取得使用林地审核同意书不得开工建设。</w:t>
            </w:r>
          </w:p>
          <w:p w14:paraId="3FD928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项目使用林地可行性报告正在送审中，尚未取得批复，业主承诺</w:t>
            </w:r>
            <w:r>
              <w:rPr>
                <w:rFonts w:hint="eastAsia" w:ascii="Times New Roman" w:hAnsi="Times New Roman" w:eastAsia="宋体" w:cs="Times New Roman"/>
                <w:color w:val="auto"/>
                <w:sz w:val="24"/>
                <w:szCs w:val="24"/>
                <w:highlight w:val="none"/>
                <w:lang w:val="en-US" w:eastAsia="zh-CN"/>
              </w:rPr>
              <w:t>在办理相关手续后</w:t>
            </w:r>
            <w:r>
              <w:rPr>
                <w:rFonts w:hint="eastAsia" w:cs="Times New Roman"/>
                <w:color w:val="auto"/>
                <w:sz w:val="24"/>
                <w:szCs w:val="24"/>
                <w:highlight w:val="none"/>
                <w:lang w:val="en-US" w:eastAsia="zh-CN"/>
              </w:rPr>
              <w:t>再</w:t>
            </w:r>
            <w:r>
              <w:rPr>
                <w:rFonts w:hint="eastAsia" w:ascii="Times New Roman" w:hAnsi="Times New Roman" w:eastAsia="宋体" w:cs="Times New Roman"/>
                <w:color w:val="auto"/>
                <w:sz w:val="24"/>
                <w:szCs w:val="24"/>
                <w:highlight w:val="none"/>
                <w:lang w:val="en-US" w:eastAsia="zh-CN"/>
              </w:rPr>
              <w:t>进行建设，能够满足《云南省公益林管理办法》</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云林规</w:t>
            </w:r>
            <w:r>
              <w:rPr>
                <w:rFonts w:hint="default" w:ascii="Times New Roman" w:hAnsi="Times New Roman" w:eastAsia="宋体" w:cs="Times New Roman"/>
                <w:color w:val="auto"/>
                <w:sz w:val="24"/>
                <w:szCs w:val="24"/>
                <w:highlight w:val="none"/>
                <w:lang w:val="en-US" w:eastAsia="zh-CN"/>
              </w:rPr>
              <w:t>〔2019〕</w:t>
            </w:r>
            <w:r>
              <w:rPr>
                <w:rFonts w:hint="eastAsia" w:ascii="Times New Roman" w:hAnsi="Times New Roman" w:eastAsia="宋体" w:cs="Times New Roman"/>
                <w:color w:val="auto"/>
                <w:sz w:val="24"/>
                <w:szCs w:val="24"/>
                <w:highlight w:val="none"/>
                <w:lang w:val="en-US" w:eastAsia="zh-CN"/>
              </w:rPr>
              <w:t>2号</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中相关要求</w:t>
            </w:r>
            <w:r>
              <w:rPr>
                <w:rFonts w:hint="eastAsia" w:cs="Times New Roman"/>
                <w:color w:val="auto"/>
                <w:sz w:val="24"/>
                <w:szCs w:val="24"/>
                <w:highlight w:val="none"/>
                <w:lang w:val="en-US" w:eastAsia="zh-CN"/>
              </w:rPr>
              <w:t>。</w:t>
            </w:r>
          </w:p>
          <w:p w14:paraId="3DA32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19</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其它使用林地的规定符合性分析</w:t>
            </w:r>
          </w:p>
          <w:p w14:paraId="09E1424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0"/>
                <w:sz w:val="24"/>
              </w:rPr>
            </w:pPr>
            <w:r>
              <w:rPr>
                <w:rFonts w:hint="eastAsia" w:ascii="Times New Roman" w:hAnsi="Times New Roman" w:cs="Times New Roman"/>
                <w:b w:val="0"/>
                <w:bCs w:val="0"/>
                <w:color w:val="auto"/>
                <w:kern w:val="0"/>
                <w:sz w:val="24"/>
                <w:lang w:val="en-US" w:eastAsia="zh-CN"/>
              </w:rPr>
              <w:t>（1）</w:t>
            </w:r>
            <w:r>
              <w:rPr>
                <w:rFonts w:hint="default" w:ascii="Times New Roman" w:hAnsi="Times New Roman" w:cs="Times New Roman"/>
                <w:b w:val="0"/>
                <w:bCs w:val="0"/>
                <w:color w:val="auto"/>
                <w:kern w:val="0"/>
                <w:sz w:val="24"/>
              </w:rPr>
              <w:t>与《云南省林业和草原局 云南省能源局关于进一步规范光伏复合项目使用林草地有关事项的通知》（云林规〔2021〕5号）的符合性分析</w:t>
            </w:r>
          </w:p>
          <w:p w14:paraId="351B7C5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项目与云林规〔2021〕5号通知的符合性分析见下表。</w:t>
            </w:r>
          </w:p>
          <w:p w14:paraId="1DB2FEB9">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firstLine="422" w:firstLineChars="200"/>
              <w:jc w:val="center"/>
              <w:textAlignment w:val="auto"/>
              <w:rPr>
                <w:rFonts w:hint="default"/>
                <w:b/>
                <w:bCs/>
                <w:color w:val="auto"/>
                <w:szCs w:val="21"/>
                <w:highlight w:val="none"/>
                <w:shd w:val="clear" w:color="auto" w:fill="auto"/>
              </w:rPr>
            </w:pPr>
            <w:r>
              <w:rPr>
                <w:rFonts w:hint="default"/>
                <w:b/>
                <w:bCs/>
                <w:color w:val="auto"/>
                <w:szCs w:val="21"/>
                <w:highlight w:val="none"/>
                <w:shd w:val="clear" w:color="auto" w:fill="auto"/>
              </w:rPr>
              <w:t>表1-</w:t>
            </w:r>
            <w:r>
              <w:rPr>
                <w:rFonts w:hint="eastAsia"/>
                <w:b/>
                <w:bCs/>
                <w:color w:val="auto"/>
                <w:szCs w:val="21"/>
                <w:highlight w:val="none"/>
                <w:shd w:val="clear" w:color="auto" w:fill="auto"/>
                <w:lang w:val="en-US" w:eastAsia="zh-CN"/>
              </w:rPr>
              <w:t>15</w:t>
            </w:r>
            <w:r>
              <w:rPr>
                <w:rFonts w:hint="default"/>
                <w:b/>
                <w:bCs/>
                <w:color w:val="auto"/>
                <w:szCs w:val="21"/>
                <w:highlight w:val="none"/>
                <w:shd w:val="clear" w:color="auto" w:fill="auto"/>
              </w:rPr>
              <w:t xml:space="preserve">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项目与</w:t>
            </w:r>
            <w:r>
              <w:rPr>
                <w:rFonts w:hint="eastAsia" w:ascii="宋体" w:hAnsi="宋体" w:cs="宋体"/>
                <w:b/>
                <w:bCs/>
                <w:color w:val="auto"/>
                <w:szCs w:val="21"/>
                <w:highlight w:val="none"/>
                <w:shd w:val="clear" w:color="auto" w:fill="auto"/>
              </w:rPr>
              <w:t>“</w:t>
            </w:r>
            <w:r>
              <w:rPr>
                <w:rFonts w:hint="eastAsia" w:ascii="宋体" w:hAnsi="宋体" w:cs="宋体"/>
                <w:b/>
                <w:color w:val="auto"/>
                <w:kern w:val="0"/>
                <w:szCs w:val="21"/>
                <w:highlight w:val="none"/>
                <w:shd w:val="clear" w:color="auto" w:fill="auto"/>
              </w:rPr>
              <w:t>云林规</w:t>
            </w:r>
            <w:r>
              <w:rPr>
                <w:rFonts w:hint="default"/>
                <w:b/>
                <w:color w:val="auto"/>
                <w:kern w:val="0"/>
                <w:szCs w:val="21"/>
                <w:highlight w:val="none"/>
                <w:shd w:val="clear" w:color="auto" w:fill="auto"/>
              </w:rPr>
              <w:t>〔2021〕5</w:t>
            </w:r>
            <w:r>
              <w:rPr>
                <w:rFonts w:hint="eastAsia" w:ascii="宋体" w:hAnsi="宋体" w:cs="宋体"/>
                <w:b/>
                <w:color w:val="auto"/>
                <w:kern w:val="0"/>
                <w:szCs w:val="21"/>
                <w:highlight w:val="none"/>
                <w:shd w:val="clear" w:color="auto" w:fill="auto"/>
              </w:rPr>
              <w:t>号</w:t>
            </w:r>
            <w:r>
              <w:rPr>
                <w:rFonts w:hint="eastAsia" w:ascii="宋体" w:hAnsi="宋体" w:cs="宋体"/>
                <w:b/>
                <w:bCs/>
                <w:color w:val="auto"/>
                <w:szCs w:val="21"/>
                <w:highlight w:val="none"/>
                <w:shd w:val="clear" w:color="auto" w:fill="auto"/>
              </w:rPr>
              <w:t>”的符</w:t>
            </w:r>
            <w:r>
              <w:rPr>
                <w:rFonts w:hint="default"/>
                <w:b/>
                <w:bCs/>
                <w:color w:val="auto"/>
                <w:szCs w:val="21"/>
                <w:highlight w:val="none"/>
                <w:shd w:val="clear" w:color="auto" w:fill="auto"/>
              </w:rPr>
              <w:t>合性分析</w:t>
            </w:r>
          </w:p>
          <w:tbl>
            <w:tblPr>
              <w:tblStyle w:val="42"/>
              <w:tblW w:w="4997"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481"/>
              <w:gridCol w:w="3317"/>
              <w:gridCol w:w="2609"/>
              <w:gridCol w:w="899"/>
            </w:tblGrid>
            <w:tr w14:paraId="6022EFE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329" w:type="pct"/>
                  <w:vAlign w:val="center"/>
                </w:tcPr>
                <w:p w14:paraId="378160ED">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类</w:t>
                  </w:r>
                  <w:r>
                    <w:rPr>
                      <w:rFonts w:hint="default"/>
                      <w:b/>
                      <w:color w:val="auto"/>
                      <w:spacing w:val="0"/>
                      <w:szCs w:val="21"/>
                      <w:highlight w:val="none"/>
                      <w:shd w:val="clear" w:color="auto" w:fill="auto"/>
                    </w:rPr>
                    <w:t>别</w:t>
                  </w:r>
                </w:p>
              </w:tc>
              <w:tc>
                <w:tcPr>
                  <w:tcW w:w="2269" w:type="pct"/>
                  <w:vAlign w:val="center"/>
                </w:tcPr>
                <w:p w14:paraId="055090B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default"/>
                      <w:b/>
                      <w:color w:val="auto"/>
                      <w:spacing w:val="0"/>
                      <w:kern w:val="0"/>
                      <w:szCs w:val="21"/>
                      <w:highlight w:val="none"/>
                      <w:shd w:val="clear" w:color="auto" w:fill="auto"/>
                    </w:rPr>
                    <w:t>云林规〔2021〕5号</w:t>
                  </w:r>
                  <w:r>
                    <w:rPr>
                      <w:rFonts w:hint="eastAsia"/>
                      <w:b/>
                      <w:color w:val="auto"/>
                      <w:spacing w:val="0"/>
                      <w:kern w:val="0"/>
                      <w:szCs w:val="21"/>
                      <w:highlight w:val="none"/>
                      <w:shd w:val="clear" w:color="auto" w:fill="auto"/>
                    </w:rPr>
                    <w:t>要求</w:t>
                  </w:r>
                </w:p>
              </w:tc>
              <w:tc>
                <w:tcPr>
                  <w:tcW w:w="1785" w:type="pct"/>
                  <w:vAlign w:val="center"/>
                </w:tcPr>
                <w:p w14:paraId="13B1B44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项</w:t>
                  </w:r>
                  <w:r>
                    <w:rPr>
                      <w:rFonts w:hint="default"/>
                      <w:b/>
                      <w:color w:val="auto"/>
                      <w:spacing w:val="0"/>
                      <w:szCs w:val="21"/>
                      <w:highlight w:val="none"/>
                      <w:shd w:val="clear" w:color="auto" w:fill="auto"/>
                    </w:rPr>
                    <w:t>目情况</w:t>
                  </w:r>
                </w:p>
              </w:tc>
              <w:tc>
                <w:tcPr>
                  <w:tcW w:w="615" w:type="pct"/>
                  <w:vAlign w:val="center"/>
                </w:tcPr>
                <w:p w14:paraId="3263CB7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符合</w:t>
                  </w:r>
                  <w:r>
                    <w:rPr>
                      <w:rFonts w:hint="default"/>
                      <w:b/>
                      <w:color w:val="auto"/>
                      <w:spacing w:val="0"/>
                      <w:szCs w:val="21"/>
                      <w:highlight w:val="none"/>
                      <w:shd w:val="clear" w:color="auto" w:fill="auto"/>
                    </w:rPr>
                    <w:t>性</w:t>
                  </w:r>
                </w:p>
              </w:tc>
            </w:tr>
            <w:tr w14:paraId="4299DC0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329" w:type="pct"/>
                  <w:vMerge w:val="restart"/>
                  <w:vAlign w:val="center"/>
                </w:tcPr>
                <w:p w14:paraId="4B154593">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选</w:t>
                  </w:r>
                  <w:r>
                    <w:rPr>
                      <w:rFonts w:hint="default" w:ascii="Times New Roman" w:hAnsi="Times New Roman" w:eastAsia="宋体"/>
                      <w:color w:val="auto"/>
                      <w:spacing w:val="0"/>
                      <w:sz w:val="21"/>
                      <w:szCs w:val="21"/>
                      <w:highlight w:val="none"/>
                      <w:shd w:val="clear" w:color="auto" w:fill="auto"/>
                    </w:rPr>
                    <w:t>址要求</w:t>
                  </w:r>
                </w:p>
              </w:tc>
              <w:tc>
                <w:tcPr>
                  <w:tcW w:w="2269" w:type="pct"/>
                  <w:vAlign w:val="center"/>
                </w:tcPr>
                <w:p w14:paraId="2570378C">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光伏复合项目禁止在国家公园、自然保护区、森林公园、风景名胜区、草原公园等各类自然保护地，世界自然遗产地，野生动物重要栖息地，珍稀濒危和极小种群野生植物重要原生境，天然林保护重点区域、基本草原以及生态保护红线内建设。</w:t>
                  </w:r>
                </w:p>
              </w:tc>
              <w:tc>
                <w:tcPr>
                  <w:tcW w:w="1785" w:type="pct"/>
                  <w:vAlign w:val="center"/>
                </w:tcPr>
                <w:p w14:paraId="6EDE6A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根据</w:t>
                  </w:r>
                  <w:r>
                    <w:rPr>
                      <w:rFonts w:hint="eastAsia" w:cs="Times New Roman"/>
                      <w:color w:val="auto"/>
                      <w:kern w:val="0"/>
                      <w:sz w:val="21"/>
                      <w:szCs w:val="21"/>
                      <w:highlight w:val="none"/>
                      <w:lang w:val="en-US" w:eastAsia="zh-CN"/>
                    </w:rPr>
                    <w:t>寻甸回族彝族自治县自然资源局、寻甸回族彝族自治县林业和草原局、寻甸回族彝族自治县水务局</w:t>
                  </w:r>
                  <w:r>
                    <w:rPr>
                      <w:rFonts w:hint="default" w:ascii="Times New Roman" w:hAnsi="Times New Roman" w:eastAsia="宋体" w:cs="Times New Roman"/>
                      <w:color w:val="auto"/>
                      <w:sz w:val="21"/>
                      <w:szCs w:val="21"/>
                      <w:highlight w:val="none"/>
                      <w:vertAlign w:val="baseline"/>
                      <w:lang w:eastAsia="zh-CN"/>
                    </w:rPr>
                    <w:t>等部门出具的选址意见及查阅相关资料，</w:t>
                  </w:r>
                  <w:r>
                    <w:rPr>
                      <w:rFonts w:hint="default" w:ascii="Times New Roman" w:hAnsi="Times New Roman" w:cs="Times New Roman"/>
                      <w:color w:val="auto"/>
                      <w:szCs w:val="21"/>
                    </w:rPr>
                    <w:t>本项目用地红线范围内不涉及国家公园、自然保护区、森林公园、风景名胜区、草原公园等各类自然保护地，世界自然遗产地</w:t>
                  </w:r>
                  <w:r>
                    <w:rPr>
                      <w:rFonts w:hint="eastAsia" w:cs="Times New Roman"/>
                      <w:color w:val="auto"/>
                      <w:szCs w:val="21"/>
                      <w:lang w:eastAsia="zh-CN"/>
                    </w:rPr>
                    <w:t>，</w:t>
                  </w:r>
                  <w:r>
                    <w:rPr>
                      <w:rFonts w:hint="default" w:ascii="Times New Roman" w:hAnsi="Times New Roman" w:cs="Times New Roman"/>
                      <w:color w:val="auto"/>
                      <w:sz w:val="21"/>
                      <w:szCs w:val="21"/>
                    </w:rPr>
                    <w:t>天然林保护重点区域、基本草原以及生态保护红线</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根据查阅相关资料和对当地林业部门的走访，项目评价范围内</w:t>
                  </w:r>
                  <w:r>
                    <w:rPr>
                      <w:rFonts w:hint="eastAsia" w:cs="Times New Roman"/>
                      <w:color w:val="auto"/>
                      <w:sz w:val="21"/>
                      <w:szCs w:val="21"/>
                      <w:lang w:val="en-US" w:eastAsia="zh-CN"/>
                    </w:rPr>
                    <w:t>不涉及</w:t>
                  </w:r>
                  <w:r>
                    <w:rPr>
                      <w:rFonts w:hint="default" w:ascii="Times New Roman" w:hAnsi="Times New Roman" w:cs="Times New Roman"/>
                      <w:color w:val="auto"/>
                      <w:sz w:val="21"/>
                      <w:szCs w:val="21"/>
                    </w:rPr>
                    <w:t>野生动物重要栖息地，珍稀濒危和极小种群野生植物重要原生境</w:t>
                  </w:r>
                  <w:r>
                    <w:rPr>
                      <w:rFonts w:hint="eastAsia" w:cs="Times New Roman"/>
                      <w:color w:val="auto"/>
                      <w:sz w:val="21"/>
                      <w:szCs w:val="21"/>
                      <w:lang w:eastAsia="zh-CN"/>
                    </w:rPr>
                    <w:t>。</w:t>
                  </w:r>
                </w:p>
              </w:tc>
              <w:tc>
                <w:tcPr>
                  <w:tcW w:w="615" w:type="pct"/>
                  <w:vAlign w:val="center"/>
                </w:tcPr>
                <w:p w14:paraId="0EDA1808">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符合</w:t>
                  </w:r>
                </w:p>
              </w:tc>
            </w:tr>
            <w:tr w14:paraId="0E494C7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29" w:type="pct"/>
                  <w:vMerge w:val="continue"/>
                  <w:vAlign w:val="center"/>
                </w:tcPr>
                <w:p w14:paraId="4859AA7C">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269" w:type="pct"/>
                  <w:vAlign w:val="center"/>
                </w:tcPr>
                <w:p w14:paraId="4F7B881F">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光伏复合项目的生产区（包括升压站、配电室、控制室、新建进场道路、新建场内检修道路、集电线路塔基等）、生活区（包括办公、住宿、食堂、活动场所、仓库等附属设施），禁止使用天然乔木林地；施工期临时设置的弃渣场、取土场、砂石场、堆料场、拌合站、工棚、临时施工道路等，禁止使用乔木林地；电池组件阵列禁止使用有林地、疏林地、未成林造林地、采伐迹地、火烧迹地，以及年降雨量400毫米以下区域覆盖度高于30%的灌木林地和年降雨量400毫米以上区域覆盖度高于50%的灌木林地。</w:t>
                  </w:r>
                </w:p>
              </w:tc>
              <w:tc>
                <w:tcPr>
                  <w:tcW w:w="1785" w:type="pct"/>
                  <w:vAlign w:val="center"/>
                </w:tcPr>
                <w:p w14:paraId="14422F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本项目</w:t>
                  </w:r>
                  <w:r>
                    <w:rPr>
                      <w:rFonts w:hint="default" w:ascii="Times New Roman" w:hAnsi="Times New Roman" w:eastAsia="宋体" w:cs="Times New Roman"/>
                      <w:color w:val="auto"/>
                      <w:sz w:val="21"/>
                      <w:szCs w:val="21"/>
                      <w:vertAlign w:val="baseline"/>
                      <w:lang w:val="en-US" w:eastAsia="zh-CN"/>
                    </w:rPr>
                    <w:t>生产区</w:t>
                  </w:r>
                  <w:r>
                    <w:rPr>
                      <w:rFonts w:hint="default" w:ascii="Times New Roman" w:hAnsi="Times New Roman" w:eastAsia="宋体" w:cs="Times New Roman"/>
                      <w:color w:val="auto"/>
                      <w:sz w:val="21"/>
                      <w:szCs w:val="21"/>
                      <w:highlight w:val="none"/>
                      <w:vertAlign w:val="baseline"/>
                      <w:lang w:eastAsia="zh-CN"/>
                    </w:rPr>
                    <w:t>未占用</w:t>
                  </w:r>
                  <w:r>
                    <w:rPr>
                      <w:rFonts w:hint="default" w:ascii="Times New Roman" w:hAnsi="Times New Roman" w:eastAsia="宋体" w:cs="Times New Roman"/>
                      <w:color w:val="auto"/>
                      <w:sz w:val="21"/>
                      <w:szCs w:val="21"/>
                      <w:highlight w:val="none"/>
                      <w:vertAlign w:val="baseline"/>
                      <w:lang w:val="en-US" w:eastAsia="zh-CN"/>
                    </w:rPr>
                    <w:t>天然乔木林地</w:t>
                  </w:r>
                  <w:r>
                    <w:rPr>
                      <w:rFonts w:hint="eastAsia" w:cs="Times New Roman"/>
                      <w:color w:val="auto"/>
                      <w:sz w:val="21"/>
                      <w:szCs w:val="21"/>
                      <w:highlight w:val="none"/>
                      <w:vertAlign w:val="baseline"/>
                      <w:lang w:val="en-US" w:eastAsia="zh-CN"/>
                    </w:rPr>
                    <w:t>，无生活区</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vertAlign w:val="baseline"/>
                      <w:lang w:val="en-US" w:eastAsia="zh-CN"/>
                    </w:rPr>
                    <w:t>施工期临时设置的堆料场、工棚、临时施工道路等，</w:t>
                  </w:r>
                  <w:r>
                    <w:rPr>
                      <w:rFonts w:hint="default" w:ascii="Times New Roman" w:hAnsi="Times New Roman" w:eastAsia="宋体" w:cs="Times New Roman"/>
                      <w:color w:val="auto"/>
                      <w:sz w:val="21"/>
                      <w:szCs w:val="21"/>
                      <w:highlight w:val="none"/>
                      <w:vertAlign w:val="baseline"/>
                      <w:lang w:eastAsia="zh-CN"/>
                    </w:rPr>
                    <w:t>未占用</w:t>
                  </w:r>
                  <w:r>
                    <w:rPr>
                      <w:rFonts w:hint="default" w:ascii="Times New Roman" w:hAnsi="Times New Roman" w:eastAsia="宋体" w:cs="Times New Roman"/>
                      <w:color w:val="auto"/>
                      <w:sz w:val="21"/>
                      <w:szCs w:val="21"/>
                      <w:vertAlign w:val="baseline"/>
                      <w:lang w:val="en-US" w:eastAsia="zh-CN"/>
                    </w:rPr>
                    <w:t>乔木林地；</w:t>
                  </w:r>
                  <w:r>
                    <w:rPr>
                      <w:rFonts w:hint="eastAsia" w:cs="Times New Roman"/>
                      <w:color w:val="auto"/>
                      <w:sz w:val="21"/>
                      <w:szCs w:val="21"/>
                      <w:vertAlign w:val="baseline"/>
                      <w:lang w:val="en-US" w:eastAsia="zh-CN"/>
                    </w:rPr>
                    <w:t>项目不设置</w:t>
                  </w:r>
                  <w:r>
                    <w:rPr>
                      <w:rFonts w:hint="default" w:ascii="Times New Roman" w:hAnsi="Times New Roman" w:eastAsia="宋体" w:cs="Times New Roman"/>
                      <w:color w:val="auto"/>
                      <w:sz w:val="21"/>
                      <w:szCs w:val="21"/>
                      <w:vertAlign w:val="baseline"/>
                      <w:lang w:val="en-US" w:eastAsia="zh-CN"/>
                    </w:rPr>
                    <w:t>拌合站</w:t>
                  </w:r>
                  <w:r>
                    <w:rPr>
                      <w:rFonts w:hint="eastAsia" w:ascii="Times New Roman" w:hAnsi="Times New Roman" w:eastAsia="宋体" w:cs="Times New Roman"/>
                      <w:color w:val="auto"/>
                      <w:sz w:val="21"/>
                      <w:szCs w:val="21"/>
                      <w:vertAlign w:val="baseline"/>
                      <w:lang w:val="en-US" w:eastAsia="zh-CN"/>
                    </w:rPr>
                    <w:t>。</w:t>
                  </w:r>
                </w:p>
                <w:p w14:paraId="0D00C4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电池组件阵列使用的地类为</w:t>
                  </w:r>
                  <w:r>
                    <w:rPr>
                      <w:rFonts w:hint="eastAsia" w:ascii="Times New Roman" w:hAnsi="Times New Roman" w:eastAsia="宋体" w:cs="Times New Roman"/>
                      <w:color w:val="auto"/>
                      <w:sz w:val="21"/>
                      <w:szCs w:val="21"/>
                      <w:highlight w:val="none"/>
                      <w:vertAlign w:val="baseline"/>
                      <w:lang w:val="en-US" w:eastAsia="zh-CN"/>
                    </w:rPr>
                    <w:t>林地、其他草地和</w:t>
                  </w:r>
                  <w:r>
                    <w:rPr>
                      <w:rFonts w:hint="eastAsia" w:cs="Times New Roman"/>
                      <w:color w:val="auto"/>
                      <w:sz w:val="21"/>
                      <w:szCs w:val="21"/>
                      <w:highlight w:val="none"/>
                      <w:vertAlign w:val="baseline"/>
                      <w:lang w:val="en-US" w:eastAsia="zh-CN"/>
                    </w:rPr>
                    <w:t>交通运输用地</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未使用</w:t>
                  </w:r>
                  <w:r>
                    <w:rPr>
                      <w:rFonts w:hint="default" w:ascii="Times New Roman" w:hAnsi="Times New Roman" w:eastAsia="宋体" w:cs="Times New Roman"/>
                      <w:color w:val="auto"/>
                      <w:sz w:val="21"/>
                      <w:szCs w:val="21"/>
                      <w:highlight w:val="none"/>
                      <w:vertAlign w:val="baseline"/>
                      <w:lang w:val="en-US" w:eastAsia="zh-CN"/>
                    </w:rPr>
                    <w:t>有林地</w:t>
                  </w:r>
                  <w:r>
                    <w:rPr>
                      <w:rFonts w:hint="default" w:ascii="Times New Roman" w:hAnsi="Times New Roman" w:eastAsia="宋体" w:cs="Times New Roman"/>
                      <w:color w:val="auto"/>
                      <w:sz w:val="21"/>
                      <w:szCs w:val="21"/>
                      <w:vertAlign w:val="baseline"/>
                      <w:lang w:val="en-US" w:eastAsia="zh-CN"/>
                    </w:rPr>
                    <w:t>、疏林地、未成林造林地、采伐迹地、火烧迹地，以及年降雨量400毫米以下区域覆盖度高于30%的灌木林地和年降雨量400毫米以上区域覆盖度高于50%的灌木林地</w:t>
                  </w:r>
                </w:p>
              </w:tc>
              <w:tc>
                <w:tcPr>
                  <w:tcW w:w="615" w:type="pct"/>
                  <w:vAlign w:val="center"/>
                </w:tcPr>
                <w:p w14:paraId="06354CC0">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符合</w:t>
                  </w:r>
                </w:p>
              </w:tc>
            </w:tr>
            <w:tr w14:paraId="1B0617E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29" w:type="pct"/>
                  <w:vAlign w:val="center"/>
                </w:tcPr>
                <w:p w14:paraId="231A06AD">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用</w:t>
                  </w:r>
                  <w:r>
                    <w:rPr>
                      <w:rFonts w:hint="default" w:ascii="Times New Roman" w:hAnsi="Times New Roman" w:eastAsia="宋体"/>
                      <w:color w:val="auto"/>
                      <w:spacing w:val="0"/>
                      <w:sz w:val="21"/>
                      <w:szCs w:val="21"/>
                      <w:highlight w:val="none"/>
                      <w:shd w:val="clear" w:color="auto" w:fill="auto"/>
                    </w:rPr>
                    <w:t>地要求</w:t>
                  </w:r>
                </w:p>
              </w:tc>
              <w:tc>
                <w:tcPr>
                  <w:tcW w:w="2269" w:type="pct"/>
                  <w:vAlign w:val="center"/>
                </w:tcPr>
                <w:p w14:paraId="5D4B64CD">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default" w:ascii="Times New Roman" w:hAnsi="Times New Roman" w:eastAsia="宋体"/>
                      <w:color w:val="auto"/>
                      <w:spacing w:val="0"/>
                      <w:sz w:val="21"/>
                      <w:szCs w:val="21"/>
                      <w:highlight w:val="none"/>
                      <w:shd w:val="clear" w:color="auto" w:fill="auto"/>
                    </w:rPr>
                    <w:t>电池组件阵列区在设计方面应当尽可能节约集约使用林地，光伏板最低沿与地面距离不得低于2.5m，电池组件阵列各排、列的布置间距应当符合《光伏电站设计规范》（GB 50797-2012）或《光伏发电站设计规范》（GB 50797-20</w:t>
                  </w:r>
                  <w:r>
                    <w:rPr>
                      <w:rFonts w:hint="eastAsia" w:ascii="Times New Roman" w:hAnsi="Times New Roman" w:eastAsia="宋体"/>
                      <w:color w:val="auto"/>
                      <w:spacing w:val="0"/>
                      <w:sz w:val="21"/>
                      <w:szCs w:val="21"/>
                      <w:highlight w:val="none"/>
                      <w:shd w:val="clear" w:color="auto" w:fill="auto"/>
                    </w:rPr>
                    <w:t>12</w:t>
                  </w:r>
                  <w:r>
                    <w:rPr>
                      <w:rFonts w:hint="default" w:ascii="Times New Roman" w:hAnsi="Times New Roman" w:eastAsia="宋体"/>
                      <w:color w:val="auto"/>
                      <w:spacing w:val="0"/>
                      <w:sz w:val="21"/>
                      <w:szCs w:val="21"/>
                      <w:highlight w:val="none"/>
                      <w:shd w:val="clear" w:color="auto" w:fill="auto"/>
                    </w:rPr>
                    <w:t>）相关规定；场内检修道路设计应当符合《光伏发电站设计规范》（GB 50797-2012）以及《光伏发电工程施工组织设计规范》（GB/T50795-2012）的相关要求。</w:t>
                  </w:r>
                </w:p>
              </w:tc>
              <w:tc>
                <w:tcPr>
                  <w:tcW w:w="1785" w:type="pct"/>
                  <w:vAlign w:val="center"/>
                </w:tcPr>
                <w:p w14:paraId="2F92C156">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pacing w:val="0"/>
                      <w:szCs w:val="21"/>
                      <w:highlight w:val="none"/>
                      <w:shd w:val="clear" w:color="auto" w:fill="auto"/>
                    </w:rPr>
                  </w:pPr>
                  <w:r>
                    <w:rPr>
                      <w:rFonts w:hint="default" w:ascii="Times New Roman" w:hAnsi="Times New Roman" w:eastAsia="宋体" w:cs="Times New Roman"/>
                      <w:color w:val="auto"/>
                      <w:kern w:val="0"/>
                      <w:sz w:val="21"/>
                      <w:szCs w:val="21"/>
                      <w:lang w:bidi="ar"/>
                    </w:rPr>
                    <w:t>本项目</w:t>
                  </w:r>
                  <w:r>
                    <w:rPr>
                      <w:rFonts w:hint="eastAsia" w:cs="Times New Roman"/>
                      <w:color w:val="auto"/>
                      <w:kern w:val="0"/>
                      <w:sz w:val="21"/>
                      <w:szCs w:val="21"/>
                      <w:lang w:eastAsia="zh-CN" w:bidi="ar"/>
                    </w:rPr>
                    <w:t>根据</w:t>
                  </w:r>
                  <w:r>
                    <w:rPr>
                      <w:rFonts w:hint="default" w:ascii="Times New Roman" w:hAnsi="Times New Roman" w:eastAsia="宋体" w:cs="Times New Roman"/>
                      <w:color w:val="auto"/>
                      <w:kern w:val="0"/>
                      <w:sz w:val="21"/>
                      <w:szCs w:val="21"/>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lang w:eastAsia="zh-CN"/>
                    </w:rPr>
                    <w:t>光</w:t>
                  </w:r>
                  <w:r>
                    <w:rPr>
                      <w:rFonts w:hint="default" w:ascii="Times New Roman" w:hAnsi="Times New Roman" w:cs="Times New Roman"/>
                      <w:color w:val="auto"/>
                      <w:kern w:val="0"/>
                      <w:sz w:val="21"/>
                      <w:szCs w:val="21"/>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lang w:bidi="ar"/>
                    </w:rPr>
                    <w:t>进行建设</w:t>
                  </w:r>
                  <w:r>
                    <w:rPr>
                      <w:rFonts w:hint="eastAsia" w:cs="Times New Roman"/>
                      <w:color w:val="auto"/>
                      <w:kern w:val="0"/>
                      <w:sz w:val="21"/>
                      <w:szCs w:val="21"/>
                      <w:lang w:eastAsia="zh-CN" w:bidi="ar"/>
                    </w:rPr>
                    <w:t>；</w:t>
                  </w:r>
                  <w:r>
                    <w:rPr>
                      <w:rFonts w:hint="default" w:ascii="Times New Roman" w:hAnsi="Times New Roman" w:cs="Times New Roman"/>
                      <w:color w:val="auto"/>
                      <w:lang w:val="en-US" w:eastAsia="zh-CN"/>
                    </w:rPr>
                    <w:t>电池组件阵列各排、列的布置间距符合《光伏电站设计规范》（GB50797- 2012）或《光伏发电站设计规范》相关规定要求</w:t>
                  </w:r>
                </w:p>
              </w:tc>
              <w:tc>
                <w:tcPr>
                  <w:tcW w:w="615" w:type="pct"/>
                  <w:vAlign w:val="center"/>
                </w:tcPr>
                <w:p w14:paraId="4581298B">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pacing w:val="0"/>
                      <w:szCs w:val="21"/>
                      <w:highlight w:val="none"/>
                      <w:shd w:val="clear" w:color="auto" w:fill="auto"/>
                    </w:rPr>
                  </w:pPr>
                  <w:r>
                    <w:rPr>
                      <w:rFonts w:hint="eastAsia"/>
                      <w:color w:val="auto"/>
                      <w:spacing w:val="0"/>
                      <w:szCs w:val="21"/>
                      <w:highlight w:val="none"/>
                      <w:shd w:val="clear" w:color="auto" w:fill="auto"/>
                    </w:rPr>
                    <w:t>符合</w:t>
                  </w:r>
                </w:p>
              </w:tc>
            </w:tr>
            <w:tr w14:paraId="02EEE86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329" w:type="pct"/>
                  <w:vMerge w:val="restart"/>
                  <w:vAlign w:val="center"/>
                </w:tcPr>
                <w:p w14:paraId="25E48AA3">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植</w:t>
                  </w:r>
                  <w:r>
                    <w:rPr>
                      <w:rFonts w:hint="default" w:ascii="Times New Roman" w:hAnsi="Times New Roman" w:eastAsia="宋体"/>
                      <w:color w:val="auto"/>
                      <w:spacing w:val="0"/>
                      <w:sz w:val="21"/>
                      <w:szCs w:val="21"/>
                      <w:highlight w:val="none"/>
                      <w:shd w:val="clear" w:color="auto" w:fill="auto"/>
                    </w:rPr>
                    <w:t>被保护</w:t>
                  </w:r>
                </w:p>
              </w:tc>
              <w:tc>
                <w:tcPr>
                  <w:tcW w:w="2269" w:type="pct"/>
                  <w:vAlign w:val="center"/>
                </w:tcPr>
                <w:p w14:paraId="398BD6EF">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default" w:ascii="Times New Roman" w:hAnsi="Times New Roman" w:eastAsia="宋体"/>
                      <w:color w:val="auto"/>
                      <w:spacing w:val="0"/>
                      <w:sz w:val="21"/>
                      <w:szCs w:val="21"/>
                      <w:highlight w:val="none"/>
                      <w:shd w:val="clear" w:color="auto" w:fill="auto"/>
                    </w:rPr>
                    <w:t>光伏复合项目在满足正常运营的同时，须保证电池组件阵列下方不得改变林草地用途，不得裸露地表、硬化或作其他用途。</w:t>
                  </w:r>
                </w:p>
              </w:tc>
              <w:tc>
                <w:tcPr>
                  <w:tcW w:w="1785" w:type="pct"/>
                  <w:vAlign w:val="center"/>
                </w:tcPr>
                <w:p w14:paraId="147B6225">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both"/>
                    <w:textAlignment w:val="auto"/>
                    <w:rPr>
                      <w:rFonts w:hint="default"/>
                      <w:bCs/>
                      <w:color w:val="auto"/>
                      <w:spacing w:val="0"/>
                      <w:kern w:val="0"/>
                      <w:szCs w:val="21"/>
                      <w:highlight w:val="none"/>
                      <w:shd w:val="clear" w:color="auto" w:fill="auto"/>
                    </w:rPr>
                  </w:pPr>
                  <w:r>
                    <w:rPr>
                      <w:rFonts w:hint="default" w:ascii="Times New Roman" w:hAnsi="Times New Roman" w:eastAsia="宋体" w:cs="Times New Roman"/>
                      <w:bCs/>
                      <w:color w:val="auto"/>
                      <w:spacing w:val="0"/>
                      <w:kern w:val="0"/>
                      <w:sz w:val="21"/>
                      <w:szCs w:val="21"/>
                    </w:rPr>
                    <w:t>项目运营过程中</w:t>
                  </w:r>
                  <w:r>
                    <w:rPr>
                      <w:rFonts w:hint="eastAsia" w:cs="Times New Roman"/>
                      <w:bCs/>
                      <w:color w:val="auto"/>
                      <w:spacing w:val="0"/>
                      <w:kern w:val="0"/>
                      <w:sz w:val="21"/>
                      <w:szCs w:val="21"/>
                      <w:lang w:val="en-US" w:eastAsia="zh-CN"/>
                    </w:rPr>
                    <w:t>将对</w:t>
                  </w:r>
                  <w:r>
                    <w:rPr>
                      <w:rFonts w:hint="eastAsia" w:ascii="宋体" w:hAnsi="宋体" w:cs="宋体"/>
                      <w:color w:val="auto"/>
                      <w:kern w:val="0"/>
                      <w:szCs w:val="21"/>
                      <w:lang w:val="en-US" w:eastAsia="zh-CN" w:bidi="ar"/>
                    </w:rPr>
                    <w:t>占用林地的部分实施林光互补工程</w:t>
                  </w:r>
                  <w:r>
                    <w:rPr>
                      <w:rFonts w:hint="eastAsia" w:cs="Times New Roman"/>
                      <w:bCs/>
                      <w:color w:val="auto"/>
                      <w:spacing w:val="0"/>
                      <w:kern w:val="0"/>
                      <w:sz w:val="21"/>
                      <w:szCs w:val="21"/>
                      <w:lang w:eastAsia="zh-CN"/>
                    </w:rPr>
                    <w:t>，</w:t>
                  </w:r>
                  <w:r>
                    <w:rPr>
                      <w:rFonts w:hint="default" w:ascii="Times New Roman" w:hAnsi="Times New Roman" w:eastAsia="宋体" w:cs="Times New Roman"/>
                      <w:bCs/>
                      <w:color w:val="auto"/>
                      <w:spacing w:val="0"/>
                      <w:kern w:val="0"/>
                      <w:sz w:val="21"/>
                      <w:szCs w:val="21"/>
                    </w:rPr>
                    <w:t>保护原有的灌木草丛，原为林地裸露的地表计划种植相应的林业，保证</w:t>
                  </w:r>
                  <w:r>
                    <w:rPr>
                      <w:rFonts w:hint="default" w:ascii="Times New Roman" w:hAnsi="Times New Roman" w:eastAsia="宋体" w:cs="Times New Roman"/>
                      <w:color w:val="auto"/>
                      <w:spacing w:val="0"/>
                      <w:sz w:val="21"/>
                      <w:szCs w:val="21"/>
                    </w:rPr>
                    <w:t>地表不裸露、地面不硬化或作其他用途。</w:t>
                  </w:r>
                </w:p>
              </w:tc>
              <w:tc>
                <w:tcPr>
                  <w:tcW w:w="615" w:type="pct"/>
                  <w:vAlign w:val="center"/>
                </w:tcPr>
                <w:p w14:paraId="4601EDC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r w14:paraId="1F70892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329" w:type="pct"/>
                  <w:vMerge w:val="continue"/>
                  <w:vAlign w:val="center"/>
                </w:tcPr>
                <w:p w14:paraId="43844625">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269" w:type="pct"/>
                  <w:vAlign w:val="center"/>
                </w:tcPr>
                <w:p w14:paraId="6D96BD72">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光伏复合项目施工期要切实做好项目区原生植被的保护，最大程度减少对植被的破坏。施工车辆、设备、人员进场后应尽量不破坏原有土层和</w:t>
                  </w:r>
                  <w:r>
                    <w:rPr>
                      <w:rFonts w:hint="eastAsia" w:ascii="Times New Roman" w:hAnsi="Times New Roman" w:eastAsia="宋体" w:cs="Times New Roman"/>
                      <w:color w:val="auto"/>
                      <w:spacing w:val="0"/>
                      <w:sz w:val="21"/>
                      <w:szCs w:val="21"/>
                      <w:lang w:eastAsia="zh-CN"/>
                    </w:rPr>
                    <w:t>地表植被</w:t>
                  </w:r>
                  <w:r>
                    <w:rPr>
                      <w:rFonts w:hint="default" w:ascii="Times New Roman" w:hAnsi="Times New Roman" w:eastAsia="宋体" w:cs="Times New Roman"/>
                      <w:color w:val="auto"/>
                      <w:spacing w:val="0"/>
                      <w:sz w:val="21"/>
                      <w:szCs w:val="21"/>
                    </w:rPr>
                    <w:t>，地埋电缆槽、临时弃渣场等确需对地表进行开挖的，施工单位应当严格按照设计范围进行施工，施工结束后立即开展植被恢复工作，县级林草主管部门对恢复情况进行检查验收。电池组件阵列区内林地上涉及散生木的，应当优化设计、尽量避让，在满足光伏电站正常建设运营的同时，尽可能减少对散生木的采伐。涉及古树名木的，一律避让。</w:t>
                  </w:r>
                </w:p>
              </w:tc>
              <w:tc>
                <w:tcPr>
                  <w:tcW w:w="1785" w:type="pct"/>
                  <w:vAlign w:val="center"/>
                </w:tcPr>
                <w:p w14:paraId="39793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eastAsia="宋体" w:cs="Times New Roman"/>
                      <w:bCs/>
                      <w:color w:val="auto"/>
                      <w:spacing w:val="0"/>
                      <w:kern w:val="0"/>
                      <w:sz w:val="21"/>
                      <w:szCs w:val="21"/>
                      <w:lang w:val="en-US" w:eastAsia="zh-CN" w:bidi="ar-SA"/>
                    </w:rPr>
                  </w:pPr>
                  <w:r>
                    <w:rPr>
                      <w:rFonts w:hint="default" w:ascii="Times New Roman" w:hAnsi="Times New Roman" w:eastAsia="宋体" w:cs="Times New Roman"/>
                      <w:color w:val="auto"/>
                      <w:spacing w:val="0"/>
                      <w:sz w:val="21"/>
                      <w:szCs w:val="21"/>
                    </w:rPr>
                    <w:t>严格落实动植物、水土保持措施，施工结束后按相关部门要求对施工临时占地、施工迹地进行清理和恢复等措施，降低和缓解施工期生态环境影响。项目电池组件阵列区内</w:t>
                  </w:r>
                  <w:r>
                    <w:rPr>
                      <w:rFonts w:hint="default" w:ascii="Times New Roman" w:hAnsi="Times New Roman" w:eastAsia="宋体" w:cs="Times New Roman"/>
                      <w:color w:val="auto"/>
                      <w:spacing w:val="0"/>
                      <w:sz w:val="21"/>
                      <w:szCs w:val="21"/>
                      <w:highlight w:val="none"/>
                    </w:rPr>
                    <w:t>林地上涉及散生木的，</w:t>
                  </w:r>
                  <w:r>
                    <w:rPr>
                      <w:rFonts w:hint="default" w:ascii="Times New Roman" w:hAnsi="Times New Roman" w:eastAsia="宋体" w:cs="Times New Roman"/>
                      <w:color w:val="auto"/>
                      <w:spacing w:val="0"/>
                      <w:sz w:val="21"/>
                      <w:szCs w:val="21"/>
                    </w:rPr>
                    <w:t>已进行优化设计、尽量避让，在满足光伏电站正常建设运营的同时，尽可能减少对散生木的采伐。</w:t>
                  </w:r>
                </w:p>
              </w:tc>
              <w:tc>
                <w:tcPr>
                  <w:tcW w:w="615" w:type="pct"/>
                  <w:vAlign w:val="center"/>
                </w:tcPr>
                <w:p w14:paraId="355D3AA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r w14:paraId="7B5BAE2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329" w:type="pct"/>
                  <w:vMerge w:val="continue"/>
                  <w:vAlign w:val="center"/>
                </w:tcPr>
                <w:p w14:paraId="7DAD7040">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269" w:type="pct"/>
                  <w:vAlign w:val="center"/>
                </w:tcPr>
                <w:p w14:paraId="01B23219">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光伏复合项目运营期要采取多种综合措施，确保项目区原生植被正常生长。施工前项目业主单位应当对项目区植被情况以图文或影像方式进行记录，申报办理许可手续时，将记录材料提交县级林草主管部门存档。运营期电池组件阵列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项目区内未设计建设的空地区域，不得破坏原有植被和损毁地表，项目业主单位可在不影响光伏复合项目运营安全的前提下，科学制定绿化方案，适度补植补种乡土树种、草种。项目业主在申报使用林地、草原行政许可时，应当同步提交编制《光伏复合项目使用林草地植被保护方案》的承诺书，并在项目取得使用林地许可批复后1个月内，向县林草局提交按规定编制的《光伏复合项目使用林草地植被保护方案》。</w:t>
                  </w:r>
                </w:p>
              </w:tc>
              <w:tc>
                <w:tcPr>
                  <w:tcW w:w="1785" w:type="pct"/>
                  <w:vAlign w:val="center"/>
                </w:tcPr>
                <w:p w14:paraId="26819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bCs/>
                      <w:color w:val="auto"/>
                      <w:spacing w:val="0"/>
                      <w:kern w:val="0"/>
                      <w:sz w:val="21"/>
                      <w:szCs w:val="21"/>
                      <w:lang w:val="en-US" w:eastAsia="zh-CN" w:bidi="ar-SA"/>
                    </w:rPr>
                  </w:pPr>
                  <w:r>
                    <w:rPr>
                      <w:rFonts w:hint="default" w:ascii="Times New Roman" w:hAnsi="Times New Roman" w:eastAsia="宋体" w:cs="Times New Roman"/>
                      <w:bCs/>
                      <w:color w:val="auto"/>
                      <w:spacing w:val="0"/>
                      <w:kern w:val="0"/>
                      <w:sz w:val="21"/>
                      <w:szCs w:val="21"/>
                    </w:rPr>
                    <w:t>现阶段为项目施工前期工作开展阶段，建设单位在使用林地前，</w:t>
                  </w:r>
                  <w:r>
                    <w:rPr>
                      <w:rFonts w:hint="default" w:ascii="Times New Roman" w:hAnsi="Times New Roman" w:eastAsia="宋体" w:cs="Times New Roman"/>
                      <w:color w:val="auto"/>
                      <w:spacing w:val="0"/>
                      <w:sz w:val="21"/>
                      <w:szCs w:val="21"/>
                    </w:rPr>
                    <w:t>将</w:t>
                  </w:r>
                  <w:r>
                    <w:rPr>
                      <w:rFonts w:hint="default" w:ascii="Times New Roman" w:hAnsi="Times New Roman" w:eastAsia="宋体" w:cs="Times New Roman"/>
                      <w:bCs/>
                      <w:color w:val="auto"/>
                      <w:spacing w:val="0"/>
                      <w:kern w:val="0"/>
                      <w:sz w:val="21"/>
                      <w:szCs w:val="21"/>
                    </w:rPr>
                    <w:t>编制</w:t>
                  </w:r>
                  <w:r>
                    <w:rPr>
                      <w:rFonts w:hint="default" w:ascii="Times New Roman" w:hAnsi="Times New Roman" w:eastAsia="宋体" w:cs="Times New Roman"/>
                      <w:color w:val="auto"/>
                      <w:spacing w:val="0"/>
                      <w:sz w:val="21"/>
                      <w:szCs w:val="21"/>
                    </w:rPr>
                    <w:t>《光伏复合项目使用林草地植被保护方案》，按要求对光伏板下植被进行保护</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保证</w:t>
                  </w:r>
                  <w:r>
                    <w:rPr>
                      <w:rFonts w:hint="default" w:ascii="Times New Roman" w:hAnsi="Times New Roman" w:eastAsia="宋体" w:cs="Times New Roman"/>
                      <w:color w:val="auto"/>
                      <w:spacing w:val="0"/>
                      <w:sz w:val="21"/>
                      <w:szCs w:val="21"/>
                    </w:rPr>
                    <w:t>运营期电池组件阵列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w:t>
                  </w:r>
                </w:p>
              </w:tc>
              <w:tc>
                <w:tcPr>
                  <w:tcW w:w="615" w:type="pct"/>
                  <w:vAlign w:val="center"/>
                </w:tcPr>
                <w:p w14:paraId="7947B13D">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bl>
          <w:p w14:paraId="3C1E66C9">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rPr>
            </w:pPr>
            <w:r>
              <w:rPr>
                <w:rFonts w:hint="eastAsia"/>
                <w:color w:val="auto"/>
                <w:kern w:val="0"/>
                <w:sz w:val="24"/>
                <w:highlight w:val="none"/>
                <w:shd w:val="clear" w:color="auto" w:fill="auto"/>
              </w:rPr>
              <w:t>经</w:t>
            </w:r>
            <w:r>
              <w:rPr>
                <w:rFonts w:hint="default"/>
                <w:color w:val="auto"/>
                <w:kern w:val="0"/>
                <w:sz w:val="24"/>
                <w:highlight w:val="none"/>
                <w:shd w:val="clear" w:color="auto" w:fill="auto"/>
              </w:rPr>
              <w:t>上表分析可知，项目建设使用</w:t>
            </w:r>
            <w:r>
              <w:rPr>
                <w:rFonts w:hint="eastAsia"/>
                <w:color w:val="auto"/>
                <w:kern w:val="0"/>
                <w:sz w:val="24"/>
                <w:highlight w:val="none"/>
                <w:shd w:val="clear" w:color="auto" w:fill="auto"/>
              </w:rPr>
              <w:t>林</w:t>
            </w:r>
            <w:r>
              <w:rPr>
                <w:rFonts w:hint="default"/>
                <w:color w:val="auto"/>
                <w:kern w:val="0"/>
                <w:sz w:val="24"/>
                <w:highlight w:val="none"/>
                <w:shd w:val="clear" w:color="auto" w:fill="auto"/>
              </w:rPr>
              <w:t>地符合《云南省林业和草原局 云南省能源局关于进一步规范光伏复合项目使用林草地有关事项的通知</w:t>
            </w:r>
            <w:r>
              <w:rPr>
                <w:rFonts w:hint="eastAsia"/>
                <w:color w:val="auto"/>
                <w:kern w:val="0"/>
                <w:sz w:val="24"/>
                <w:highlight w:val="none"/>
                <w:shd w:val="clear" w:color="auto" w:fill="auto"/>
              </w:rPr>
              <w:t>》的</w:t>
            </w:r>
            <w:r>
              <w:rPr>
                <w:rFonts w:hint="default"/>
                <w:color w:val="auto"/>
                <w:kern w:val="0"/>
                <w:sz w:val="24"/>
                <w:highlight w:val="none"/>
                <w:shd w:val="clear" w:color="auto" w:fill="auto"/>
              </w:rPr>
              <w:t>相关要求。</w:t>
            </w:r>
          </w:p>
          <w:p w14:paraId="55B79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（2）与《云南省林业厅关于规范光伏电站建设使用林地的通知》（云林林政〔2016〕17号</w:t>
            </w: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符合性分析</w:t>
            </w:r>
          </w:p>
          <w:p w14:paraId="0F96E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云南省林业厅关于规范光伏电站建设使用林地的通知》（云林林政〔2016〕17号）：“禁止占用自然保护区、国家公园、湿地、森林公园、濒危物种栖息地、天然林保护工程区等环境敏感区域的林地建设光伏电站。我省天然林保护工程区系指纳入全省天然林保护二期工程森林管护的国有林、集体所有的国家级公益林和地方公益林。光伏电站的电池组件阵列仅限于使用三种类型的林地是县级以上人民政府规划的宜林地，二是年降雨量400毫米以下区域覆盖度低于30%的灌木林地，三是年降雨量400毫米以上区域覆盖度低于50%的灌木林地。此外，建设光伏电站所使用林地的范围，必须严格按照林地保护利用规划进行界定决不允许擅自修改调整林地保护利用规划。”</w:t>
            </w:r>
          </w:p>
          <w:p w14:paraId="27380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highlight w:val="none"/>
                <w:lang w:val="en-US" w:eastAsia="zh-CN"/>
              </w:rPr>
              <w:t>根据昆明市生态环境工程评估中心关于查询白石岩光伏发电项目涉及生态环境分区管控情况的复函（昆环评估复函〔2024〕120号），项目选址地不涉及饮用水水源保护区。根据《寻甸回族彝族自治县林业和草原局关于竹园沟、石崖、梳山、白石岩四个光伏发电项目选址意见》：“项目选址范围涉及寻甸县境内的林、草地，经比对现行林草资料，选址地块不涉及国家公园、各级自然保护区、森林公园、风景名胜区、草原公园、自然保护地等敏感因素，项目选址符合现行林草规划。”</w:t>
            </w:r>
            <w:r>
              <w:rPr>
                <w:rFonts w:hint="eastAsia" w:cs="Times New Roman"/>
                <w:b w:val="0"/>
                <w:bCs w:val="0"/>
                <w:color w:val="auto"/>
                <w:sz w:val="24"/>
                <w:szCs w:val="24"/>
                <w:lang w:val="en-US" w:eastAsia="zh-CN"/>
              </w:rPr>
              <w:t>经进一步核实，项目选址不涉及天然林停伐范围、国家公园、自然保护区、森林公园、湿地公园、珍稀濒危和极小种群野生植物重要原生境等环境敏感区域。</w:t>
            </w:r>
          </w:p>
          <w:p w14:paraId="5CB66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highlight w:val="yellow"/>
                <w:lang w:val="en-US" w:eastAsia="zh-CN"/>
              </w:rPr>
            </w:pPr>
            <w:r>
              <w:rPr>
                <w:rFonts w:hint="eastAsia" w:cs="Times New Roman"/>
                <w:b w:val="0"/>
                <w:bCs w:val="0"/>
                <w:color w:val="auto"/>
                <w:sz w:val="24"/>
                <w:szCs w:val="24"/>
                <w:highlight w:val="none"/>
                <w:lang w:val="en-US" w:eastAsia="zh-CN"/>
              </w:rPr>
              <w:t>本项目场区年降雨量</w:t>
            </w:r>
            <w:r>
              <w:rPr>
                <w:rFonts w:hint="default"/>
                <w:color w:val="auto"/>
                <w:sz w:val="24"/>
                <w:highlight w:val="none"/>
              </w:rPr>
              <w:t>1045</w:t>
            </w:r>
            <w:r>
              <w:rPr>
                <w:rFonts w:hint="eastAsia"/>
                <w:color w:val="auto"/>
                <w:sz w:val="24"/>
                <w:highlight w:val="none"/>
              </w:rPr>
              <w:t>mm</w:t>
            </w:r>
            <w:r>
              <w:rPr>
                <w:rFonts w:hint="eastAsia" w:cs="Times New Roman"/>
                <w:b w:val="0"/>
                <w:bCs w:val="0"/>
                <w:color w:val="auto"/>
                <w:sz w:val="24"/>
                <w:szCs w:val="24"/>
                <w:highlight w:val="none"/>
                <w:lang w:val="en-US" w:eastAsia="zh-CN"/>
              </w:rPr>
              <w:t>，项目灌木林地覆盖度均低于50%，符合《云南省林业和草原局云南省能源局关于进一步规范光伏符合项目使用林草地有关事项的通知》（云林规〔2021〕5号）“光伏电站的电池组件阵列仅限于使用三种类型的林地：……三是年降雨量400毫米以上区域覆盖度低于50%的灌木林地”要求。</w:t>
            </w:r>
          </w:p>
          <w:p w14:paraId="6A5B7D0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lang w:val="en-US" w:eastAsia="zh-CN"/>
              </w:rPr>
            </w:pPr>
            <w:r>
              <w:rPr>
                <w:rFonts w:hint="eastAsia" w:cs="Times New Roman"/>
                <w:b w:val="0"/>
                <w:bCs w:val="0"/>
                <w:color w:val="auto"/>
                <w:sz w:val="24"/>
                <w:szCs w:val="24"/>
                <w:lang w:val="en-US" w:eastAsia="zh-CN"/>
              </w:rPr>
              <w:t>综上，项目建设符合《云南省林业厅关于规范光伏电站建设使用林地的通知》（云林林政〔2016〕17号）要求。</w:t>
            </w:r>
          </w:p>
          <w:p w14:paraId="2477D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与《云南省建设项目使用林地指南》（2022年4月）的符合性分析</w:t>
            </w:r>
          </w:p>
          <w:p w14:paraId="68E5F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建设项目使用林地必须符合国土空间规划、林地保护利用规划、自然保护地规划和县级以上人民政府批准的各类专项规划，同时结合建设项目立项的级别（国家、省级、地方）、性质（基础设施、公共事业、民生建设、国防、外交等）按照《建设项目使用林地审核审批管理办法》（国家林业局令第35号）《建设项目使用林地审核审批管理规范》（林资规〔2021〕5号）规定，确定用地范围和等级，依法办理涉林手续。</w:t>
            </w:r>
          </w:p>
          <w:p w14:paraId="071FDF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项目用地原则上限制使用生态区位重要和生态脆弱地区的林地，限制使用天然林和单位面积蓄积量高的林地，限制经营性建设项目使用林地，要坚持林地保护等级管理。</w:t>
            </w:r>
          </w:p>
          <w:p w14:paraId="677BCDA5">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符合性分析：</w:t>
            </w:r>
            <w:r>
              <w:rPr>
                <w:rFonts w:hint="default" w:ascii="Times New Roman" w:hAnsi="Times New Roman" w:eastAsia="宋体" w:cs="Times New Roman"/>
                <w:color w:val="auto"/>
                <w:sz w:val="24"/>
                <w:szCs w:val="24"/>
                <w:lang w:val="en-US" w:eastAsia="zh-CN"/>
              </w:rPr>
              <w:t>项目使用林地可行性报告</w:t>
            </w:r>
            <w:r>
              <w:rPr>
                <w:rFonts w:hint="eastAsia" w:cs="Times New Roman"/>
                <w:color w:val="auto"/>
                <w:sz w:val="24"/>
                <w:szCs w:val="24"/>
                <w:lang w:val="en-US" w:eastAsia="zh-CN"/>
              </w:rPr>
              <w:t>正在送审中，</w:t>
            </w:r>
            <w:r>
              <w:rPr>
                <w:rFonts w:hint="default" w:ascii="Times New Roman" w:hAnsi="Times New Roman" w:eastAsia="宋体" w:cs="Times New Roman"/>
                <w:color w:val="auto"/>
                <w:sz w:val="24"/>
                <w:szCs w:val="24"/>
                <w:lang w:val="en-US" w:eastAsia="zh-CN"/>
              </w:rPr>
              <w:t>根据项目使用林地可行性报告，本工程建设涉及占用林地情况为灌木林地、其他林地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未</w:t>
            </w:r>
            <w:r>
              <w:rPr>
                <w:rFonts w:hint="default" w:ascii="Times New Roman" w:hAnsi="Times New Roman" w:eastAsia="宋体" w:cs="Times New Roman"/>
                <w:color w:val="auto"/>
                <w:sz w:val="24"/>
                <w:szCs w:val="24"/>
                <w:lang w:val="en-US" w:eastAsia="zh-CN"/>
              </w:rPr>
              <w:t>使用天然林和单位面积蓄积量高的林地，</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符合国土空间规划、林地保护利用规划</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因此，项目选址符合《云南省建设项目使用林地指南》的相关要求。</w:t>
            </w:r>
          </w:p>
          <w:p w14:paraId="7C353075">
            <w:pPr>
              <w:keepNext w:val="0"/>
              <w:keepLines w:val="0"/>
              <w:widowControl w:val="0"/>
              <w:suppressLineNumbers w:val="0"/>
              <w:autoSpaceDE w:val="0"/>
              <w:autoSpaceDN w:val="0"/>
              <w:adjustRightInd/>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18"/>
                <w:highlight w:val="none"/>
                <w:lang w:val="en-US" w:eastAsia="zh-CN" w:bidi="ar-SA"/>
              </w:rPr>
            </w:pPr>
            <w:r>
              <w:rPr>
                <w:rFonts w:hint="eastAsia" w:ascii="Times New Roman" w:hAnsi="Times New Roman" w:eastAsia="宋体" w:cs="Times New Roman"/>
                <w:b/>
                <w:bCs/>
                <w:color w:val="auto"/>
                <w:kern w:val="0"/>
                <w:sz w:val="24"/>
                <w:szCs w:val="18"/>
                <w:highlight w:val="none"/>
                <w:lang w:val="en-US" w:eastAsia="zh-CN" w:bidi="ar-SA"/>
              </w:rPr>
              <w:t>2</w:t>
            </w:r>
            <w:r>
              <w:rPr>
                <w:rFonts w:hint="eastAsia" w:cs="Times New Roman"/>
                <w:b/>
                <w:bCs/>
                <w:color w:val="auto"/>
                <w:kern w:val="0"/>
                <w:sz w:val="24"/>
                <w:szCs w:val="18"/>
                <w:highlight w:val="none"/>
                <w:lang w:val="en-US" w:eastAsia="zh-CN" w:bidi="ar-SA"/>
              </w:rPr>
              <w:t>0</w:t>
            </w:r>
            <w:r>
              <w:rPr>
                <w:rFonts w:hint="eastAsia" w:ascii="Times New Roman" w:hAnsi="Times New Roman" w:eastAsia="宋体" w:cs="Times New Roman"/>
                <w:b/>
                <w:bCs/>
                <w:color w:val="auto"/>
                <w:kern w:val="0"/>
                <w:sz w:val="24"/>
                <w:szCs w:val="18"/>
                <w:highlight w:val="none"/>
                <w:lang w:val="en-US" w:eastAsia="zh-CN" w:bidi="ar-SA"/>
              </w:rPr>
              <w:t xml:space="preserve">、与饮用水水源保护区相关法律法规符合性对照分析 </w:t>
            </w:r>
          </w:p>
          <w:p w14:paraId="61202A14">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eastAsia="Times New Roman"/>
                <w:color w:val="auto"/>
                <w:sz w:val="24"/>
                <w:szCs w:val="24"/>
                <w:lang w:val="zh-CN"/>
              </w:rPr>
            </w:pPr>
            <w:r>
              <w:rPr>
                <w:rFonts w:hint="eastAsia" w:ascii="Times New Roman" w:hAnsi="Times New Roman" w:eastAsia="Times New Roman"/>
                <w:color w:val="auto"/>
                <w:sz w:val="24"/>
                <w:szCs w:val="24"/>
                <w:lang w:val="zh-CN"/>
              </w:rPr>
              <w:t>（</w:t>
            </w:r>
            <w:r>
              <w:rPr>
                <w:rFonts w:hint="eastAsia" w:ascii="Times New Roman" w:hAnsi="Times New Roman" w:eastAsia="宋体"/>
                <w:color w:val="auto"/>
                <w:sz w:val="24"/>
                <w:szCs w:val="24"/>
                <w:lang w:val="en-US" w:eastAsia="zh-CN"/>
              </w:rPr>
              <w:t>1</w:t>
            </w:r>
            <w:r>
              <w:rPr>
                <w:rFonts w:hint="eastAsia" w:ascii="Times New Roman" w:hAnsi="Times New Roman" w:eastAsia="Times New Roman"/>
                <w:color w:val="auto"/>
                <w:sz w:val="24"/>
                <w:szCs w:val="24"/>
                <w:lang w:val="zh-CN"/>
              </w:rPr>
              <w:t>）</w:t>
            </w:r>
            <w:r>
              <w:rPr>
                <w:rFonts w:hint="default" w:ascii="Times New Roman" w:hAnsi="Times New Roman" w:eastAsia="Times New Roman"/>
                <w:color w:val="auto"/>
                <w:sz w:val="24"/>
                <w:szCs w:val="24"/>
                <w:lang w:val="zh-CN"/>
              </w:rPr>
              <w:t>昆明市寻甸县河口镇化桃箐水库饮用水水源保护区</w:t>
            </w:r>
          </w:p>
          <w:p w14:paraId="20642C67">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bCs/>
                <w:color w:val="auto"/>
                <w:sz w:val="24"/>
                <w:szCs w:val="24"/>
              </w:rPr>
            </w:pPr>
            <w:r>
              <w:rPr>
                <w:rFonts w:hint="default" w:ascii="Times New Roman" w:hAnsi="Times New Roman"/>
                <w:color w:val="auto"/>
                <w:sz w:val="24"/>
                <w:szCs w:val="24"/>
              </w:rPr>
              <w:t>河口镇化桃箐水库饮用水源地</w:t>
            </w:r>
            <w:r>
              <w:rPr>
                <w:rFonts w:hint="eastAsia" w:ascii="Times New Roman" w:hAnsi="Times New Roman" w:eastAsia="Times New Roman" w:cs="Times New Roman"/>
                <w:color w:val="auto"/>
                <w:sz w:val="24"/>
                <w:szCs w:val="24"/>
                <w:lang w:val="zh-CN"/>
              </w:rPr>
              <w:t>为水库型水源地</w:t>
            </w:r>
            <w:r>
              <w:rPr>
                <w:rFonts w:hint="eastAsia" w:ascii="Times New Roman" w:hAnsi="Times New Roman" w:eastAsia="Times New Roman" w:cs="Times New Roman"/>
                <w:color w:val="auto"/>
                <w:sz w:val="24"/>
                <w:szCs w:val="24"/>
                <w:lang w:val="zh-CN" w:eastAsia="zh-CN"/>
              </w:rPr>
              <w:t>，</w:t>
            </w:r>
            <w:r>
              <w:rPr>
                <w:rFonts w:hint="default" w:ascii="Times New Roman" w:hAnsi="Times New Roman"/>
                <w:color w:val="auto"/>
                <w:sz w:val="24"/>
                <w:szCs w:val="24"/>
              </w:rPr>
              <w:t>取水口位置经纬度为</w:t>
            </w:r>
            <w:r>
              <w:rPr>
                <w:rFonts w:hint="default" w:ascii="Times New Roman" w:hAnsi="Times New Roman"/>
                <w:bCs/>
                <w:color w:val="auto"/>
                <w:sz w:val="24"/>
                <w:szCs w:val="24"/>
              </w:rPr>
              <w:t>东经103°24′26.11″北纬25°42′50.17″，不涉及水上交通及航道分布。</w:t>
            </w:r>
            <w:r>
              <w:rPr>
                <w:rFonts w:hint="default" w:ascii="Times New Roman" w:hAnsi="Times New Roman"/>
                <w:color w:val="auto"/>
                <w:sz w:val="24"/>
                <w:szCs w:val="24"/>
              </w:rPr>
              <w:t>化桃箐水库</w:t>
            </w:r>
            <w:r>
              <w:rPr>
                <w:rFonts w:hint="default"/>
                <w:color w:val="auto"/>
                <w:sz w:val="24"/>
                <w:szCs w:val="24"/>
              </w:rPr>
              <w:t>于2011年11月开工建设，于12月30日主管道正式通水。在2012年3月又整合资金开工建设自来水厂，于2012年10月建设完毕。</w:t>
            </w:r>
            <w:r>
              <w:rPr>
                <w:rFonts w:hint="eastAsia" w:ascii="Times New Roman" w:hAnsi="Times New Roman" w:eastAsia="Times New Roman" w:cs="Times New Roman"/>
                <w:color w:val="auto"/>
                <w:sz w:val="24"/>
                <w:szCs w:val="24"/>
                <w:highlight w:val="none"/>
                <w:lang w:val="zh-CN"/>
              </w:rPr>
              <w:t>水库位于</w:t>
            </w:r>
            <w:r>
              <w:rPr>
                <w:rFonts w:hint="eastAsia" w:ascii="Times New Roman" w:hAnsi="Times New Roman" w:eastAsia="宋体" w:cs="Times New Roman"/>
                <w:color w:val="auto"/>
                <w:sz w:val="24"/>
                <w:szCs w:val="24"/>
                <w:highlight w:val="none"/>
                <w:lang w:val="en-US" w:eastAsia="zh-CN"/>
              </w:rPr>
              <w:t>寻甸县河口镇</w:t>
            </w:r>
            <w:r>
              <w:rPr>
                <w:rFonts w:hint="default" w:ascii="Times New Roman" w:hAnsi="Times New Roman"/>
                <w:color w:val="auto"/>
                <w:sz w:val="24"/>
                <w:szCs w:val="24"/>
                <w:highlight w:val="none"/>
              </w:rPr>
              <w:t>化桃箐河上游</w:t>
            </w:r>
            <w:r>
              <w:rPr>
                <w:rFonts w:hint="eastAsia" w:ascii="Times New Roman" w:hAnsi="Times New Roman" w:eastAsia="Times New Roman" w:cs="Times New Roman"/>
                <w:color w:val="auto"/>
                <w:sz w:val="24"/>
                <w:szCs w:val="24"/>
                <w:highlight w:val="none"/>
                <w:lang w:val="zh-CN"/>
              </w:rPr>
              <w:t>，属于小（</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Times New Roman" w:cs="Times New Roman"/>
                <w:color w:val="auto"/>
                <w:sz w:val="24"/>
                <w:szCs w:val="24"/>
                <w:highlight w:val="none"/>
                <w:lang w:val="zh-CN"/>
              </w:rPr>
              <w:t>）型水库，大坝坝</w:t>
            </w:r>
            <w:r>
              <w:rPr>
                <w:rFonts w:hint="eastAsia" w:ascii="Times New Roman" w:hAnsi="Times New Roman" w:eastAsia="宋体" w:cs="Times New Roman"/>
                <w:color w:val="auto"/>
                <w:sz w:val="24"/>
                <w:szCs w:val="24"/>
                <w:highlight w:val="none"/>
                <w:lang w:val="en-US" w:eastAsia="zh-CN"/>
              </w:rPr>
              <w:t>高26</w:t>
            </w:r>
            <w:r>
              <w:rPr>
                <w:rFonts w:hint="eastAsia" w:ascii="Times New Roman" w:hAnsi="Times New Roman" w:eastAsia="Times New Roman" w:cs="Times New Roman"/>
                <w:color w:val="auto"/>
                <w:sz w:val="24"/>
                <w:szCs w:val="24"/>
                <w:highlight w:val="none"/>
                <w:lang w:val="zh-CN"/>
              </w:rPr>
              <w:t>m，</w:t>
            </w:r>
            <w:r>
              <w:rPr>
                <w:rFonts w:hint="default" w:ascii="Times New Roman" w:hAnsi="Times New Roman"/>
                <w:color w:val="auto"/>
                <w:sz w:val="24"/>
                <w:szCs w:val="24"/>
                <w:highlight w:val="none"/>
              </w:rPr>
              <w:t>水库多年平均水位1990.26m，水域面积0.1446 km</w:t>
            </w:r>
            <w:r>
              <w:rPr>
                <w:rFonts w:hint="default" w:ascii="Times New Roman" w:hAnsi="Times New Roman"/>
                <w:color w:val="auto"/>
                <w:sz w:val="24"/>
                <w:szCs w:val="24"/>
                <w:highlight w:val="none"/>
                <w:vertAlign w:val="superscript"/>
              </w:rPr>
              <w:t>2</w:t>
            </w:r>
            <w:r>
              <w:rPr>
                <w:rFonts w:hint="eastAsia" w:ascii="Times New Roman" w:hAnsi="Times New Roman" w:eastAsia="Times New Roman" w:cs="Times New Roman"/>
                <w:color w:val="auto"/>
                <w:sz w:val="24"/>
                <w:szCs w:val="24"/>
                <w:highlight w:val="none"/>
                <w:lang w:val="zh-CN"/>
              </w:rPr>
              <w:t>，总库容</w:t>
            </w:r>
            <w:r>
              <w:rPr>
                <w:rFonts w:hint="eastAsia" w:ascii="Times New Roman" w:hAnsi="Times New Roman" w:eastAsia="宋体" w:cs="Times New Roman"/>
                <w:color w:val="auto"/>
                <w:sz w:val="24"/>
                <w:szCs w:val="24"/>
                <w:highlight w:val="none"/>
                <w:lang w:val="en-US" w:eastAsia="zh-CN"/>
              </w:rPr>
              <w:t>136</w:t>
            </w:r>
            <w:r>
              <w:rPr>
                <w:rFonts w:hint="eastAsia" w:ascii="Times New Roman" w:hAnsi="Times New Roman" w:eastAsia="Times New Roman" w:cs="Times New Roman"/>
                <w:color w:val="auto"/>
                <w:sz w:val="24"/>
                <w:szCs w:val="24"/>
                <w:highlight w:val="none"/>
                <w:lang w:val="zh-CN"/>
              </w:rPr>
              <w:t>万m</w:t>
            </w:r>
            <w:r>
              <w:rPr>
                <w:rFonts w:hint="eastAsia" w:ascii="Times New Roman" w:hAnsi="Times New Roman" w:eastAsia="Times New Roman" w:cs="Times New Roman"/>
                <w:color w:val="auto"/>
                <w:sz w:val="24"/>
                <w:szCs w:val="24"/>
                <w:highlight w:val="none"/>
                <w:vertAlign w:val="superscript"/>
                <w:lang w:val="zh-CN"/>
              </w:rPr>
              <w:t>3</w:t>
            </w:r>
            <w:r>
              <w:rPr>
                <w:rFonts w:hint="eastAsia" w:ascii="Times New Roman" w:hAnsi="Times New Roman" w:eastAsia="Times New Roman" w:cs="Times New Roman"/>
                <w:color w:val="auto"/>
                <w:sz w:val="24"/>
                <w:szCs w:val="24"/>
                <w:highlight w:val="none"/>
                <w:lang w:val="zh-CN"/>
              </w:rPr>
              <w:t>，兴利库容</w:t>
            </w:r>
            <w:r>
              <w:rPr>
                <w:rFonts w:hint="eastAsia" w:ascii="Times New Roman" w:hAnsi="Times New Roman" w:eastAsia="宋体" w:cs="Times New Roman"/>
                <w:color w:val="auto"/>
                <w:sz w:val="24"/>
                <w:szCs w:val="24"/>
                <w:highlight w:val="none"/>
                <w:lang w:val="en-US" w:eastAsia="zh-CN"/>
              </w:rPr>
              <w:t>116</w:t>
            </w:r>
            <w:r>
              <w:rPr>
                <w:rFonts w:hint="eastAsia" w:ascii="Times New Roman" w:hAnsi="Times New Roman" w:eastAsia="Times New Roman" w:cs="Times New Roman"/>
                <w:color w:val="auto"/>
                <w:sz w:val="24"/>
                <w:szCs w:val="24"/>
                <w:highlight w:val="none"/>
                <w:lang w:val="zh-CN"/>
              </w:rPr>
              <w:t>万m</w:t>
            </w:r>
            <w:r>
              <w:rPr>
                <w:rFonts w:hint="eastAsia" w:ascii="Times New Roman" w:hAnsi="Times New Roman" w:eastAsia="Times New Roman" w:cs="Times New Roman"/>
                <w:color w:val="auto"/>
                <w:sz w:val="24"/>
                <w:szCs w:val="24"/>
                <w:highlight w:val="none"/>
                <w:vertAlign w:val="superscript"/>
                <w:lang w:val="zh-CN"/>
              </w:rPr>
              <w:t>3</w:t>
            </w:r>
            <w:r>
              <w:rPr>
                <w:rFonts w:hint="eastAsia" w:ascii="Times New Roman" w:hAnsi="Times New Roman" w:eastAsia="Times New Roman" w:cs="Times New Roman"/>
                <w:color w:val="auto"/>
                <w:sz w:val="24"/>
                <w:szCs w:val="24"/>
                <w:lang w:val="zh-CN"/>
              </w:rPr>
              <w:t>。</w:t>
            </w:r>
            <w:r>
              <w:rPr>
                <w:rFonts w:hint="eastAsia" w:ascii="Times New Roman" w:hAnsi="Times New Roman" w:eastAsia="Times New Roman" w:cs="Times New Roman"/>
                <w:color w:val="auto"/>
                <w:sz w:val="24"/>
                <w:szCs w:val="24"/>
                <w:lang w:val="en-US" w:eastAsia="zh-CN"/>
              </w:rPr>
              <w:t>水库</w:t>
            </w:r>
            <w:r>
              <w:rPr>
                <w:rFonts w:hint="default"/>
                <w:color w:val="auto"/>
                <w:sz w:val="24"/>
                <w:szCs w:val="24"/>
              </w:rPr>
              <w:t>取水量23.73万m</w:t>
            </w:r>
            <w:r>
              <w:rPr>
                <w:rFonts w:hint="default"/>
                <w:color w:val="auto"/>
                <w:sz w:val="24"/>
                <w:szCs w:val="24"/>
                <w:vertAlign w:val="superscript"/>
              </w:rPr>
              <w:t>3</w:t>
            </w:r>
            <w:r>
              <w:rPr>
                <w:rFonts w:hint="default"/>
                <w:color w:val="auto"/>
                <w:sz w:val="24"/>
                <w:szCs w:val="24"/>
              </w:rPr>
              <w:t>/年</w:t>
            </w:r>
            <w:r>
              <w:rPr>
                <w:rFonts w:hint="default"/>
                <w:color w:val="auto"/>
                <w:sz w:val="24"/>
                <w:szCs w:val="24"/>
                <w:lang w:eastAsia="zh-CN"/>
              </w:rPr>
              <w:t>，供水对象</w:t>
            </w:r>
            <w:r>
              <w:rPr>
                <w:rFonts w:hint="default"/>
                <w:color w:val="auto"/>
                <w:sz w:val="24"/>
                <w:szCs w:val="24"/>
              </w:rPr>
              <w:t>为河口镇集镇，供</w:t>
            </w:r>
            <w:r>
              <w:rPr>
                <w:rFonts w:hint="default"/>
                <w:color w:val="auto"/>
                <w:sz w:val="24"/>
                <w:szCs w:val="24"/>
                <w:lang w:eastAsia="zh-CN"/>
              </w:rPr>
              <w:t>水人口</w:t>
            </w:r>
            <w:r>
              <w:rPr>
                <w:rFonts w:hint="default"/>
                <w:color w:val="auto"/>
                <w:sz w:val="24"/>
                <w:szCs w:val="24"/>
              </w:rPr>
              <w:t>7230</w:t>
            </w:r>
            <w:r>
              <w:rPr>
                <w:rFonts w:hint="default"/>
                <w:color w:val="auto"/>
                <w:sz w:val="24"/>
                <w:szCs w:val="24"/>
                <w:lang w:eastAsia="zh-CN"/>
              </w:rPr>
              <w:t>人，供水量</w:t>
            </w:r>
            <w:r>
              <w:rPr>
                <w:rFonts w:hint="default"/>
                <w:color w:val="auto"/>
                <w:sz w:val="24"/>
                <w:szCs w:val="24"/>
              </w:rPr>
              <w:t>23.73万m</w:t>
            </w:r>
            <w:r>
              <w:rPr>
                <w:rFonts w:hint="default"/>
                <w:color w:val="auto"/>
                <w:sz w:val="24"/>
                <w:szCs w:val="24"/>
                <w:vertAlign w:val="superscript"/>
              </w:rPr>
              <w:t>3</w:t>
            </w:r>
            <w:r>
              <w:rPr>
                <w:rFonts w:hint="default"/>
                <w:color w:val="auto"/>
                <w:sz w:val="24"/>
                <w:szCs w:val="24"/>
              </w:rPr>
              <w:t>/年</w:t>
            </w:r>
            <w:r>
              <w:rPr>
                <w:rFonts w:hint="default"/>
                <w:color w:val="auto"/>
                <w:sz w:val="24"/>
                <w:szCs w:val="24"/>
                <w:lang w:eastAsia="zh-CN"/>
              </w:rPr>
              <w:t>。</w:t>
            </w:r>
          </w:p>
          <w:p w14:paraId="44E57E24">
            <w:pPr>
              <w:pStyle w:val="27"/>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4"/>
                <w:lang w:val="zh-CN" w:eastAsia="zh-CN"/>
              </w:rPr>
            </w:pPr>
            <w:r>
              <w:rPr>
                <w:rFonts w:hint="eastAsia" w:ascii="Times New Roman" w:hAnsi="Times New Roman" w:eastAsia="宋体"/>
                <w:color w:val="auto"/>
                <w:sz w:val="24"/>
                <w:szCs w:val="24"/>
                <w:lang w:val="en-US" w:eastAsia="zh-CN"/>
              </w:rPr>
              <w:t>根据</w:t>
            </w:r>
            <w:r>
              <w:rPr>
                <w:rFonts w:hint="eastAsia" w:ascii="Times New Roman" w:hAnsi="Times New Roman" w:eastAsia="宋体" w:cs="Times New Roman"/>
                <w:color w:val="auto"/>
                <w:sz w:val="24"/>
                <w:szCs w:val="24"/>
                <w:lang w:val="en-US" w:eastAsia="zh-CN"/>
              </w:rPr>
              <w:t>《昆明市寻甸县河口镇化桃箐水库饮用水水源保护区划定方案》</w:t>
            </w:r>
            <w:r>
              <w:rPr>
                <w:rFonts w:hint="eastAsia" w:ascii="Times New Roman" w:hAnsi="Times New Roman" w:eastAsia="宋体"/>
                <w:color w:val="auto"/>
                <w:sz w:val="24"/>
                <w:szCs w:val="24"/>
                <w:lang w:val="en-US" w:eastAsia="zh-CN"/>
              </w:rPr>
              <w:t>可知，</w:t>
            </w:r>
            <w:r>
              <w:rPr>
                <w:rFonts w:hint="eastAsia" w:ascii="Times New Roman" w:hAnsi="Times New Roman" w:eastAsia="宋体" w:cs="Times New Roman"/>
                <w:color w:val="auto"/>
                <w:sz w:val="24"/>
                <w:szCs w:val="24"/>
                <w:lang w:val="en-US" w:eastAsia="zh-CN"/>
              </w:rPr>
              <w:t>化桃箐水库</w:t>
            </w:r>
            <w:r>
              <w:rPr>
                <w:rFonts w:hint="eastAsia" w:ascii="Times New Roman" w:hAnsi="Times New Roman" w:eastAsia="宋体" w:cs="Times New Roman"/>
                <w:color w:val="auto"/>
                <w:sz w:val="24"/>
                <w:szCs w:val="24"/>
                <w:lang w:val="zh-CN" w:eastAsia="zh-CN"/>
              </w:rPr>
              <w:t>一级保护区</w:t>
            </w:r>
            <w:r>
              <w:rPr>
                <w:rFonts w:hint="eastAsia" w:ascii="Times New Roman" w:hAnsi="Times New Roman" w:eastAsia="宋体" w:cs="Times New Roman"/>
                <w:color w:val="auto"/>
                <w:sz w:val="24"/>
                <w:szCs w:val="24"/>
                <w:lang w:val="en-US" w:eastAsia="zh-CN"/>
              </w:rPr>
              <w:t>水域范围</w:t>
            </w:r>
            <w:r>
              <w:rPr>
                <w:rFonts w:hint="eastAsia" w:ascii="Times New Roman" w:hAnsi="Times New Roman" w:eastAsia="宋体" w:cs="Times New Roman"/>
                <w:color w:val="auto"/>
                <w:sz w:val="24"/>
                <w:szCs w:val="24"/>
                <w:lang w:val="zh-CN" w:eastAsia="zh-CN"/>
              </w:rPr>
              <w:t>为：</w:t>
            </w:r>
            <w:r>
              <w:rPr>
                <w:rFonts w:hint="default"/>
                <w:color w:val="auto"/>
                <w:sz w:val="24"/>
                <w:szCs w:val="24"/>
              </w:rPr>
              <w:t>多年平均水位1990.26m对应的高程线以下的全部水域</w:t>
            </w:r>
            <w:r>
              <w:rPr>
                <w:rFonts w:hint="default"/>
                <w:color w:val="auto"/>
                <w:sz w:val="24"/>
                <w:szCs w:val="24"/>
                <w:lang w:eastAsia="zh-CN"/>
              </w:rPr>
              <w:t>，</w:t>
            </w:r>
            <w:r>
              <w:rPr>
                <w:rFonts w:hint="default"/>
                <w:color w:val="auto"/>
                <w:sz w:val="24"/>
                <w:szCs w:val="24"/>
              </w:rPr>
              <w:t>面积为：0.</w:t>
            </w:r>
            <w:r>
              <w:rPr>
                <w:rFonts w:hint="default"/>
                <w:color w:val="auto"/>
                <w:sz w:val="24"/>
                <w:szCs w:val="24"/>
                <w:lang w:val="en-US" w:eastAsia="zh-CN"/>
              </w:rPr>
              <w:t>128</w:t>
            </w:r>
            <w:r>
              <w:rPr>
                <w:rFonts w:hint="default"/>
                <w:color w:val="auto"/>
                <w:sz w:val="24"/>
                <w:szCs w:val="24"/>
              </w:rPr>
              <w:t>km</w:t>
            </w:r>
            <w:r>
              <w:rPr>
                <w:rFonts w:hint="default"/>
                <w:color w:val="auto"/>
                <w:sz w:val="24"/>
                <w:szCs w:val="24"/>
                <w:vertAlign w:val="superscript"/>
              </w:rPr>
              <w:t>2</w:t>
            </w:r>
            <w:r>
              <w:rPr>
                <w:rFonts w:hint="eastAsia" w:ascii="Times New Roman" w:hAnsi="Times New Roman" w:eastAsia="宋体" w:cs="Times New Roman"/>
                <w:color w:val="auto"/>
                <w:sz w:val="24"/>
                <w:szCs w:val="24"/>
                <w:lang w:val="en-US" w:eastAsia="zh-CN"/>
              </w:rPr>
              <w:t>；</w:t>
            </w:r>
            <w:r>
              <w:rPr>
                <w:rFonts w:hint="default"/>
                <w:color w:val="auto"/>
                <w:sz w:val="24"/>
                <w:szCs w:val="24"/>
              </w:rPr>
              <w:t>陆域范围为：水库多年平均水位对应高程线外延200m范围内的陆域，但不超过流域分水岭范围</w:t>
            </w:r>
            <w:r>
              <w:rPr>
                <w:rFonts w:hint="default"/>
                <w:color w:val="auto"/>
                <w:sz w:val="24"/>
                <w:szCs w:val="24"/>
                <w:lang w:eastAsia="zh-CN"/>
              </w:rPr>
              <w:t>，</w:t>
            </w:r>
            <w:r>
              <w:rPr>
                <w:rFonts w:hint="default"/>
                <w:color w:val="auto"/>
                <w:sz w:val="24"/>
                <w:szCs w:val="24"/>
              </w:rPr>
              <w:t>面积为：0.597km</w:t>
            </w:r>
            <w:r>
              <w:rPr>
                <w:rFonts w:hint="default"/>
                <w:color w:val="auto"/>
                <w:sz w:val="24"/>
                <w:szCs w:val="24"/>
                <w:vertAlign w:val="superscript"/>
              </w:rPr>
              <w:t>2</w:t>
            </w:r>
            <w:r>
              <w:rPr>
                <w:rFonts w:hint="default"/>
                <w:color w:val="auto"/>
                <w:sz w:val="24"/>
                <w:szCs w:val="24"/>
              </w:rPr>
              <w:t>。</w:t>
            </w:r>
            <w:r>
              <w:rPr>
                <w:rFonts w:hint="eastAsia" w:ascii="Times New Roman" w:hAnsi="Times New Roman" w:eastAsia="宋体" w:cs="Times New Roman"/>
                <w:color w:val="auto"/>
                <w:sz w:val="24"/>
                <w:szCs w:val="24"/>
                <w:lang w:val="zh-CN" w:eastAsia="zh-CN"/>
              </w:rPr>
              <w:t>二级保护区</w:t>
            </w:r>
            <w:r>
              <w:rPr>
                <w:rFonts w:hint="eastAsia" w:ascii="Times New Roman" w:hAnsi="Times New Roman" w:eastAsia="宋体" w:cs="Times New Roman"/>
                <w:color w:val="auto"/>
                <w:sz w:val="24"/>
                <w:szCs w:val="24"/>
                <w:lang w:val="en-US" w:eastAsia="zh-CN"/>
              </w:rPr>
              <w:t>范围为：</w:t>
            </w:r>
            <w:r>
              <w:rPr>
                <w:rFonts w:hint="default"/>
                <w:color w:val="auto"/>
                <w:sz w:val="24"/>
                <w:szCs w:val="24"/>
                <w:lang w:val="en-US" w:eastAsia="zh-CN"/>
              </w:rPr>
              <w:t>一级保护区外，整个汇水区域，</w:t>
            </w:r>
            <w:r>
              <w:rPr>
                <w:rFonts w:hint="default"/>
                <w:color w:val="auto"/>
                <w:sz w:val="24"/>
                <w:szCs w:val="24"/>
              </w:rPr>
              <w:t>面积为：</w:t>
            </w:r>
            <w:r>
              <w:rPr>
                <w:rFonts w:hint="default"/>
                <w:color w:val="auto"/>
                <w:sz w:val="24"/>
                <w:szCs w:val="24"/>
                <w:lang w:val="en-US" w:eastAsia="zh-CN"/>
              </w:rPr>
              <w:t>19.956</w:t>
            </w:r>
            <w:r>
              <w:rPr>
                <w:rFonts w:hint="default"/>
                <w:color w:val="auto"/>
                <w:sz w:val="24"/>
                <w:szCs w:val="24"/>
              </w:rPr>
              <w:t>km</w:t>
            </w:r>
            <w:r>
              <w:rPr>
                <w:rFonts w:hint="default"/>
                <w:color w:val="auto"/>
                <w:sz w:val="24"/>
                <w:szCs w:val="24"/>
                <w:vertAlign w:val="superscript"/>
              </w:rPr>
              <w:t>2</w:t>
            </w:r>
            <w:r>
              <w:rPr>
                <w:rFonts w:hint="default"/>
                <w:color w:val="auto"/>
                <w:sz w:val="24"/>
                <w:szCs w:val="24"/>
              </w:rPr>
              <w:t>。</w:t>
            </w:r>
            <w:r>
              <w:rPr>
                <w:rFonts w:hint="eastAsia" w:ascii="Times New Roman" w:hAnsi="Times New Roman" w:eastAsia="宋体" w:cs="Times New Roman"/>
                <w:color w:val="auto"/>
                <w:sz w:val="24"/>
                <w:szCs w:val="24"/>
                <w:lang w:val="en-US" w:eastAsia="zh-CN"/>
              </w:rPr>
              <w:t>化桃箐</w:t>
            </w:r>
            <w:r>
              <w:rPr>
                <w:rFonts w:hint="eastAsia" w:ascii="Times New Roman" w:hAnsi="Times New Roman" w:eastAsia="宋体" w:cs="Times New Roman"/>
                <w:color w:val="auto"/>
                <w:sz w:val="24"/>
                <w:szCs w:val="24"/>
                <w:lang w:val="zh-CN" w:eastAsia="zh-CN"/>
              </w:rPr>
              <w:t>水库饮用水水源地保护区划界结果统计</w:t>
            </w:r>
            <w:r>
              <w:rPr>
                <w:rFonts w:hint="eastAsia" w:ascii="Times New Roman" w:hAnsi="Times New Roman" w:eastAsia="宋体" w:cs="Times New Roman"/>
                <w:color w:val="auto"/>
                <w:sz w:val="24"/>
                <w:szCs w:val="24"/>
                <w:lang w:val="en-US" w:eastAsia="zh-CN"/>
              </w:rPr>
              <w:t>下表</w:t>
            </w:r>
            <w:r>
              <w:rPr>
                <w:rFonts w:hint="eastAsia" w:ascii="Times New Roman" w:hAnsi="Times New Roman" w:eastAsia="宋体" w:cs="Times New Roman"/>
                <w:color w:val="auto"/>
                <w:sz w:val="24"/>
                <w:szCs w:val="24"/>
                <w:lang w:val="zh-CN" w:eastAsia="zh-CN"/>
              </w:rPr>
              <w:t>。</w:t>
            </w:r>
          </w:p>
          <w:p w14:paraId="4A64EBA1">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eastAsia="宋体" w:cs="Times New Roman"/>
                <w:b/>
                <w:bCs w:val="0"/>
                <w:color w:val="auto"/>
                <w:sz w:val="21"/>
                <w:szCs w:val="24"/>
                <w:highlight w:val="none"/>
                <w:lang w:val="zh-CN" w:eastAsia="zh-CN"/>
              </w:rPr>
            </w:pPr>
          </w:p>
          <w:p w14:paraId="71398051">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eastAsia="宋体" w:cs="Times New Roman"/>
                <w:b/>
                <w:bCs w:val="0"/>
                <w:color w:val="auto"/>
                <w:sz w:val="21"/>
                <w:szCs w:val="24"/>
                <w:highlight w:val="none"/>
                <w:lang w:val="zh-CN" w:eastAsia="zh-CN"/>
              </w:rPr>
            </w:pPr>
          </w:p>
          <w:p w14:paraId="42B0EC8C">
            <w:pPr>
              <w:keepNext w:val="0"/>
              <w:keepLines w:val="0"/>
              <w:widowControl w:val="0"/>
              <w:suppressLineNumbers w:val="0"/>
              <w:spacing w:before="0" w:beforeAutospacing="0" w:after="0" w:afterAutospacing="0" w:line="240" w:lineRule="auto"/>
              <w:ind w:left="0" w:right="0"/>
              <w:jc w:val="center"/>
              <w:rPr>
                <w:rFonts w:hint="eastAsia" w:ascii="Times New Roman" w:hAnsi="Times New Roman" w:eastAsia="宋体" w:cs="Times New Roman"/>
                <w:b/>
                <w:bCs w:val="0"/>
                <w:color w:val="auto"/>
                <w:sz w:val="21"/>
                <w:szCs w:val="24"/>
                <w:highlight w:val="none"/>
                <w:lang w:val="zh-CN" w:eastAsia="zh-CN"/>
              </w:rPr>
            </w:pPr>
          </w:p>
          <w:p w14:paraId="441A59B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4"/>
                <w:highlight w:val="none"/>
                <w:lang w:val="zh-CN" w:eastAsia="zh-CN"/>
              </w:rPr>
            </w:pPr>
            <w:r>
              <w:rPr>
                <w:rFonts w:hint="eastAsia" w:ascii="Times New Roman" w:hAnsi="Times New Roman" w:eastAsia="宋体" w:cs="Times New Roman"/>
                <w:b/>
                <w:bCs w:val="0"/>
                <w:color w:val="auto"/>
                <w:sz w:val="21"/>
                <w:szCs w:val="24"/>
                <w:highlight w:val="none"/>
                <w:lang w:val="zh-CN" w:eastAsia="zh-CN"/>
              </w:rPr>
              <w:t>表</w:t>
            </w:r>
            <w:r>
              <w:rPr>
                <w:rFonts w:hint="eastAsia" w:ascii="Times New Roman" w:hAnsi="Times New Roman" w:eastAsia="宋体" w:cs="Times New Roman"/>
                <w:b/>
                <w:bCs w:val="0"/>
                <w:color w:val="auto"/>
                <w:sz w:val="21"/>
                <w:szCs w:val="24"/>
                <w:highlight w:val="none"/>
                <w:lang w:val="en-US" w:eastAsia="zh-CN"/>
              </w:rPr>
              <w:t>1</w:t>
            </w:r>
            <w:r>
              <w:rPr>
                <w:rFonts w:hint="eastAsia" w:ascii="Times New Roman" w:hAnsi="Times New Roman" w:eastAsia="宋体" w:cs="Times New Roman"/>
                <w:b/>
                <w:bCs w:val="0"/>
                <w:color w:val="auto"/>
                <w:sz w:val="21"/>
                <w:szCs w:val="24"/>
                <w:highlight w:val="none"/>
                <w:lang w:val="zh-CN" w:eastAsia="zh-CN"/>
              </w:rPr>
              <w:t>-1</w:t>
            </w:r>
            <w:r>
              <w:rPr>
                <w:rFonts w:hint="eastAsia" w:cs="Times New Roman"/>
                <w:b/>
                <w:bCs w:val="0"/>
                <w:color w:val="auto"/>
                <w:sz w:val="21"/>
                <w:szCs w:val="24"/>
                <w:highlight w:val="none"/>
                <w:lang w:val="en-US" w:eastAsia="zh-CN"/>
              </w:rPr>
              <w:t>6</w:t>
            </w:r>
            <w:r>
              <w:rPr>
                <w:rFonts w:hint="eastAsia" w:ascii="Times New Roman" w:hAnsi="Times New Roman" w:eastAsia="宋体" w:cs="Times New Roman"/>
                <w:b/>
                <w:bCs w:val="0"/>
                <w:color w:val="auto"/>
                <w:sz w:val="21"/>
                <w:szCs w:val="24"/>
                <w:highlight w:val="none"/>
                <w:lang w:val="zh-CN" w:eastAsia="zh-CN"/>
              </w:rPr>
              <w:t xml:space="preserve"> </w:t>
            </w:r>
            <w:r>
              <w:rPr>
                <w:rFonts w:hint="eastAsia" w:ascii="Times New Roman" w:hAnsi="Times New Roman" w:eastAsia="宋体" w:cs="Times New Roman"/>
                <w:b/>
                <w:bCs w:val="0"/>
                <w:color w:val="auto"/>
                <w:sz w:val="21"/>
                <w:szCs w:val="24"/>
                <w:highlight w:val="none"/>
                <w:lang w:val="en-US" w:eastAsia="zh-CN"/>
              </w:rPr>
              <w:t xml:space="preserve"> 化桃箐</w:t>
            </w:r>
            <w:r>
              <w:rPr>
                <w:rFonts w:hint="eastAsia" w:ascii="Times New Roman" w:hAnsi="Times New Roman" w:eastAsia="宋体" w:cs="Times New Roman"/>
                <w:b/>
                <w:bCs w:val="0"/>
                <w:color w:val="auto"/>
                <w:sz w:val="21"/>
                <w:szCs w:val="24"/>
                <w:highlight w:val="none"/>
                <w:lang w:val="zh-CN" w:eastAsia="zh-CN"/>
              </w:rPr>
              <w:t>水库水源保护区划界结果统计</w:t>
            </w:r>
          </w:p>
          <w:tbl>
            <w:tblPr>
              <w:tblStyle w:val="4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9"/>
              <w:gridCol w:w="988"/>
              <w:gridCol w:w="691"/>
              <w:gridCol w:w="970"/>
              <w:gridCol w:w="912"/>
              <w:gridCol w:w="2804"/>
            </w:tblGrid>
            <w:tr w14:paraId="408C3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19" w:type="dxa"/>
                  <w:vMerge w:val="restart"/>
                  <w:shd w:val="clear" w:color="auto" w:fill="auto"/>
                  <w:noWrap w:val="0"/>
                  <w:vAlign w:val="center"/>
                </w:tcPr>
                <w:p w14:paraId="29FE4854">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水源地类型</w:t>
                  </w:r>
                </w:p>
              </w:tc>
              <w:tc>
                <w:tcPr>
                  <w:tcW w:w="1679" w:type="dxa"/>
                  <w:gridSpan w:val="2"/>
                  <w:vMerge w:val="restart"/>
                  <w:shd w:val="clear" w:color="auto" w:fill="auto"/>
                  <w:noWrap w:val="0"/>
                  <w:vAlign w:val="center"/>
                </w:tcPr>
                <w:p w14:paraId="1A574A3D">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保护区级别</w:t>
                  </w:r>
                </w:p>
              </w:tc>
              <w:tc>
                <w:tcPr>
                  <w:tcW w:w="1882" w:type="dxa"/>
                  <w:gridSpan w:val="2"/>
                  <w:tcBorders>
                    <w:bottom w:val="single" w:color="auto" w:sz="4" w:space="0"/>
                  </w:tcBorders>
                  <w:shd w:val="clear" w:color="auto" w:fill="auto"/>
                  <w:noWrap w:val="0"/>
                  <w:vAlign w:val="center"/>
                </w:tcPr>
                <w:p w14:paraId="22E8F1AB">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保护区面积（km</w:t>
                  </w:r>
                  <w:r>
                    <w:rPr>
                      <w:rFonts w:hint="default" w:ascii="Times New Roman" w:hAnsi="Times New Roman" w:cs="Times New Roman"/>
                      <w:b/>
                      <w:bCs/>
                      <w:color w:val="auto"/>
                      <w:sz w:val="21"/>
                      <w:szCs w:val="21"/>
                      <w:vertAlign w:val="superscript"/>
                    </w:rPr>
                    <w:t>2</w:t>
                  </w:r>
                  <w:r>
                    <w:rPr>
                      <w:rFonts w:hint="default" w:ascii="Times New Roman" w:hAnsi="Times New Roman" w:cs="Times New Roman"/>
                      <w:b/>
                      <w:bCs/>
                      <w:color w:val="auto"/>
                      <w:sz w:val="21"/>
                      <w:szCs w:val="21"/>
                    </w:rPr>
                    <w:t>）</w:t>
                  </w:r>
                </w:p>
              </w:tc>
              <w:tc>
                <w:tcPr>
                  <w:tcW w:w="2804" w:type="dxa"/>
                  <w:vMerge w:val="restart"/>
                  <w:shd w:val="clear" w:color="auto" w:fill="auto"/>
                  <w:noWrap w:val="0"/>
                  <w:vAlign w:val="center"/>
                </w:tcPr>
                <w:p w14:paraId="3AB56331">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保护区范围</w:t>
                  </w:r>
                </w:p>
              </w:tc>
            </w:tr>
            <w:tr w14:paraId="547D8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19" w:type="dxa"/>
                  <w:vMerge w:val="continue"/>
                  <w:shd w:val="clear" w:color="auto" w:fill="auto"/>
                  <w:noWrap w:val="0"/>
                  <w:vAlign w:val="center"/>
                </w:tcPr>
                <w:p w14:paraId="4F0E7072">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p>
              </w:tc>
              <w:tc>
                <w:tcPr>
                  <w:tcW w:w="1679" w:type="dxa"/>
                  <w:gridSpan w:val="2"/>
                  <w:vMerge w:val="continue"/>
                  <w:shd w:val="clear" w:color="auto" w:fill="auto"/>
                  <w:noWrap w:val="0"/>
                  <w:vAlign w:val="center"/>
                </w:tcPr>
                <w:p w14:paraId="0339597C">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p>
              </w:tc>
              <w:tc>
                <w:tcPr>
                  <w:tcW w:w="970" w:type="dxa"/>
                  <w:tcBorders>
                    <w:top w:val="single" w:color="auto" w:sz="4" w:space="0"/>
                    <w:right w:val="single" w:color="auto" w:sz="4" w:space="0"/>
                  </w:tcBorders>
                  <w:shd w:val="clear" w:color="auto" w:fill="auto"/>
                  <w:noWrap w:val="0"/>
                  <w:vAlign w:val="center"/>
                </w:tcPr>
                <w:p w14:paraId="7AB84498">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面积</w:t>
                  </w:r>
                </w:p>
              </w:tc>
              <w:tc>
                <w:tcPr>
                  <w:tcW w:w="912" w:type="dxa"/>
                  <w:tcBorders>
                    <w:top w:val="single" w:color="auto" w:sz="4" w:space="0"/>
                    <w:left w:val="single" w:color="auto" w:sz="4" w:space="0"/>
                  </w:tcBorders>
                  <w:shd w:val="clear" w:color="auto" w:fill="auto"/>
                  <w:noWrap w:val="0"/>
                  <w:vAlign w:val="center"/>
                </w:tcPr>
                <w:p w14:paraId="1F2533F0">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小计</w:t>
                  </w:r>
                </w:p>
              </w:tc>
              <w:tc>
                <w:tcPr>
                  <w:tcW w:w="2804" w:type="dxa"/>
                  <w:vMerge w:val="continue"/>
                  <w:shd w:val="clear" w:color="auto" w:fill="auto"/>
                  <w:noWrap w:val="0"/>
                  <w:vAlign w:val="center"/>
                </w:tcPr>
                <w:p w14:paraId="236EB80B">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p>
              </w:tc>
            </w:tr>
            <w:tr w14:paraId="66E87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19" w:type="dxa"/>
                  <w:vMerge w:val="restart"/>
                  <w:shd w:val="clear" w:color="auto" w:fill="auto"/>
                  <w:noWrap w:val="0"/>
                  <w:vAlign w:val="center"/>
                </w:tcPr>
                <w:p w14:paraId="7D0C8A44">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水库型</w:t>
                  </w:r>
                </w:p>
              </w:tc>
              <w:tc>
                <w:tcPr>
                  <w:tcW w:w="988" w:type="dxa"/>
                  <w:vMerge w:val="restart"/>
                  <w:shd w:val="clear" w:color="auto" w:fill="auto"/>
                  <w:noWrap w:val="0"/>
                  <w:vAlign w:val="center"/>
                </w:tcPr>
                <w:p w14:paraId="5164BE4C">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一级保护区</w:t>
                  </w:r>
                </w:p>
              </w:tc>
              <w:tc>
                <w:tcPr>
                  <w:tcW w:w="691" w:type="dxa"/>
                  <w:shd w:val="clear" w:color="auto" w:fill="auto"/>
                  <w:noWrap w:val="0"/>
                  <w:vAlign w:val="center"/>
                </w:tcPr>
                <w:p w14:paraId="66563310">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水域</w:t>
                  </w:r>
                </w:p>
              </w:tc>
              <w:tc>
                <w:tcPr>
                  <w:tcW w:w="970" w:type="dxa"/>
                  <w:shd w:val="clear" w:color="auto" w:fill="auto"/>
                  <w:noWrap w:val="0"/>
                  <w:vAlign w:val="center"/>
                </w:tcPr>
                <w:p w14:paraId="1F234EF6">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128</w:t>
                  </w:r>
                </w:p>
              </w:tc>
              <w:tc>
                <w:tcPr>
                  <w:tcW w:w="912" w:type="dxa"/>
                  <w:vMerge w:val="restart"/>
                  <w:shd w:val="clear" w:color="auto" w:fill="auto"/>
                  <w:noWrap w:val="0"/>
                  <w:vAlign w:val="center"/>
                </w:tcPr>
                <w:p w14:paraId="35AECC6A">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0.725</w:t>
                  </w:r>
                </w:p>
              </w:tc>
              <w:tc>
                <w:tcPr>
                  <w:tcW w:w="2804" w:type="dxa"/>
                  <w:shd w:val="clear" w:color="auto" w:fill="auto"/>
                  <w:noWrap w:val="0"/>
                  <w:vAlign w:val="center"/>
                </w:tcPr>
                <w:p w14:paraId="4F9E4045">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多年平均水位1990.26m对应的高程线以下的全部水域。</w:t>
                  </w:r>
                </w:p>
              </w:tc>
            </w:tr>
            <w:tr w14:paraId="2ABCC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19" w:type="dxa"/>
                  <w:vMerge w:val="continue"/>
                  <w:shd w:val="clear" w:color="auto" w:fill="auto"/>
                  <w:noWrap w:val="0"/>
                  <w:vAlign w:val="center"/>
                </w:tcPr>
                <w:p w14:paraId="7C4688B5">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p>
              </w:tc>
              <w:tc>
                <w:tcPr>
                  <w:tcW w:w="988" w:type="dxa"/>
                  <w:vMerge w:val="continue"/>
                  <w:shd w:val="clear" w:color="auto" w:fill="auto"/>
                  <w:noWrap w:val="0"/>
                  <w:vAlign w:val="center"/>
                </w:tcPr>
                <w:p w14:paraId="5936630F">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p>
              </w:tc>
              <w:tc>
                <w:tcPr>
                  <w:tcW w:w="691" w:type="dxa"/>
                  <w:shd w:val="clear" w:color="auto" w:fill="auto"/>
                  <w:noWrap w:val="0"/>
                  <w:vAlign w:val="center"/>
                </w:tcPr>
                <w:p w14:paraId="792099B4">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陆域</w:t>
                  </w:r>
                </w:p>
              </w:tc>
              <w:tc>
                <w:tcPr>
                  <w:tcW w:w="970" w:type="dxa"/>
                  <w:shd w:val="clear" w:color="auto" w:fill="auto"/>
                  <w:noWrap w:val="0"/>
                  <w:vAlign w:val="center"/>
                </w:tcPr>
                <w:p w14:paraId="5E865ADB">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597</w:t>
                  </w:r>
                </w:p>
              </w:tc>
              <w:tc>
                <w:tcPr>
                  <w:tcW w:w="912" w:type="dxa"/>
                  <w:vMerge w:val="continue"/>
                  <w:shd w:val="clear" w:color="auto" w:fill="auto"/>
                  <w:noWrap w:val="0"/>
                  <w:vAlign w:val="center"/>
                </w:tcPr>
                <w:p w14:paraId="7764D48F">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p>
              </w:tc>
              <w:tc>
                <w:tcPr>
                  <w:tcW w:w="2804" w:type="dxa"/>
                  <w:shd w:val="clear" w:color="auto" w:fill="auto"/>
                  <w:noWrap w:val="0"/>
                  <w:vAlign w:val="center"/>
                </w:tcPr>
                <w:p w14:paraId="23BBFBA6">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多年平均水位对应高程线外延200m范围内的陆域，但不超过流域分水岭范围。</w:t>
                  </w:r>
                </w:p>
              </w:tc>
            </w:tr>
            <w:tr w14:paraId="701B7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19" w:type="dxa"/>
                  <w:vMerge w:val="continue"/>
                  <w:shd w:val="clear" w:color="auto" w:fill="auto"/>
                  <w:noWrap w:val="0"/>
                  <w:vAlign w:val="center"/>
                </w:tcPr>
                <w:p w14:paraId="23CF9074">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p>
              </w:tc>
              <w:tc>
                <w:tcPr>
                  <w:tcW w:w="988" w:type="dxa"/>
                  <w:shd w:val="clear" w:color="auto" w:fill="auto"/>
                  <w:noWrap w:val="0"/>
                  <w:vAlign w:val="center"/>
                </w:tcPr>
                <w:p w14:paraId="0AA65DE8">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二级保护区</w:t>
                  </w:r>
                </w:p>
              </w:tc>
              <w:tc>
                <w:tcPr>
                  <w:tcW w:w="691" w:type="dxa"/>
                  <w:shd w:val="clear" w:color="auto" w:fill="auto"/>
                  <w:noWrap w:val="0"/>
                  <w:vAlign w:val="center"/>
                </w:tcPr>
                <w:p w14:paraId="026A49BC">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陆域</w:t>
                  </w:r>
                </w:p>
              </w:tc>
              <w:tc>
                <w:tcPr>
                  <w:tcW w:w="970" w:type="dxa"/>
                  <w:shd w:val="clear" w:color="auto" w:fill="auto"/>
                  <w:noWrap w:val="0"/>
                  <w:vAlign w:val="center"/>
                </w:tcPr>
                <w:p w14:paraId="09B81921">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19.956</w:t>
                  </w:r>
                </w:p>
              </w:tc>
              <w:tc>
                <w:tcPr>
                  <w:tcW w:w="912" w:type="dxa"/>
                  <w:shd w:val="clear" w:color="auto" w:fill="auto"/>
                  <w:noWrap w:val="0"/>
                  <w:vAlign w:val="center"/>
                </w:tcPr>
                <w:p w14:paraId="711C4801">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19.956</w:t>
                  </w:r>
                </w:p>
              </w:tc>
              <w:tc>
                <w:tcPr>
                  <w:tcW w:w="2804" w:type="dxa"/>
                  <w:shd w:val="clear" w:color="auto" w:fill="auto"/>
                  <w:noWrap w:val="0"/>
                  <w:vAlign w:val="center"/>
                </w:tcPr>
                <w:p w14:paraId="74CF2A3F">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一级保护区外，整个汇水区域。</w:t>
                  </w:r>
                </w:p>
              </w:tc>
            </w:tr>
            <w:tr w14:paraId="6F2A9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568" w:type="dxa"/>
                  <w:gridSpan w:val="4"/>
                  <w:shd w:val="clear" w:color="auto" w:fill="auto"/>
                  <w:noWrap w:val="0"/>
                  <w:vAlign w:val="center"/>
                </w:tcPr>
                <w:p w14:paraId="1F9A5BE2">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合计</w:t>
                  </w:r>
                </w:p>
              </w:tc>
              <w:tc>
                <w:tcPr>
                  <w:tcW w:w="912" w:type="dxa"/>
                  <w:shd w:val="clear" w:color="auto" w:fill="auto"/>
                  <w:noWrap w:val="0"/>
                  <w:vAlign w:val="center"/>
                </w:tcPr>
                <w:p w14:paraId="55739D5C">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20.681</w:t>
                  </w:r>
                </w:p>
              </w:tc>
              <w:tc>
                <w:tcPr>
                  <w:tcW w:w="2804" w:type="dxa"/>
                  <w:shd w:val="clear" w:color="auto" w:fill="auto"/>
                  <w:noWrap w:val="0"/>
                  <w:vAlign w:val="center"/>
                </w:tcPr>
                <w:p w14:paraId="78FC644A">
                  <w:pPr>
                    <w:pStyle w:val="27"/>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r>
          </w:tbl>
          <w:p w14:paraId="12DDF096">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eastAsia="宋体" w:cs="Times New Roman"/>
                <w:i w:val="0"/>
                <w:iCs w:val="0"/>
                <w:caps w:val="0"/>
                <w:color w:val="auto"/>
                <w:spacing w:val="0"/>
                <w:sz w:val="24"/>
                <w:szCs w:val="24"/>
                <w:highlight w:val="yellow"/>
                <w:shd w:val="clear" w:color="auto" w:fill="FFFFFF"/>
                <w:lang w:val="zh-CN"/>
              </w:rPr>
            </w:pPr>
            <w:r>
              <w:rPr>
                <w:rFonts w:hint="default" w:ascii="Times New Roman" w:hAnsi="Times New Roman" w:eastAsia="宋体" w:cs="Times New Roman"/>
                <w:color w:val="auto"/>
                <w:sz w:val="24"/>
                <w:szCs w:val="24"/>
                <w:highlight w:val="none"/>
                <w:lang w:val="en-US" w:eastAsia="zh-CN"/>
              </w:rPr>
              <w:t>经叠图分析，项目未处于</w:t>
            </w:r>
            <w:r>
              <w:rPr>
                <w:rFonts w:hint="default" w:ascii="Times New Roman" w:hAnsi="Times New Roman" w:eastAsia="Times New Roman"/>
                <w:color w:val="auto"/>
                <w:sz w:val="24"/>
                <w:szCs w:val="24"/>
                <w:highlight w:val="none"/>
                <w:lang w:val="zh-CN"/>
              </w:rPr>
              <w:t>昆明市寻甸县河口镇化桃箐水库饮用水水源保护区</w:t>
            </w:r>
            <w:r>
              <w:rPr>
                <w:rFonts w:hint="eastAsia" w:ascii="Times New Roman" w:hAnsi="Times New Roman" w:eastAsia="宋体"/>
                <w:color w:val="auto"/>
                <w:sz w:val="24"/>
                <w:szCs w:val="24"/>
                <w:highlight w:val="none"/>
                <w:lang w:val="en-US" w:eastAsia="zh-CN"/>
              </w:rPr>
              <w:t>一级和二级保护区范围</w:t>
            </w:r>
            <w:r>
              <w:rPr>
                <w:rFonts w:hint="default" w:ascii="Times New Roman" w:hAnsi="Times New Roman" w:eastAsia="宋体" w:cs="Times New Roman"/>
                <w:color w:val="auto"/>
                <w:sz w:val="24"/>
                <w:szCs w:val="24"/>
                <w:highlight w:val="none"/>
                <w:lang w:val="en-US" w:eastAsia="zh-CN"/>
              </w:rPr>
              <w:t>内，最近的</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#方阵</w:t>
            </w:r>
            <w:r>
              <w:rPr>
                <w:rFonts w:hint="default" w:ascii="Times New Roman" w:hAnsi="Times New Roman" w:eastAsia="宋体" w:cs="Times New Roman"/>
                <w:color w:val="auto"/>
                <w:kern w:val="0"/>
                <w:sz w:val="24"/>
                <w:szCs w:val="24"/>
                <w:highlight w:val="none"/>
                <w:lang w:val="en-US" w:eastAsia="zh-CN" w:bidi="ar-SA"/>
              </w:rPr>
              <w:t>距离</w:t>
            </w:r>
            <w:r>
              <w:rPr>
                <w:rFonts w:hint="eastAsia" w:ascii="Times New Roman" w:hAnsi="Times New Roman" w:eastAsia="宋体" w:cs="Times New Roman"/>
                <w:color w:val="auto"/>
                <w:kern w:val="0"/>
                <w:sz w:val="24"/>
                <w:szCs w:val="24"/>
                <w:highlight w:val="none"/>
                <w:lang w:val="en-US" w:eastAsia="zh-CN" w:bidi="ar-SA"/>
              </w:rPr>
              <w:t>二级保护区</w:t>
            </w:r>
            <w:r>
              <w:rPr>
                <w:rFonts w:hint="eastAsia" w:cs="Times New Roman"/>
                <w:color w:val="auto"/>
                <w:kern w:val="0"/>
                <w:sz w:val="24"/>
                <w:szCs w:val="24"/>
                <w:highlight w:val="none"/>
                <w:lang w:val="en-US" w:eastAsia="zh-CN" w:bidi="ar-SA"/>
              </w:rPr>
              <w:t>西</w:t>
            </w:r>
            <w:r>
              <w:rPr>
                <w:rFonts w:hint="default" w:ascii="Times New Roman" w:hAnsi="Times New Roman" w:eastAsia="宋体" w:cs="Times New Roman"/>
                <w:color w:val="auto"/>
                <w:kern w:val="0"/>
                <w:sz w:val="24"/>
                <w:szCs w:val="24"/>
                <w:highlight w:val="none"/>
                <w:lang w:val="en-US" w:eastAsia="zh-CN" w:bidi="ar-SA"/>
              </w:rPr>
              <w:t>侧</w:t>
            </w:r>
            <w:r>
              <w:rPr>
                <w:rFonts w:hint="eastAsia" w:ascii="Times New Roman" w:hAnsi="Times New Roman" w:eastAsia="宋体" w:cs="Times New Roman"/>
                <w:color w:val="auto"/>
                <w:kern w:val="0"/>
                <w:sz w:val="24"/>
                <w:szCs w:val="24"/>
                <w:highlight w:val="none"/>
                <w:lang w:val="en-US" w:eastAsia="zh-CN" w:bidi="ar-SA"/>
              </w:rPr>
              <w:t>1</w:t>
            </w:r>
            <w:r>
              <w:rPr>
                <w:rFonts w:hint="eastAsia"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m</w:t>
            </w:r>
            <w:r>
              <w:rPr>
                <w:rFonts w:hint="eastAsia"/>
                <w:color w:val="auto"/>
                <w:lang w:eastAsia="zh-CN"/>
              </w:rPr>
              <w:t>，</w:t>
            </w:r>
            <w:r>
              <w:rPr>
                <w:rFonts w:hint="eastAsia" w:ascii="Times New Roman" w:hAnsi="Times New Roman" w:cs="Times New Roman"/>
                <w:color w:val="auto"/>
                <w:sz w:val="24"/>
                <w:szCs w:val="24"/>
                <w:highlight w:val="none"/>
                <w:lang w:val="en-US" w:eastAsia="zh-CN"/>
              </w:rPr>
              <w:t>项目不在其汇水区</w:t>
            </w:r>
            <w:r>
              <w:rPr>
                <w:rFonts w:hint="default" w:ascii="Times New Roman" w:hAnsi="Times New Roman" w:eastAsia="宋体" w:cs="Times New Roman"/>
                <w:color w:val="auto"/>
                <w:sz w:val="24"/>
                <w:szCs w:val="24"/>
                <w:highlight w:val="none"/>
                <w:lang w:val="en-US" w:eastAsia="zh-CN"/>
              </w:rPr>
              <w:t>。</w:t>
            </w:r>
          </w:p>
          <w:p w14:paraId="2A537204">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eastAsia="Times New Roman" w:cs="Times New Roman"/>
                <w:color w:val="auto"/>
                <w:sz w:val="24"/>
                <w:szCs w:val="24"/>
                <w:lang w:val="zh-CN"/>
              </w:rPr>
            </w:pPr>
            <w:r>
              <w:rPr>
                <w:rFonts w:hint="eastAsia" w:ascii="Times New Roman" w:hAnsi="Times New Roman" w:eastAsia="Times New Roman" w:cs="Times New Roman"/>
                <w:color w:val="auto"/>
                <w:sz w:val="24"/>
                <w:szCs w:val="24"/>
                <w:lang w:val="en-US" w:eastAsia="zh-CN"/>
              </w:rPr>
              <w:t>（2）与</w:t>
            </w:r>
            <w:r>
              <w:rPr>
                <w:rFonts w:hint="default" w:ascii="Times New Roman" w:hAnsi="Times New Roman" w:eastAsia="Times New Roman" w:cs="Times New Roman"/>
                <w:color w:val="auto"/>
                <w:sz w:val="24"/>
                <w:szCs w:val="24"/>
                <w:lang w:val="en-US" w:eastAsia="zh-CN"/>
              </w:rPr>
              <w:t>饮用水源保护区的合法合规性</w:t>
            </w:r>
            <w:r>
              <w:rPr>
                <w:rFonts w:hint="eastAsia" w:ascii="Times New Roman" w:hAnsi="Times New Roman" w:eastAsia="Times New Roman" w:cs="Times New Roman"/>
                <w:color w:val="auto"/>
                <w:sz w:val="24"/>
                <w:szCs w:val="24"/>
                <w:lang w:val="en-US" w:eastAsia="zh-CN"/>
              </w:rPr>
              <w:t>分析</w:t>
            </w:r>
          </w:p>
          <w:p w14:paraId="1DC45264">
            <w:pPr>
              <w:keepNext w:val="0"/>
              <w:keepLines w:val="0"/>
              <w:suppressLineNumbers w:val="0"/>
              <w:spacing w:before="0" w:beforeLines="0" w:beforeAutospacing="0" w:after="0" w:afterLines="0" w:afterAutospacing="0" w:line="360" w:lineRule="auto"/>
              <w:ind w:left="0" w:right="0" w:firstLine="48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i w:val="0"/>
                <w:iCs w:val="0"/>
                <w:caps w:val="0"/>
                <w:color w:val="auto"/>
                <w:spacing w:val="0"/>
                <w:sz w:val="24"/>
                <w:szCs w:val="24"/>
                <w:shd w:val="clear" w:fill="FFFFFF"/>
                <w:lang w:val="en-US" w:eastAsia="zh-CN"/>
              </w:rPr>
              <w:t>本次评价根据本项目建设情况针对</w:t>
            </w:r>
            <w:r>
              <w:rPr>
                <w:rFonts w:hint="eastAsia" w:ascii="Times New Roman" w:hAnsi="Times New Roman" w:eastAsia="宋体" w:cs="Times New Roman"/>
                <w:color w:val="auto"/>
                <w:kern w:val="0"/>
                <w:sz w:val="24"/>
                <w:szCs w:val="24"/>
                <w:lang w:val="en-US" w:eastAsia="zh-CN" w:bidi="ar-SA"/>
              </w:rPr>
              <w:t>《中华人民共和国水污染防治法》（第二次修正，</w:t>
            </w:r>
            <w:r>
              <w:rPr>
                <w:rFonts w:hint="default" w:ascii="Times New Roman" w:hAnsi="Times New Roman" w:eastAsia="宋体" w:cs="Times New Roman"/>
                <w:color w:val="auto"/>
                <w:kern w:val="0"/>
                <w:sz w:val="24"/>
                <w:szCs w:val="24"/>
                <w:lang w:val="en-US" w:eastAsia="zh-CN" w:bidi="ar-SA"/>
              </w:rPr>
              <w:t>2018.1.1</w:t>
            </w:r>
            <w:r>
              <w:rPr>
                <w:rFonts w:hint="eastAsia" w:ascii="Times New Roman" w:hAnsi="Times New Roman" w:eastAsia="宋体" w:cs="Times New Roman"/>
                <w:color w:val="auto"/>
                <w:kern w:val="0"/>
                <w:sz w:val="24"/>
                <w:szCs w:val="24"/>
                <w:lang w:val="en-US" w:eastAsia="zh-CN" w:bidi="ar-SA"/>
              </w:rPr>
              <w:t>实施）</w:t>
            </w:r>
            <w:r>
              <w:rPr>
                <w:rFonts w:hint="eastAsia" w:cs="Times New Roman"/>
                <w:color w:val="auto"/>
                <w:kern w:val="0"/>
                <w:sz w:val="24"/>
                <w:szCs w:val="24"/>
                <w:lang w:val="en-US" w:eastAsia="zh-CN" w:bidi="ar-SA"/>
              </w:rPr>
              <w:t>和</w:t>
            </w:r>
            <w:r>
              <w:rPr>
                <w:rFonts w:hint="eastAsia" w:ascii="Times New Roman" w:hAnsi="Times New Roman" w:eastAsia="宋体" w:cs="Times New Roman"/>
                <w:color w:val="auto"/>
                <w:kern w:val="0"/>
                <w:sz w:val="24"/>
                <w:szCs w:val="24"/>
                <w:lang w:val="en-US" w:eastAsia="zh-CN" w:bidi="ar-SA"/>
              </w:rPr>
              <w:t>《饮用水水源保护区污染防治管理规定》（</w:t>
            </w:r>
            <w:r>
              <w:rPr>
                <w:rFonts w:hint="default" w:ascii="Times New Roman" w:hAnsi="Times New Roman" w:eastAsia="宋体" w:cs="Times New Roman"/>
                <w:color w:val="auto"/>
                <w:kern w:val="0"/>
                <w:sz w:val="24"/>
                <w:szCs w:val="24"/>
                <w:lang w:val="en-US" w:eastAsia="zh-CN" w:bidi="ar-SA"/>
              </w:rPr>
              <w:t>2010</w:t>
            </w:r>
            <w:r>
              <w:rPr>
                <w:rFonts w:hint="eastAsia" w:ascii="Times New Roman" w:hAnsi="Times New Roman" w:eastAsia="宋体" w:cs="Times New Roman"/>
                <w:color w:val="auto"/>
                <w:kern w:val="0"/>
                <w:sz w:val="24"/>
                <w:szCs w:val="24"/>
                <w:lang w:val="en-US" w:eastAsia="zh-CN" w:bidi="ar-SA"/>
              </w:rPr>
              <w:t>年修正）</w:t>
            </w:r>
            <w:r>
              <w:rPr>
                <w:rFonts w:hint="eastAsia" w:ascii="Times New Roman" w:hAnsi="Times New Roman" w:eastAsia="宋体" w:cs="Times New Roman"/>
                <w:i w:val="0"/>
                <w:iCs w:val="0"/>
                <w:caps w:val="0"/>
                <w:color w:val="auto"/>
                <w:spacing w:val="0"/>
                <w:sz w:val="24"/>
                <w:szCs w:val="24"/>
                <w:shd w:val="clear" w:fill="FFFFFF"/>
                <w:lang w:val="en-US" w:eastAsia="zh-CN"/>
              </w:rPr>
              <w:t>对饮用水水源和其他特殊水体保护要求进行对照分析</w:t>
            </w:r>
            <w:r>
              <w:rPr>
                <w:rFonts w:hint="eastAsia"/>
                <w:color w:val="auto"/>
                <w:sz w:val="24"/>
                <w:szCs w:val="24"/>
                <w:lang w:val="en-US" w:eastAsia="zh-CN"/>
              </w:rPr>
              <w:t>，</w:t>
            </w:r>
            <w:r>
              <w:rPr>
                <w:rFonts w:hint="eastAsia" w:cs="Times New Roman"/>
                <w:color w:val="auto"/>
                <w:kern w:val="0"/>
                <w:sz w:val="24"/>
                <w:szCs w:val="24"/>
                <w:lang w:val="en-US" w:eastAsia="zh-CN" w:bidi="ar-SA"/>
              </w:rPr>
              <w:t>其</w:t>
            </w:r>
            <w:r>
              <w:rPr>
                <w:rFonts w:hint="eastAsia" w:ascii="Times New Roman" w:hAnsi="Times New Roman" w:eastAsia="宋体" w:cs="Times New Roman"/>
                <w:color w:val="auto"/>
                <w:kern w:val="0"/>
                <w:sz w:val="24"/>
                <w:szCs w:val="24"/>
                <w:lang w:val="en-US" w:eastAsia="zh-CN" w:bidi="ar-SA"/>
              </w:rPr>
              <w:t>相符性分析见下表：</w:t>
            </w:r>
          </w:p>
          <w:p w14:paraId="01DA042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4"/>
                <w:highlight w:val="none"/>
                <w:lang w:val="zh-CN" w:eastAsia="zh-CN"/>
              </w:rPr>
            </w:pPr>
            <w:r>
              <w:rPr>
                <w:rFonts w:hint="default" w:ascii="Times New Roman" w:hAnsi="Times New Roman" w:eastAsia="宋体" w:cs="Times New Roman"/>
                <w:b/>
                <w:bCs/>
                <w:color w:val="auto"/>
                <w:kern w:val="0"/>
                <w:sz w:val="21"/>
                <w:szCs w:val="21"/>
                <w:highlight w:val="none"/>
                <w:lang w:val="en-US" w:eastAsia="zh-CN" w:bidi="ar"/>
              </w:rPr>
              <w:t>表1-</w:t>
            </w:r>
            <w:r>
              <w:rPr>
                <w:rFonts w:hint="eastAsia" w:cs="Times New Roman"/>
                <w:b/>
                <w:bCs/>
                <w:color w:val="auto"/>
                <w:kern w:val="0"/>
                <w:sz w:val="21"/>
                <w:szCs w:val="21"/>
                <w:highlight w:val="none"/>
                <w:lang w:val="en-US" w:eastAsia="zh-CN" w:bidi="ar"/>
              </w:rPr>
              <w:t>17</w:t>
            </w:r>
            <w:r>
              <w:rPr>
                <w:rFonts w:hint="eastAsia"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kern w:val="0"/>
                <w:sz w:val="21"/>
                <w:szCs w:val="21"/>
                <w:highlight w:val="none"/>
                <w:lang w:val="en-US" w:eastAsia="zh-CN" w:bidi="ar"/>
              </w:rPr>
              <w:t>项目与</w:t>
            </w:r>
            <w:r>
              <w:rPr>
                <w:rFonts w:hint="default" w:ascii="Times New Roman" w:hAnsi="Times New Roman" w:eastAsia="宋体" w:cs="Times New Roman"/>
                <w:b/>
                <w:bCs/>
                <w:color w:val="auto"/>
                <w:kern w:val="0"/>
                <w:sz w:val="21"/>
                <w:szCs w:val="21"/>
                <w:highlight w:val="none"/>
                <w:lang w:val="en-US" w:eastAsia="zh-CN" w:bidi="ar"/>
              </w:rPr>
              <w:t>饮用水源保护区的合法合规性分析</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3338"/>
              <w:gridCol w:w="2044"/>
              <w:gridCol w:w="830"/>
            </w:tblGrid>
            <w:tr w14:paraId="10D5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pct"/>
                  <w:gridSpan w:val="2"/>
                  <w:vAlign w:val="center"/>
                </w:tcPr>
                <w:p w14:paraId="2F50C2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《中华人民共和国水污染防治法》相关条款</w:t>
                  </w:r>
                </w:p>
              </w:tc>
              <w:tc>
                <w:tcPr>
                  <w:tcW w:w="1398" w:type="pct"/>
                  <w:vAlign w:val="center"/>
                </w:tcPr>
                <w:p w14:paraId="27B0516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本项目情况</w:t>
                  </w:r>
                </w:p>
              </w:tc>
              <w:tc>
                <w:tcPr>
                  <w:tcW w:w="567" w:type="pct"/>
                  <w:vAlign w:val="center"/>
                </w:tcPr>
                <w:p w14:paraId="13BDFB9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相符性</w:t>
                  </w:r>
                </w:p>
              </w:tc>
            </w:tr>
            <w:tr w14:paraId="48CA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0DCDDD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第六十四条</w:t>
                  </w:r>
                </w:p>
              </w:tc>
              <w:tc>
                <w:tcPr>
                  <w:tcW w:w="2283" w:type="pct"/>
                  <w:vAlign w:val="center"/>
                </w:tcPr>
                <w:p w14:paraId="5B11E67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在饮用水水源保护区内，禁止设置排污口。</w:t>
                  </w:r>
                </w:p>
              </w:tc>
              <w:tc>
                <w:tcPr>
                  <w:tcW w:w="1398" w:type="pct"/>
                  <w:vAlign w:val="center"/>
                </w:tcPr>
                <w:p w14:paraId="326804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项目</w:t>
                  </w:r>
                  <w:r>
                    <w:rPr>
                      <w:rFonts w:hint="eastAsia" w:ascii="宋体" w:hAnsi="宋体" w:cs="宋体"/>
                      <w:color w:val="auto"/>
                      <w:kern w:val="0"/>
                      <w:sz w:val="21"/>
                      <w:szCs w:val="21"/>
                      <w:lang w:val="en-US" w:eastAsia="zh-CN" w:bidi="ar"/>
                    </w:rPr>
                    <w:t>不涉及饮用水水源保护区，</w:t>
                  </w:r>
                  <w:r>
                    <w:rPr>
                      <w:rFonts w:hint="eastAsia" w:ascii="宋体" w:hAnsi="宋体" w:eastAsia="宋体" w:cs="宋体"/>
                      <w:color w:val="auto"/>
                      <w:kern w:val="0"/>
                      <w:sz w:val="21"/>
                      <w:szCs w:val="21"/>
                      <w:lang w:val="en-US" w:eastAsia="zh-CN" w:bidi="ar"/>
                    </w:rPr>
                    <w:t>施工期做好环保管理，废水不外排，不会在水源保护区设置排污口或排放污染物，满足法律要求。</w:t>
                  </w:r>
                </w:p>
              </w:tc>
              <w:tc>
                <w:tcPr>
                  <w:tcW w:w="567" w:type="pct"/>
                  <w:vAlign w:val="center"/>
                </w:tcPr>
                <w:p w14:paraId="5FCEBF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符合</w:t>
                  </w:r>
                </w:p>
              </w:tc>
            </w:tr>
            <w:tr w14:paraId="090F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7D8BFDC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第六十</w:t>
                  </w:r>
                  <w:r>
                    <w:rPr>
                      <w:rFonts w:hint="eastAsia" w:ascii="宋体" w:hAnsi="宋体" w:cs="宋体"/>
                      <w:color w:val="auto"/>
                      <w:kern w:val="0"/>
                      <w:sz w:val="21"/>
                      <w:szCs w:val="21"/>
                      <w:lang w:val="en-US" w:eastAsia="zh-CN" w:bidi="ar"/>
                    </w:rPr>
                    <w:t>五</w:t>
                  </w:r>
                  <w:r>
                    <w:rPr>
                      <w:rFonts w:hint="eastAsia" w:ascii="宋体" w:hAnsi="宋体" w:eastAsia="宋体" w:cs="宋体"/>
                      <w:color w:val="auto"/>
                      <w:kern w:val="0"/>
                      <w:sz w:val="21"/>
                      <w:szCs w:val="21"/>
                      <w:lang w:val="en-US" w:eastAsia="zh-CN" w:bidi="ar"/>
                    </w:rPr>
                    <w:t>条</w:t>
                  </w:r>
                </w:p>
              </w:tc>
              <w:tc>
                <w:tcPr>
                  <w:tcW w:w="2283" w:type="pct"/>
                  <w:vAlign w:val="center"/>
                </w:tcPr>
                <w:p w14:paraId="17DB79F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禁止在饮用水水源一级保护区内从事网箱养殖、旅游、游泳、垂钓或者其他可能污染饮用水水体的活动</w:t>
                  </w:r>
                  <w:r>
                    <w:rPr>
                      <w:rFonts w:hint="eastAsia" w:ascii="宋体" w:hAnsi="宋体" w:cs="宋体"/>
                      <w:color w:val="auto"/>
                      <w:kern w:val="0"/>
                      <w:sz w:val="21"/>
                      <w:szCs w:val="21"/>
                      <w:lang w:val="en-US" w:eastAsia="zh-CN" w:bidi="ar"/>
                    </w:rPr>
                    <w:t>。</w:t>
                  </w:r>
                </w:p>
              </w:tc>
              <w:tc>
                <w:tcPr>
                  <w:tcW w:w="1398" w:type="pct"/>
                  <w:vAlign w:val="center"/>
                </w:tcPr>
                <w:p w14:paraId="4E860F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本项目不涉及</w:t>
                  </w:r>
                  <w:r>
                    <w:rPr>
                      <w:rFonts w:hint="eastAsia" w:ascii="宋体" w:hAnsi="宋体" w:cs="宋体"/>
                      <w:color w:val="auto"/>
                      <w:kern w:val="0"/>
                      <w:sz w:val="21"/>
                      <w:szCs w:val="21"/>
                      <w:lang w:val="en-US" w:eastAsia="zh-CN" w:bidi="ar"/>
                    </w:rPr>
                    <w:t>。</w:t>
                  </w:r>
                </w:p>
              </w:tc>
              <w:tc>
                <w:tcPr>
                  <w:tcW w:w="567" w:type="pct"/>
                  <w:vAlign w:val="center"/>
                </w:tcPr>
                <w:p w14:paraId="22186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71A2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414C41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第六十六条</w:t>
                  </w:r>
                </w:p>
              </w:tc>
              <w:tc>
                <w:tcPr>
                  <w:tcW w:w="2283" w:type="pct"/>
                  <w:vAlign w:val="center"/>
                </w:tcPr>
                <w:p w14:paraId="4BE06C5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禁止在饮用水源二级保护区内新建、扩建、改建排放污染物的建设项目；已建成的排放污染物的建设项目，由县级以上人民政府责令拆除或者关闭。在饮用水源二级保护区内从事网箱养鱼、旅游等活动的，应当按照规定采取措施，防止污染饮用水水体。</w:t>
                  </w:r>
                </w:p>
              </w:tc>
              <w:tc>
                <w:tcPr>
                  <w:tcW w:w="1398" w:type="pct"/>
                  <w:vAlign w:val="center"/>
                </w:tcPr>
                <w:p w14:paraId="43B5FC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项目</w:t>
                  </w:r>
                  <w:r>
                    <w:rPr>
                      <w:rFonts w:hint="eastAsia" w:ascii="宋体" w:hAnsi="宋体" w:cs="宋体"/>
                      <w:color w:val="auto"/>
                      <w:kern w:val="0"/>
                      <w:sz w:val="21"/>
                      <w:szCs w:val="21"/>
                      <w:lang w:val="en-US" w:eastAsia="zh-CN" w:bidi="ar"/>
                    </w:rPr>
                    <w:t>不涉及</w:t>
                  </w:r>
                  <w:r>
                    <w:rPr>
                      <w:rFonts w:hint="eastAsia" w:ascii="宋体" w:hAnsi="宋体" w:eastAsia="宋体" w:cs="宋体"/>
                      <w:color w:val="auto"/>
                      <w:kern w:val="0"/>
                      <w:sz w:val="21"/>
                      <w:szCs w:val="21"/>
                      <w:lang w:val="en-US" w:eastAsia="zh-CN" w:bidi="ar"/>
                    </w:rPr>
                    <w:t>饮用水源二级保护区，</w:t>
                  </w:r>
                  <w:r>
                    <w:rPr>
                      <w:rFonts w:hint="eastAsia" w:ascii="宋体" w:hAnsi="宋体" w:cs="宋体"/>
                      <w:color w:val="auto"/>
                      <w:kern w:val="0"/>
                      <w:sz w:val="21"/>
                      <w:szCs w:val="21"/>
                      <w:lang w:val="en-US" w:eastAsia="zh-CN" w:bidi="ar"/>
                    </w:rPr>
                    <w:t>且</w:t>
                  </w:r>
                  <w:r>
                    <w:rPr>
                      <w:rFonts w:hint="eastAsia" w:ascii="宋体" w:hAnsi="宋体" w:eastAsia="宋体" w:cs="宋体"/>
                      <w:color w:val="auto"/>
                      <w:kern w:val="0"/>
                      <w:sz w:val="21"/>
                      <w:szCs w:val="21"/>
                      <w:lang w:val="en-US" w:eastAsia="zh-CN" w:bidi="ar"/>
                    </w:rPr>
                    <w:t>项目不属于排放污染物的建设项目，满足法律要求。</w:t>
                  </w:r>
                </w:p>
              </w:tc>
              <w:tc>
                <w:tcPr>
                  <w:tcW w:w="567" w:type="pct"/>
                  <w:vAlign w:val="center"/>
                </w:tcPr>
                <w:p w14:paraId="67F495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4E8A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pct"/>
                  <w:gridSpan w:val="2"/>
                  <w:vAlign w:val="center"/>
                </w:tcPr>
                <w:p w14:paraId="5B8B97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《饮用水源保护区污染防治管理规定》相关规定</w:t>
                  </w:r>
                </w:p>
              </w:tc>
              <w:tc>
                <w:tcPr>
                  <w:tcW w:w="1398" w:type="pct"/>
                  <w:vAlign w:val="center"/>
                </w:tcPr>
                <w:p w14:paraId="57A68C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本项目情况</w:t>
                  </w:r>
                </w:p>
              </w:tc>
              <w:tc>
                <w:tcPr>
                  <w:tcW w:w="567" w:type="pct"/>
                  <w:vAlign w:val="center"/>
                </w:tcPr>
                <w:p w14:paraId="1FD338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b/>
                      <w:bCs/>
                      <w:color w:val="auto"/>
                      <w:kern w:val="0"/>
                      <w:sz w:val="21"/>
                      <w:szCs w:val="21"/>
                      <w:lang w:val="en-US" w:eastAsia="zh-CN" w:bidi="ar"/>
                    </w:rPr>
                    <w:t>相符性</w:t>
                  </w:r>
                </w:p>
              </w:tc>
            </w:tr>
            <w:tr w14:paraId="6E49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Merge w:val="restart"/>
                  <w:vAlign w:val="center"/>
                </w:tcPr>
                <w:p w14:paraId="01894E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第十一条</w:t>
                  </w:r>
                </w:p>
              </w:tc>
              <w:tc>
                <w:tcPr>
                  <w:tcW w:w="2283" w:type="pct"/>
                  <w:vAlign w:val="center"/>
                </w:tcPr>
                <w:p w14:paraId="394B402E">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zh-CN" w:eastAsia="zh-CN" w:bidi="ar-SA"/>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zh-CN" w:eastAsia="zh-CN" w:bidi="ar-SA"/>
                    </w:rPr>
                    <w:t>禁止一切破坏水环境生态平衡的活动以及破坏水源林、护岸林、与水源保护相关植被的活动</w:t>
                  </w:r>
                  <w:r>
                    <w:rPr>
                      <w:rFonts w:hint="eastAsia" w:cs="Times New Roman"/>
                      <w:color w:val="auto"/>
                      <w:kern w:val="0"/>
                      <w:sz w:val="21"/>
                      <w:szCs w:val="21"/>
                      <w:lang w:val="zh-CN" w:eastAsia="zh-CN" w:bidi="ar-SA"/>
                    </w:rPr>
                    <w:t>。</w:t>
                  </w:r>
                </w:p>
              </w:tc>
              <w:tc>
                <w:tcPr>
                  <w:tcW w:w="1398" w:type="pct"/>
                  <w:vAlign w:val="center"/>
                </w:tcPr>
                <w:p w14:paraId="193B2B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b w:val="0"/>
                      <w:bCs w:val="0"/>
                      <w:color w:val="auto"/>
                      <w:sz w:val="21"/>
                      <w:szCs w:val="21"/>
                      <w:highlight w:val="none"/>
                      <w:lang w:val="en-US" w:eastAsia="zh-CN"/>
                    </w:rPr>
                    <w:t>项目占用林地18.38hm</w:t>
                  </w:r>
                  <w:r>
                    <w:rPr>
                      <w:rFonts w:hint="eastAsia" w:cs="Times New Roman"/>
                      <w:b w:val="0"/>
                      <w:bCs w:val="0"/>
                      <w:color w:val="auto"/>
                      <w:sz w:val="21"/>
                      <w:szCs w:val="21"/>
                      <w:highlight w:val="none"/>
                      <w:vertAlign w:val="superscript"/>
                      <w:lang w:val="en-US" w:eastAsia="zh-CN"/>
                    </w:rPr>
                    <w:t>2</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不涉及水域、护岸林等重要林地，不会对水环境生态平衡及水源林、护岸林产生破坏。项目光伏板高度按要求布设，高度不低于2.5m，桩基列间距不小于4m，行间距不小于6.5m，项目建设对原有用地性质影响较小。光伏阵列支架基础采用钢筋混凝土钻孔灌注桩</w:t>
                  </w:r>
                  <w:r>
                    <w:rPr>
                      <w:rFonts w:hint="default" w:ascii="Times New Roman" w:hAnsi="Times New Roman" w:eastAsia="宋体" w:cs="Times New Roman"/>
                      <w:color w:val="auto"/>
                      <w:sz w:val="21"/>
                      <w:szCs w:val="21"/>
                      <w:lang w:val="en-US" w:eastAsia="zh-CN"/>
                    </w:rPr>
                    <w:t>及岩石锚杆</w:t>
                  </w:r>
                  <w:r>
                    <w:rPr>
                      <w:rFonts w:hint="eastAsia" w:ascii="Times New Roman" w:hAnsi="Times New Roman" w:eastAsia="宋体" w:cs="Times New Roman"/>
                      <w:color w:val="auto"/>
                      <w:sz w:val="21"/>
                      <w:szCs w:val="21"/>
                      <w:highlight w:val="none"/>
                      <w:lang w:val="en-US" w:eastAsia="zh-CN"/>
                    </w:rPr>
                    <w:t>基础，可以根据地形调整基础顶面标高，开挖量小，对原有植被破坏小</w:t>
                  </w:r>
                  <w:r>
                    <w:rPr>
                      <w:rFonts w:hint="eastAsia" w:ascii="Times New Roman" w:hAnsi="Times New Roman" w:eastAsia="宋体" w:cs="Times New Roman"/>
                      <w:color w:val="auto"/>
                      <w:szCs w:val="21"/>
                      <w:highlight w:val="none"/>
                      <w:lang w:val="en-US" w:eastAsia="zh-CN"/>
                    </w:rPr>
                    <w:t>。</w:t>
                  </w:r>
                </w:p>
              </w:tc>
              <w:tc>
                <w:tcPr>
                  <w:tcW w:w="567" w:type="pct"/>
                  <w:vAlign w:val="center"/>
                </w:tcPr>
                <w:p w14:paraId="6FE151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2EAA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Merge w:val="continue"/>
                  <w:vAlign w:val="center"/>
                </w:tcPr>
                <w:p w14:paraId="5E0014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p>
              </w:tc>
              <w:tc>
                <w:tcPr>
                  <w:tcW w:w="2283" w:type="pct"/>
                  <w:vAlign w:val="center"/>
                </w:tcPr>
                <w:p w14:paraId="3B92ED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2、</w:t>
                  </w:r>
                  <w:r>
                    <w:rPr>
                      <w:rFonts w:hint="default" w:ascii="Times New Roman" w:hAnsi="Times New Roman" w:eastAsia="宋体" w:cs="Times New Roman"/>
                      <w:color w:val="auto"/>
                      <w:kern w:val="0"/>
                      <w:sz w:val="21"/>
                      <w:szCs w:val="21"/>
                      <w:lang w:val="zh-CN" w:eastAsia="zh-CN" w:bidi="ar-SA"/>
                    </w:rPr>
                    <w:t>禁止向水域倾倒工业废渣、城市垃圾、粪便及其它废弃物</w:t>
                  </w:r>
                  <w:r>
                    <w:rPr>
                      <w:rFonts w:hint="eastAsia" w:cs="Times New Roman"/>
                      <w:color w:val="auto"/>
                      <w:kern w:val="0"/>
                      <w:sz w:val="21"/>
                      <w:szCs w:val="21"/>
                      <w:lang w:val="zh-CN" w:eastAsia="zh-CN" w:bidi="ar-SA"/>
                    </w:rPr>
                    <w:t>。</w:t>
                  </w:r>
                </w:p>
              </w:tc>
              <w:tc>
                <w:tcPr>
                  <w:tcW w:w="1398" w:type="pct"/>
                  <w:vAlign w:val="center"/>
                </w:tcPr>
                <w:p w14:paraId="225B65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本项目不涉及</w:t>
                  </w:r>
                  <w:r>
                    <w:rPr>
                      <w:rFonts w:hint="eastAsia" w:ascii="宋体" w:hAnsi="宋体" w:cs="宋体"/>
                      <w:color w:val="auto"/>
                      <w:kern w:val="0"/>
                      <w:sz w:val="21"/>
                      <w:szCs w:val="21"/>
                      <w:lang w:val="en-US" w:eastAsia="zh-CN" w:bidi="ar"/>
                    </w:rPr>
                    <w:t>。</w:t>
                  </w:r>
                </w:p>
              </w:tc>
              <w:tc>
                <w:tcPr>
                  <w:tcW w:w="567" w:type="pct"/>
                  <w:vAlign w:val="center"/>
                </w:tcPr>
                <w:p w14:paraId="268950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04A8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Merge w:val="continue"/>
                  <w:vAlign w:val="center"/>
                </w:tcPr>
                <w:p w14:paraId="28F50D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p>
              </w:tc>
              <w:tc>
                <w:tcPr>
                  <w:tcW w:w="2283" w:type="pct"/>
                  <w:vAlign w:val="center"/>
                </w:tcPr>
                <w:p w14:paraId="546178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3、</w:t>
                  </w:r>
                  <w:r>
                    <w:rPr>
                      <w:rFonts w:hint="default" w:ascii="Times New Roman" w:hAnsi="Times New Roman" w:eastAsia="宋体" w:cs="Times New Roman"/>
                      <w:color w:val="auto"/>
                      <w:kern w:val="0"/>
                      <w:sz w:val="21"/>
                      <w:szCs w:val="21"/>
                      <w:lang w:val="zh-CN" w:eastAsia="zh-CN" w:bidi="ar-SA"/>
                    </w:rPr>
                    <w:t>运输有毒有害物质、油类、粪便的船舶和车辆一般不准进入保护区，必须进入者应事先申请有关部门批准、</w:t>
                  </w:r>
                  <w:r>
                    <w:rPr>
                      <w:rFonts w:hint="eastAsia" w:cs="Times New Roman"/>
                      <w:color w:val="auto"/>
                      <w:kern w:val="0"/>
                      <w:sz w:val="21"/>
                      <w:szCs w:val="21"/>
                      <w:lang w:val="zh-CN" w:eastAsia="zh-CN" w:bidi="ar-SA"/>
                    </w:rPr>
                    <w:t>登记</w:t>
                  </w:r>
                  <w:r>
                    <w:rPr>
                      <w:rFonts w:hint="default" w:ascii="Times New Roman" w:hAnsi="Times New Roman" w:eastAsia="宋体" w:cs="Times New Roman"/>
                      <w:color w:val="auto"/>
                      <w:kern w:val="0"/>
                      <w:sz w:val="21"/>
                      <w:szCs w:val="21"/>
                      <w:lang w:val="zh-CN" w:eastAsia="zh-CN" w:bidi="ar-SA"/>
                    </w:rPr>
                    <w:t>并设置防渗、防溢、防漏设施</w:t>
                  </w:r>
                  <w:r>
                    <w:rPr>
                      <w:rFonts w:hint="eastAsia" w:cs="Times New Roman"/>
                      <w:color w:val="auto"/>
                      <w:kern w:val="0"/>
                      <w:sz w:val="21"/>
                      <w:szCs w:val="21"/>
                      <w:lang w:val="zh-CN" w:eastAsia="zh-CN" w:bidi="ar-SA"/>
                    </w:rPr>
                    <w:t>。</w:t>
                  </w:r>
                </w:p>
              </w:tc>
              <w:tc>
                <w:tcPr>
                  <w:tcW w:w="1398" w:type="pct"/>
                  <w:vAlign w:val="center"/>
                </w:tcPr>
                <w:p w14:paraId="766513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本项目不涉及</w:t>
                  </w:r>
                  <w:r>
                    <w:rPr>
                      <w:rFonts w:hint="eastAsia" w:ascii="宋体" w:hAnsi="宋体" w:cs="宋体"/>
                      <w:color w:val="auto"/>
                      <w:kern w:val="0"/>
                      <w:sz w:val="21"/>
                      <w:szCs w:val="21"/>
                      <w:lang w:val="en-US" w:eastAsia="zh-CN" w:bidi="ar"/>
                    </w:rPr>
                    <w:t>。</w:t>
                  </w:r>
                </w:p>
              </w:tc>
              <w:tc>
                <w:tcPr>
                  <w:tcW w:w="567" w:type="pct"/>
                  <w:vAlign w:val="center"/>
                </w:tcPr>
                <w:p w14:paraId="1DE362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37B8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Merge w:val="continue"/>
                  <w:vAlign w:val="center"/>
                </w:tcPr>
                <w:p w14:paraId="63B9FC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p>
              </w:tc>
              <w:tc>
                <w:tcPr>
                  <w:tcW w:w="2283" w:type="pct"/>
                  <w:vAlign w:val="center"/>
                </w:tcPr>
                <w:p w14:paraId="693AD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cs="Times New Roman"/>
                      <w:color w:val="auto"/>
                      <w:kern w:val="0"/>
                      <w:sz w:val="21"/>
                      <w:szCs w:val="21"/>
                      <w:vertAlign w:val="baseline"/>
                      <w:lang w:val="en-US" w:eastAsia="zh-CN" w:bidi="ar-SA"/>
                    </w:rPr>
                  </w:pPr>
                  <w:r>
                    <w:rPr>
                      <w:rFonts w:hint="eastAsia" w:cs="Times New Roman"/>
                      <w:color w:val="auto"/>
                      <w:kern w:val="0"/>
                      <w:sz w:val="21"/>
                      <w:szCs w:val="21"/>
                      <w:lang w:val="en-US" w:eastAsia="zh-CN" w:bidi="ar-SA"/>
                    </w:rPr>
                    <w:t>4、禁止使用</w:t>
                  </w:r>
                  <w:r>
                    <w:rPr>
                      <w:rFonts w:hint="default" w:ascii="Times New Roman" w:hAnsi="Times New Roman" w:eastAsia="宋体" w:cs="Times New Roman"/>
                      <w:color w:val="auto"/>
                      <w:kern w:val="0"/>
                      <w:sz w:val="21"/>
                      <w:szCs w:val="21"/>
                      <w:lang w:val="zh-CN" w:eastAsia="zh-CN" w:bidi="ar-SA"/>
                    </w:rPr>
                    <w:t>剧毒和高残留农药，不得滥用</w:t>
                  </w:r>
                  <w:r>
                    <w:rPr>
                      <w:rFonts w:hint="eastAsia" w:cs="Times New Roman"/>
                      <w:color w:val="auto"/>
                      <w:kern w:val="0"/>
                      <w:sz w:val="21"/>
                      <w:szCs w:val="21"/>
                      <w:lang w:val="en-US" w:eastAsia="zh-CN" w:bidi="ar-SA"/>
                    </w:rPr>
                    <w:t>化肥</w:t>
                  </w:r>
                  <w:r>
                    <w:rPr>
                      <w:rFonts w:hint="default" w:ascii="Times New Roman" w:hAnsi="Times New Roman" w:eastAsia="宋体" w:cs="Times New Roman"/>
                      <w:color w:val="auto"/>
                      <w:kern w:val="0"/>
                      <w:sz w:val="21"/>
                      <w:szCs w:val="21"/>
                      <w:lang w:val="zh-CN" w:eastAsia="zh-CN" w:bidi="ar-SA"/>
                    </w:rPr>
                    <w:t>，不得使用炸药、毒品捕杀鱼类</w:t>
                  </w:r>
                  <w:r>
                    <w:rPr>
                      <w:rFonts w:hint="eastAsia" w:cs="Times New Roman"/>
                      <w:color w:val="auto"/>
                      <w:kern w:val="0"/>
                      <w:sz w:val="21"/>
                      <w:szCs w:val="21"/>
                      <w:lang w:val="zh-CN" w:eastAsia="zh-CN" w:bidi="ar-SA"/>
                    </w:rPr>
                    <w:t>。</w:t>
                  </w:r>
                </w:p>
              </w:tc>
              <w:tc>
                <w:tcPr>
                  <w:tcW w:w="1398" w:type="pct"/>
                  <w:vAlign w:val="center"/>
                </w:tcPr>
                <w:p w14:paraId="52E104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vertAlign w:val="baseline"/>
                      <w:lang w:val="zh-CN" w:eastAsia="zh-CN" w:bidi="ar-SA"/>
                    </w:rPr>
                  </w:pPr>
                  <w:r>
                    <w:rPr>
                      <w:rFonts w:hint="eastAsia"/>
                      <w:b w:val="0"/>
                      <w:bCs w:val="0"/>
                      <w:color w:val="auto"/>
                      <w:sz w:val="21"/>
                      <w:szCs w:val="21"/>
                      <w:highlight w:val="none"/>
                    </w:rPr>
                    <w:t>项目</w:t>
                  </w:r>
                  <w:r>
                    <w:rPr>
                      <w:rFonts w:hint="eastAsia"/>
                      <w:b w:val="0"/>
                      <w:bCs w:val="0"/>
                      <w:color w:val="auto"/>
                      <w:sz w:val="21"/>
                      <w:szCs w:val="21"/>
                      <w:highlight w:val="none"/>
                      <w:lang w:val="en-US" w:eastAsia="zh-CN"/>
                    </w:rPr>
                    <w:t>林业</w:t>
                  </w:r>
                  <w:r>
                    <w:rPr>
                      <w:rFonts w:hint="eastAsia"/>
                      <w:b w:val="0"/>
                      <w:bCs w:val="0"/>
                      <w:color w:val="auto"/>
                      <w:sz w:val="21"/>
                      <w:szCs w:val="21"/>
                      <w:highlight w:val="none"/>
                    </w:rPr>
                    <w:t>种植施肥仅施少量化肥、复合肥</w:t>
                  </w:r>
                  <w:r>
                    <w:rPr>
                      <w:rFonts w:hint="eastAsia"/>
                      <w:b w:val="0"/>
                      <w:bCs w:val="0"/>
                      <w:color w:val="auto"/>
                      <w:sz w:val="21"/>
                      <w:szCs w:val="21"/>
                      <w:highlight w:val="none"/>
                      <w:lang w:eastAsia="zh-CN"/>
                    </w:rPr>
                    <w:t>，</w:t>
                  </w:r>
                  <w:r>
                    <w:rPr>
                      <w:rFonts w:hint="default" w:ascii="Times New Roman" w:hAnsi="Times New Roman" w:eastAsia="宋体" w:cs="Times New Roman"/>
                      <w:color w:val="auto"/>
                      <w:kern w:val="0"/>
                      <w:sz w:val="21"/>
                      <w:szCs w:val="21"/>
                      <w:lang w:val="zh-CN" w:eastAsia="zh-CN" w:bidi="ar-SA"/>
                    </w:rPr>
                    <w:t>不滥用</w:t>
                  </w:r>
                  <w:r>
                    <w:rPr>
                      <w:rFonts w:hint="eastAsia" w:cs="Times New Roman"/>
                      <w:color w:val="auto"/>
                      <w:kern w:val="0"/>
                      <w:sz w:val="21"/>
                      <w:szCs w:val="21"/>
                      <w:lang w:val="en-US" w:eastAsia="zh-CN" w:bidi="ar-SA"/>
                    </w:rPr>
                    <w:t>化肥</w:t>
                  </w:r>
                  <w:r>
                    <w:rPr>
                      <w:rFonts w:hint="eastAsia"/>
                      <w:b w:val="0"/>
                      <w:bCs w:val="0"/>
                      <w:color w:val="auto"/>
                      <w:sz w:val="21"/>
                      <w:szCs w:val="21"/>
                      <w:highlight w:val="none"/>
                      <w:lang w:eastAsia="zh-CN"/>
                    </w:rPr>
                    <w:t>。</w:t>
                  </w:r>
                </w:p>
              </w:tc>
              <w:tc>
                <w:tcPr>
                  <w:tcW w:w="567" w:type="pct"/>
                  <w:vAlign w:val="center"/>
                </w:tcPr>
                <w:p w14:paraId="64FAD3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r w14:paraId="6D2D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593EA4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第十二条</w:t>
                  </w:r>
                </w:p>
              </w:tc>
              <w:tc>
                <w:tcPr>
                  <w:tcW w:w="2283" w:type="pct"/>
                  <w:vAlign w:val="center"/>
                </w:tcPr>
                <w:p w14:paraId="15641770">
                  <w:pPr>
                    <w:keepNext w:val="0"/>
                    <w:keepLines w:val="0"/>
                    <w:widowControl/>
                    <w:suppressLineNumbers w:val="0"/>
                    <w:spacing w:before="0" w:beforeAutospacing="0" w:after="0" w:afterAutospacing="0" w:line="240" w:lineRule="auto"/>
                    <w:ind w:left="0" w:right="0"/>
                    <w:jc w:val="both"/>
                    <w:rPr>
                      <w:rFonts w:hint="default"/>
                      <w:color w:val="auto"/>
                      <w:sz w:val="21"/>
                      <w:szCs w:val="21"/>
                    </w:rPr>
                  </w:pPr>
                  <w:r>
                    <w:rPr>
                      <w:rFonts w:hint="eastAsia" w:ascii="宋体" w:hAnsi="宋体" w:eastAsia="宋体" w:cs="宋体"/>
                      <w:color w:val="auto"/>
                      <w:kern w:val="0"/>
                      <w:sz w:val="21"/>
                      <w:szCs w:val="21"/>
                      <w:lang w:val="en-US" w:eastAsia="zh-CN" w:bidi="ar"/>
                    </w:rPr>
                    <w:t>饮用水地表水源二级保护区内：</w:t>
                  </w:r>
                </w:p>
                <w:p w14:paraId="1E138B62">
                  <w:pPr>
                    <w:keepNext w:val="0"/>
                    <w:keepLines w:val="0"/>
                    <w:widowControl/>
                    <w:suppressLineNumbers w:val="0"/>
                    <w:spacing w:before="0" w:beforeAutospacing="0" w:after="0" w:afterAutospacing="0" w:line="240" w:lineRule="auto"/>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、禁止新建、改建、扩建排放污染物的建设项目；</w:t>
                  </w:r>
                </w:p>
                <w:p w14:paraId="5795BF88">
                  <w:pPr>
                    <w:keepNext w:val="0"/>
                    <w:keepLines w:val="0"/>
                    <w:widowControl/>
                    <w:suppressLineNumbers w:val="0"/>
                    <w:spacing w:before="0" w:beforeAutospacing="0" w:after="0" w:afterAutospacing="0" w:line="240" w:lineRule="auto"/>
                    <w:ind w:left="0" w:right="0"/>
                    <w:jc w:val="both"/>
                    <w:rPr>
                      <w:rFonts w:hint="default"/>
                      <w:color w:val="auto"/>
                      <w:sz w:val="21"/>
                      <w:szCs w:val="21"/>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、原有排污口依法拆除或者关闭；</w:t>
                  </w:r>
                </w:p>
                <w:p w14:paraId="42100429">
                  <w:pPr>
                    <w:keepNext w:val="0"/>
                    <w:keepLines w:val="0"/>
                    <w:widowControl/>
                    <w:suppressLineNumbers w:val="0"/>
                    <w:spacing w:before="0" w:beforeAutospacing="0" w:after="0" w:afterAutospacing="0" w:line="240" w:lineRule="auto"/>
                    <w:ind w:left="0" w:right="0"/>
                    <w:jc w:val="both"/>
                    <w:rPr>
                      <w:rFonts w:hint="eastAsia"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、禁止设立装卸垃圾、粪便、油类和有毒物品的码头。</w:t>
                  </w:r>
                </w:p>
              </w:tc>
              <w:tc>
                <w:tcPr>
                  <w:tcW w:w="1398" w:type="pct"/>
                  <w:vAlign w:val="center"/>
                </w:tcPr>
                <w:p w14:paraId="36B7EA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zh-CN" w:eastAsia="zh-CN" w:bidi="ar-SA"/>
                    </w:rPr>
                  </w:pPr>
                  <w:r>
                    <w:rPr>
                      <w:rFonts w:hint="eastAsia" w:ascii="宋体" w:hAnsi="宋体" w:eastAsia="宋体" w:cs="宋体"/>
                      <w:color w:val="auto"/>
                      <w:kern w:val="0"/>
                      <w:sz w:val="21"/>
                      <w:szCs w:val="21"/>
                      <w:lang w:val="en-US" w:eastAsia="zh-CN" w:bidi="ar"/>
                    </w:rPr>
                    <w:t>项目</w:t>
                  </w:r>
                  <w:r>
                    <w:rPr>
                      <w:rFonts w:hint="eastAsia" w:ascii="宋体" w:hAnsi="宋体" w:cs="宋体"/>
                      <w:color w:val="auto"/>
                      <w:kern w:val="0"/>
                      <w:sz w:val="21"/>
                      <w:szCs w:val="21"/>
                      <w:lang w:val="en-US" w:eastAsia="zh-CN" w:bidi="ar"/>
                    </w:rPr>
                    <w:t>不涉及</w:t>
                  </w:r>
                  <w:r>
                    <w:rPr>
                      <w:rFonts w:hint="eastAsia" w:ascii="宋体" w:hAnsi="宋体" w:eastAsia="宋体" w:cs="宋体"/>
                      <w:color w:val="auto"/>
                      <w:kern w:val="0"/>
                      <w:sz w:val="21"/>
                      <w:szCs w:val="21"/>
                      <w:lang w:val="en-US" w:eastAsia="zh-CN" w:bidi="ar"/>
                    </w:rPr>
                    <w:t>饮用水源二级保护区，</w:t>
                  </w:r>
                  <w:r>
                    <w:rPr>
                      <w:rFonts w:hint="eastAsia" w:ascii="宋体" w:hAnsi="宋体" w:cs="宋体"/>
                      <w:color w:val="auto"/>
                      <w:kern w:val="0"/>
                      <w:sz w:val="21"/>
                      <w:szCs w:val="21"/>
                      <w:lang w:val="en-US" w:eastAsia="zh-CN" w:bidi="ar"/>
                    </w:rPr>
                    <w:t>且</w:t>
                  </w:r>
                  <w:r>
                    <w:rPr>
                      <w:rFonts w:hint="eastAsia" w:ascii="宋体" w:hAnsi="宋体" w:eastAsia="宋体" w:cs="宋体"/>
                      <w:color w:val="auto"/>
                      <w:kern w:val="0"/>
                      <w:sz w:val="21"/>
                      <w:szCs w:val="21"/>
                      <w:lang w:val="en-US" w:eastAsia="zh-CN" w:bidi="ar"/>
                    </w:rPr>
                    <w:t>项目不属于排放污染物的建设项目；施工期做好环保管理，禁止向</w:t>
                  </w:r>
                  <w:r>
                    <w:rPr>
                      <w:rFonts w:hint="eastAsia" w:ascii="宋体" w:hAnsi="宋体" w:cs="宋体"/>
                      <w:color w:val="auto"/>
                      <w:kern w:val="0"/>
                      <w:sz w:val="21"/>
                      <w:szCs w:val="21"/>
                      <w:lang w:val="en-US" w:eastAsia="zh-CN" w:bidi="ar"/>
                    </w:rPr>
                    <w:t>化桃箐</w:t>
                  </w:r>
                  <w:r>
                    <w:rPr>
                      <w:rFonts w:hint="eastAsia" w:ascii="宋体" w:hAnsi="宋体" w:eastAsia="宋体" w:cs="宋体"/>
                      <w:color w:val="auto"/>
                      <w:kern w:val="0"/>
                      <w:sz w:val="21"/>
                      <w:szCs w:val="21"/>
                      <w:lang w:val="en-US" w:eastAsia="zh-CN" w:bidi="ar"/>
                    </w:rPr>
                    <w:t>水库</w:t>
                  </w:r>
                  <w:r>
                    <w:rPr>
                      <w:rFonts w:hint="eastAsia" w:ascii="宋体" w:hAnsi="宋体" w:cs="宋体"/>
                      <w:color w:val="auto"/>
                      <w:kern w:val="0"/>
                      <w:sz w:val="21"/>
                      <w:szCs w:val="21"/>
                      <w:lang w:val="en-US" w:eastAsia="zh-CN" w:bidi="ar"/>
                    </w:rPr>
                    <w:t>水源</w:t>
                  </w:r>
                  <w:r>
                    <w:rPr>
                      <w:rFonts w:hint="eastAsia" w:ascii="宋体" w:hAnsi="宋体" w:eastAsia="宋体" w:cs="宋体"/>
                      <w:color w:val="auto"/>
                      <w:kern w:val="0"/>
                      <w:sz w:val="21"/>
                      <w:szCs w:val="21"/>
                      <w:lang w:val="en-US" w:eastAsia="zh-CN" w:bidi="ar"/>
                    </w:rPr>
                    <w:t>保护</w:t>
                  </w:r>
                  <w:r>
                    <w:rPr>
                      <w:rFonts w:hint="eastAsia" w:ascii="宋体" w:hAnsi="宋体" w:cs="宋体"/>
                      <w:color w:val="auto"/>
                      <w:kern w:val="0"/>
                      <w:sz w:val="21"/>
                      <w:szCs w:val="21"/>
                      <w:lang w:val="en-US" w:eastAsia="zh-CN" w:bidi="ar"/>
                    </w:rPr>
                    <w:t>区</w:t>
                  </w:r>
                  <w:r>
                    <w:rPr>
                      <w:rFonts w:hint="eastAsia" w:ascii="宋体" w:hAnsi="宋体" w:eastAsia="宋体" w:cs="宋体"/>
                      <w:color w:val="auto"/>
                      <w:kern w:val="0"/>
                      <w:sz w:val="21"/>
                      <w:szCs w:val="21"/>
                      <w:lang w:val="en-US" w:eastAsia="zh-CN" w:bidi="ar"/>
                    </w:rPr>
                    <w:t>范围排放污染物，可满足管控要求。</w:t>
                  </w:r>
                </w:p>
              </w:tc>
              <w:tc>
                <w:tcPr>
                  <w:tcW w:w="567" w:type="pct"/>
                  <w:vAlign w:val="center"/>
                </w:tcPr>
                <w:p w14:paraId="6BBB6B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auto"/>
                      <w:kern w:val="0"/>
                      <w:sz w:val="21"/>
                      <w:szCs w:val="21"/>
                      <w:vertAlign w:val="baseline"/>
                      <w:lang w:val="zh-CN" w:eastAsia="zh-CN" w:bidi="ar-SA"/>
                    </w:rPr>
                  </w:pPr>
                  <w:r>
                    <w:rPr>
                      <w:rFonts w:hint="eastAsia" w:cs="Times New Roman"/>
                      <w:color w:val="auto"/>
                      <w:kern w:val="0"/>
                      <w:sz w:val="21"/>
                      <w:szCs w:val="21"/>
                      <w:vertAlign w:val="baseline"/>
                      <w:lang w:val="en-US" w:eastAsia="zh-CN" w:bidi="ar-SA"/>
                    </w:rPr>
                    <w:t>符合</w:t>
                  </w:r>
                </w:p>
              </w:tc>
            </w:tr>
          </w:tbl>
          <w:p w14:paraId="115E2879">
            <w:pPr>
              <w:keepNext w:val="0"/>
              <w:keepLines/>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color w:val="auto"/>
                <w:kern w:val="0"/>
                <w:sz w:val="24"/>
                <w:szCs w:val="24"/>
                <w:highlight w:val="none"/>
                <w:lang w:val="en-US" w:eastAsia="zh-CN"/>
              </w:rPr>
            </w:pPr>
          </w:p>
        </w:tc>
      </w:tr>
      <w:bookmarkEnd w:id="2"/>
    </w:tbl>
    <w:p w14:paraId="371397EC">
      <w:pPr>
        <w:shd w:val="clear"/>
        <w:spacing w:line="360" w:lineRule="auto"/>
        <w:outlineLvl w:val="0"/>
        <w:rPr>
          <w:color w:val="auto"/>
          <w:sz w:val="30"/>
          <w:highlight w:val="none"/>
          <w:shd w:val="clear" w:color="auto" w:fill="auto"/>
        </w:rPr>
        <w:sectPr>
          <w:footerReference r:id="rId6" w:type="default"/>
          <w:pgSz w:w="11906" w:h="16838"/>
          <w:pgMar w:top="1701" w:right="1531" w:bottom="1701" w:left="1531" w:header="851" w:footer="1077" w:gutter="0"/>
          <w:pgNumType w:fmt="decimal"/>
          <w:cols w:space="720" w:num="1"/>
          <w:docGrid w:linePitch="312" w:charSpace="0"/>
        </w:sectPr>
      </w:pPr>
    </w:p>
    <w:p w14:paraId="0877A362">
      <w:pPr>
        <w:pStyle w:val="40"/>
        <w:shd w:val="clear"/>
        <w:spacing w:before="0" w:beforeAutospacing="0" w:after="0" w:afterAutospacing="0" w:line="360" w:lineRule="auto"/>
        <w:outlineLvl w:val="0"/>
        <w:rPr>
          <w:b/>
          <w:bCs/>
          <w:snapToGrid w:val="0"/>
          <w:color w:val="auto"/>
          <w:sz w:val="30"/>
          <w:szCs w:val="30"/>
          <w:highlight w:val="none"/>
          <w:shd w:val="clear" w:color="auto" w:fill="auto"/>
        </w:rPr>
      </w:pPr>
      <w:bookmarkStart w:id="17" w:name="_Toc77"/>
      <w:r>
        <w:rPr>
          <w:b/>
          <w:bCs/>
          <w:snapToGrid w:val="0"/>
          <w:color w:val="auto"/>
          <w:sz w:val="30"/>
          <w:szCs w:val="30"/>
          <w:highlight w:val="none"/>
          <w:shd w:val="clear" w:color="auto" w:fill="auto"/>
        </w:rPr>
        <w:t>二、建设内容</w:t>
      </w:r>
      <w:bookmarkEnd w:id="17"/>
    </w:p>
    <w:tbl>
      <w:tblPr>
        <w:tblStyle w:val="4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3"/>
        <w:gridCol w:w="7757"/>
      </w:tblGrid>
      <w:tr w14:paraId="634E7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48" w:type="pct"/>
            <w:vAlign w:val="center"/>
          </w:tcPr>
          <w:p w14:paraId="63C3ECC4">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地理位置</w:t>
            </w:r>
          </w:p>
        </w:tc>
        <w:tc>
          <w:tcPr>
            <w:tcW w:w="4551" w:type="pct"/>
            <w:vAlign w:val="center"/>
          </w:tcPr>
          <w:p w14:paraId="214E1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rPr>
            </w:pPr>
            <w:r>
              <w:rPr>
                <w:rFonts w:hint="eastAsia" w:ascii="Times New Roman" w:hAnsi="Times New Roman" w:cs="Times New Roman"/>
                <w:color w:val="auto"/>
                <w:sz w:val="24"/>
                <w:szCs w:val="24"/>
                <w:highlight w:val="none"/>
                <w:shd w:val="clear" w:color="auto" w:fill="auto"/>
                <w:lang w:val="en-US" w:eastAsia="zh-CN"/>
              </w:rPr>
              <w:t>项目</w:t>
            </w:r>
            <w:r>
              <w:rPr>
                <w:rFonts w:hint="eastAsia" w:cs="Times New Roman"/>
                <w:color w:val="auto"/>
                <w:sz w:val="24"/>
                <w:szCs w:val="24"/>
                <w:highlight w:val="none"/>
                <w:shd w:val="clear" w:color="auto" w:fill="auto"/>
                <w:lang w:val="en-US" w:eastAsia="zh-CN"/>
              </w:rPr>
              <w:t>分为东北和西南2个片区，</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东北片区</w:t>
            </w:r>
            <w:r>
              <w:rPr>
                <w:rFonts w:hint="eastAsia" w:ascii="Times New Roman" w:hAnsi="Times New Roman" w:eastAsia="宋体" w:cs="Times New Roman"/>
                <w:color w:val="auto"/>
                <w:sz w:val="24"/>
                <w:szCs w:val="24"/>
                <w:lang w:val="en-US" w:eastAsia="zh-CN"/>
              </w:rPr>
              <w:t>位于</w:t>
            </w:r>
            <w:r>
              <w:rPr>
                <w:rFonts w:hint="eastAsia" w:ascii="Times New Roman" w:hAnsi="Times New Roman" w:cs="Times New Roman"/>
                <w:color w:val="auto"/>
                <w:sz w:val="24"/>
                <w:szCs w:val="24"/>
                <w:highlight w:val="none"/>
                <w:shd w:val="clear" w:color="auto" w:fill="auto"/>
                <w:lang w:val="en-US" w:eastAsia="zh-CN"/>
              </w:rPr>
              <w:t>昆明市寻甸回族彝族自治县河口镇境内</w:t>
            </w:r>
            <w:r>
              <w:rPr>
                <w:rFonts w:hint="eastAsia" w:ascii="宋体" w:hAnsi="宋体" w:cs="宋体"/>
                <w:color w:val="auto"/>
                <w:kern w:val="0"/>
                <w:sz w:val="24"/>
                <w:szCs w:val="24"/>
                <w:lang w:val="en-US" w:eastAsia="zh-CN" w:bidi="ar"/>
              </w:rPr>
              <w:t>，</w:t>
            </w:r>
            <w:r>
              <w:rPr>
                <w:rFonts w:hint="eastAsia" w:ascii="Times New Roman" w:hAnsi="Times New Roman" w:cs="Times New Roman"/>
                <w:color w:val="auto"/>
                <w:sz w:val="24"/>
                <w:szCs w:val="24"/>
                <w:highlight w:val="none"/>
                <w:shd w:val="clear" w:color="auto" w:fill="auto"/>
                <w:lang w:val="en-US" w:eastAsia="zh-CN"/>
              </w:rPr>
              <w:t>中心坐标</w:t>
            </w:r>
            <w:r>
              <w:rPr>
                <w:rFonts w:hint="eastAsia"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103°28′</w:t>
            </w:r>
            <w:r>
              <w:rPr>
                <w:rFonts w:hint="eastAsia" w:ascii="Times New Roman" w:hAnsi="Times New Roman" w:cs="Times New Roman"/>
                <w:color w:val="auto"/>
                <w:sz w:val="24"/>
                <w:szCs w:val="24"/>
                <w:highlight w:val="none"/>
                <w:shd w:val="clear" w:color="auto" w:fill="auto"/>
                <w:lang w:val="en-US" w:eastAsia="zh-CN"/>
              </w:rPr>
              <w:t>49.10</w:t>
            </w:r>
            <w:r>
              <w:rPr>
                <w:rFonts w:hint="eastAsia" w:cs="Times New Roman"/>
                <w:color w:val="auto"/>
                <w:sz w:val="24"/>
                <w:szCs w:val="24"/>
                <w:highlight w:val="none"/>
                <w:shd w:val="clear" w:color="auto" w:fill="auto"/>
                <w:lang w:val="en-US" w:eastAsia="zh-CN"/>
              </w:rPr>
              <w:t>7</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25°43′</w:t>
            </w:r>
            <w:r>
              <w:rPr>
                <w:rFonts w:hint="eastAsia" w:ascii="Times New Roman" w:hAnsi="Times New Roman" w:cs="Times New Roman"/>
                <w:color w:val="auto"/>
                <w:sz w:val="24"/>
                <w:szCs w:val="24"/>
                <w:highlight w:val="none"/>
                <w:shd w:val="clear" w:color="auto" w:fill="auto"/>
                <w:lang w:val="en-US" w:eastAsia="zh-CN"/>
              </w:rPr>
              <w:t>50.69</w:t>
            </w:r>
            <w:r>
              <w:rPr>
                <w:rFonts w:hint="eastAsia" w:cs="Times New Roman"/>
                <w:color w:val="auto"/>
                <w:sz w:val="24"/>
                <w:szCs w:val="24"/>
                <w:highlight w:val="none"/>
                <w:shd w:val="clear" w:color="auto" w:fill="auto"/>
                <w:lang w:val="en-US" w:eastAsia="zh-CN"/>
              </w:rPr>
              <w:t>2</w:t>
            </w:r>
            <w:r>
              <w:rPr>
                <w:rFonts w:hint="eastAsia"/>
                <w:color w:val="auto"/>
                <w:sz w:val="24"/>
                <w:szCs w:val="24"/>
                <w:highlight w:val="none"/>
                <w:shd w:val="clear" w:color="auto" w:fill="auto"/>
                <w:lang w:val="en-US" w:eastAsia="zh-CN"/>
              </w:rPr>
              <w:t>″；</w:t>
            </w:r>
            <w:r>
              <w:rPr>
                <w:rFonts w:hint="eastAsia" w:ascii="宋体" w:hAnsi="宋体" w:cs="宋体"/>
                <w:color w:val="auto"/>
                <w:kern w:val="0"/>
                <w:sz w:val="24"/>
                <w:szCs w:val="24"/>
                <w:lang w:val="en-US" w:eastAsia="zh-CN" w:bidi="ar"/>
              </w:rPr>
              <w:t>西南片区位于</w:t>
            </w:r>
            <w:r>
              <w:rPr>
                <w:rFonts w:hint="eastAsia" w:ascii="Times New Roman" w:hAnsi="Times New Roman" w:cs="Times New Roman"/>
                <w:color w:val="auto"/>
                <w:sz w:val="24"/>
                <w:szCs w:val="24"/>
                <w:highlight w:val="none"/>
                <w:shd w:val="clear" w:color="auto" w:fill="auto"/>
                <w:lang w:val="en-US" w:eastAsia="zh-CN"/>
              </w:rPr>
              <w:t>昆明市寻甸回族彝族自治县河口镇、</w:t>
            </w:r>
            <w:r>
              <w:rPr>
                <w:rFonts w:hint="eastAsia" w:ascii="宋体" w:hAnsi="宋体" w:cs="宋体"/>
                <w:color w:val="auto"/>
                <w:kern w:val="0"/>
                <w:sz w:val="24"/>
                <w:szCs w:val="24"/>
                <w:lang w:val="en-US" w:eastAsia="zh-CN" w:bidi="ar"/>
              </w:rPr>
              <w:t>功山镇</w:t>
            </w:r>
            <w:r>
              <w:rPr>
                <w:rFonts w:hint="eastAsia" w:ascii="Times New Roman" w:hAnsi="Times New Roman" w:cs="Times New Roman"/>
                <w:color w:val="auto"/>
                <w:sz w:val="24"/>
                <w:szCs w:val="24"/>
                <w:highlight w:val="none"/>
                <w:shd w:val="clear" w:color="auto" w:fill="auto"/>
                <w:lang w:val="en-US" w:eastAsia="zh-CN"/>
              </w:rPr>
              <w:t>境内</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highlight w:val="none"/>
                <w:shd w:val="clear" w:color="auto" w:fill="auto"/>
                <w:lang w:val="en-US" w:eastAsia="zh-CN"/>
              </w:rPr>
              <w:t>中心坐标</w:t>
            </w:r>
            <w:r>
              <w:rPr>
                <w:rFonts w:hint="eastAsia"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东经</w:t>
            </w:r>
            <w:r>
              <w:rPr>
                <w:rFonts w:hint="eastAsia"/>
                <w:color w:val="auto"/>
                <w:sz w:val="24"/>
                <w:szCs w:val="24"/>
                <w:highlight w:val="none"/>
                <w:shd w:val="clear" w:color="auto" w:fill="auto"/>
                <w:lang w:val="en-US" w:eastAsia="zh-CN"/>
              </w:rPr>
              <w:t>103°22′</w:t>
            </w:r>
            <w:r>
              <w:rPr>
                <w:rFonts w:hint="eastAsia" w:ascii="Times New Roman" w:hAnsi="Times New Roman" w:cs="Times New Roman"/>
                <w:color w:val="auto"/>
                <w:sz w:val="24"/>
                <w:szCs w:val="24"/>
                <w:highlight w:val="none"/>
                <w:shd w:val="clear" w:color="auto" w:fill="auto"/>
                <w:lang w:val="en-US" w:eastAsia="zh-CN"/>
              </w:rPr>
              <w:t>30.825</w:t>
            </w:r>
            <w:r>
              <w:rPr>
                <w:rFonts w:hint="eastAsia"/>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25°48′</w:t>
            </w:r>
            <w:r>
              <w:rPr>
                <w:rFonts w:hint="eastAsia" w:ascii="Times New Roman" w:hAnsi="Times New Roman" w:cs="Times New Roman"/>
                <w:color w:val="auto"/>
                <w:sz w:val="24"/>
                <w:szCs w:val="24"/>
                <w:highlight w:val="none"/>
                <w:shd w:val="clear" w:color="auto" w:fill="auto"/>
                <w:lang w:val="en-US" w:eastAsia="zh-CN"/>
              </w:rPr>
              <w:t>22.44</w:t>
            </w:r>
            <w:r>
              <w:rPr>
                <w:rFonts w:hint="eastAsia" w:cs="Times New Roman"/>
                <w:color w:val="auto"/>
                <w:sz w:val="24"/>
                <w:szCs w:val="24"/>
                <w:highlight w:val="none"/>
                <w:shd w:val="clear" w:color="auto" w:fill="auto"/>
                <w:lang w:val="en-US" w:eastAsia="zh-CN"/>
              </w:rPr>
              <w:t>9</w:t>
            </w:r>
            <w:r>
              <w:rPr>
                <w:rFonts w:hint="eastAsia"/>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lang w:val="en-US" w:eastAsia="zh-CN"/>
              </w:rPr>
              <w:t>海拔介于</w:t>
            </w:r>
            <w:r>
              <w:rPr>
                <w:rFonts w:hint="default" w:ascii="Times New Roman" w:hAnsi="Times New Roman" w:eastAsia="宋体" w:cs="Times New Roman"/>
                <w:color w:val="auto"/>
                <w:sz w:val="24"/>
                <w:szCs w:val="24"/>
                <w:lang w:val="en-US" w:eastAsia="zh-CN"/>
              </w:rPr>
              <w:t>2080-2180m</w:t>
            </w:r>
            <w:r>
              <w:rPr>
                <w:rFonts w:hint="eastAsia" w:ascii="Times New Roman" w:hAnsi="Times New Roman" w:eastAsia="宋体" w:cs="Times New Roman"/>
                <w:color w:val="auto"/>
                <w:sz w:val="24"/>
                <w:szCs w:val="24"/>
                <w:lang w:val="en-US" w:eastAsia="zh-CN"/>
              </w:rPr>
              <w:t>之间。场址中心与寻甸县县城直线距离约</w:t>
            </w:r>
            <w:r>
              <w:rPr>
                <w:rFonts w:hint="default" w:ascii="Times New Roman" w:hAnsi="Times New Roman" w:eastAsia="宋体" w:cs="Times New Roman"/>
                <w:color w:val="auto"/>
                <w:sz w:val="24"/>
                <w:szCs w:val="24"/>
                <w:lang w:val="en-US" w:eastAsia="zh-CN"/>
              </w:rPr>
              <w:t>36km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昆明市—寻甸县公路里程约95km，为杭瑞高速和银昆高速。寻甸县—河口镇公路里程约19km，为八五县道。河口镇—场址，公路里程约15km，为县白线及村村通公路。场址进场道路总体条件较好</w:t>
            </w:r>
            <w:r>
              <w:rPr>
                <w:rFonts w:hint="eastAsia" w:cs="Times New Roman"/>
                <w:color w:val="auto"/>
                <w:sz w:val="24"/>
                <w:szCs w:val="24"/>
                <w:lang w:val="en-US" w:eastAsia="zh-CN"/>
              </w:rPr>
              <w:t>。</w:t>
            </w:r>
          </w:p>
          <w:p w14:paraId="6DFA9710">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default"/>
                <w:color w:val="auto"/>
                <w:sz w:val="24"/>
                <w:highlight w:val="none"/>
                <w:shd w:val="clear" w:color="auto" w:fill="auto"/>
              </w:rPr>
              <w:t>项目地理位置</w:t>
            </w:r>
            <w:r>
              <w:rPr>
                <w:rFonts w:hint="eastAsia"/>
                <w:color w:val="auto"/>
                <w:sz w:val="24"/>
                <w:highlight w:val="none"/>
                <w:shd w:val="clear" w:color="auto" w:fill="auto"/>
              </w:rPr>
              <w:t>图详</w:t>
            </w:r>
            <w:r>
              <w:rPr>
                <w:rFonts w:hint="default"/>
                <w:color w:val="auto"/>
                <w:sz w:val="24"/>
                <w:highlight w:val="none"/>
                <w:shd w:val="clear" w:color="auto" w:fill="auto"/>
              </w:rPr>
              <w:t>见附图1。</w:t>
            </w:r>
          </w:p>
        </w:tc>
      </w:tr>
      <w:tr w14:paraId="18940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Align w:val="center"/>
          </w:tcPr>
          <w:p w14:paraId="09031C99">
            <w:pPr>
              <w:keepNext w:val="0"/>
              <w:keepLines w:val="0"/>
              <w:suppressLineNumbers w:val="0"/>
              <w:shd w:val="clear"/>
              <w:adjustRightInd w:val="0"/>
              <w:snapToGrid w:val="0"/>
              <w:spacing w:before="0" w:beforeAutospacing="0" w:after="0" w:afterAutospacing="0"/>
              <w:ind w:left="0" w:right="0"/>
              <w:jc w:val="center"/>
              <w:rPr>
                <w:rFonts w:hint="default"/>
                <w:color w:val="auto"/>
                <w:kern w:val="0"/>
                <w:szCs w:val="21"/>
                <w:highlight w:val="none"/>
                <w:shd w:val="clear" w:color="auto" w:fill="auto"/>
              </w:rPr>
            </w:pPr>
            <w:r>
              <w:rPr>
                <w:rFonts w:hint="default"/>
                <w:color w:val="auto"/>
                <w:kern w:val="0"/>
                <w:sz w:val="24"/>
                <w:highlight w:val="none"/>
                <w:shd w:val="clear" w:color="auto" w:fill="auto"/>
              </w:rPr>
              <w:t>项目组成及规模</w:t>
            </w:r>
          </w:p>
        </w:tc>
        <w:tc>
          <w:tcPr>
            <w:tcW w:w="4551" w:type="pct"/>
            <w:vAlign w:val="center"/>
          </w:tcPr>
          <w:p w14:paraId="2038529C">
            <w:pPr>
              <w:keepNext w:val="0"/>
              <w:keepLines w:val="0"/>
              <w:suppressLineNumbers w:val="0"/>
              <w:shd w:val="clear"/>
              <w:adjustRightInd w:val="0"/>
              <w:snapToGrid w:val="0"/>
              <w:spacing w:before="0" w:beforeAutospacing="0" w:after="0" w:afterAutospacing="0" w:line="360" w:lineRule="auto"/>
              <w:ind w:left="0" w:right="0"/>
              <w:jc w:val="left"/>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一、项目概况</w:t>
            </w:r>
          </w:p>
          <w:p w14:paraId="427D8C8C">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1、</w:t>
            </w:r>
            <w:r>
              <w:rPr>
                <w:rFonts w:hint="eastAsia"/>
                <w:b/>
                <w:bCs/>
                <w:color w:val="auto"/>
                <w:kern w:val="0"/>
                <w:sz w:val="24"/>
                <w:highlight w:val="none"/>
                <w:shd w:val="clear" w:color="auto" w:fill="auto"/>
                <w:lang w:val="en-US" w:eastAsia="zh-CN"/>
              </w:rPr>
              <w:t>建设内容及</w:t>
            </w:r>
            <w:r>
              <w:rPr>
                <w:rFonts w:hint="default"/>
                <w:b/>
                <w:bCs/>
                <w:color w:val="auto"/>
                <w:kern w:val="0"/>
                <w:sz w:val="24"/>
                <w:highlight w:val="none"/>
                <w:shd w:val="clear" w:color="auto" w:fill="auto"/>
              </w:rPr>
              <w:t>规模</w:t>
            </w:r>
          </w:p>
          <w:p w14:paraId="07CC6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工程额定容量45MW，实际直流侧安装容量57.72442MWp。共由</w:t>
            </w:r>
            <w:r>
              <w:rPr>
                <w:rFonts w:hint="eastAsia"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个光伏子方阵组成，采用97838块</w:t>
            </w:r>
            <w:r>
              <w:rPr>
                <w:rFonts w:hint="eastAsia" w:cs="Times New Roman"/>
                <w:color w:val="auto"/>
                <w:sz w:val="24"/>
                <w:szCs w:val="24"/>
                <w:lang w:val="en-US" w:eastAsia="zh-CN"/>
              </w:rPr>
              <w:t>590</w:t>
            </w:r>
            <w:r>
              <w:rPr>
                <w:rFonts w:hint="default" w:ascii="Times New Roman" w:hAnsi="Times New Roman" w:eastAsia="宋体" w:cs="Times New Roman"/>
                <w:color w:val="auto"/>
                <w:sz w:val="24"/>
                <w:szCs w:val="24"/>
                <w:lang w:val="en-US" w:eastAsia="zh-CN"/>
              </w:rPr>
              <w:t>Wp</w:t>
            </w:r>
            <w:r>
              <w:rPr>
                <w:rFonts w:hint="eastAsia" w:ascii="Times New Roman" w:hAnsi="Times New Roman" w:eastAsia="宋体" w:cs="Times New Roman"/>
                <w:color w:val="auto"/>
                <w:sz w:val="24"/>
                <w:szCs w:val="24"/>
                <w:lang w:val="en-US" w:eastAsia="zh-CN"/>
              </w:rPr>
              <w:t>单晶硅</w:t>
            </w:r>
            <w:r>
              <w:rPr>
                <w:rFonts w:hint="default" w:ascii="Times New Roman" w:hAnsi="Times New Roman" w:eastAsia="宋体" w:cs="Times New Roman"/>
                <w:color w:val="auto"/>
                <w:sz w:val="24"/>
                <w:szCs w:val="24"/>
                <w:lang w:val="en-US" w:eastAsia="zh-CN"/>
              </w:rPr>
              <w:t>双面</w:t>
            </w:r>
            <w:r>
              <w:rPr>
                <w:rFonts w:hint="eastAsia" w:ascii="Times New Roman" w:hAnsi="Times New Roman" w:eastAsia="宋体" w:cs="Times New Roman"/>
                <w:color w:val="auto"/>
                <w:sz w:val="24"/>
                <w:szCs w:val="24"/>
                <w:lang w:val="en-US" w:eastAsia="zh-CN"/>
              </w:rPr>
              <w:t>光伏</w:t>
            </w:r>
            <w:r>
              <w:rPr>
                <w:rFonts w:hint="default" w:ascii="Times New Roman" w:hAnsi="Times New Roman" w:eastAsia="宋体" w:cs="Times New Roman"/>
                <w:color w:val="auto"/>
                <w:sz w:val="24"/>
                <w:szCs w:val="24"/>
                <w:lang w:val="en-US" w:eastAsia="zh-CN"/>
              </w:rPr>
              <w:t>组件、1</w:t>
            </w:r>
            <w:r>
              <w:rPr>
                <w:rFonts w:hint="eastAsia" w:ascii="Times New Roman" w:hAnsi="Times New Roman" w:eastAsia="宋体" w:cs="Times New Roman"/>
                <w:color w:val="auto"/>
                <w:sz w:val="24"/>
                <w:szCs w:val="24"/>
                <w:lang w:val="en-US" w:eastAsia="zh-CN"/>
              </w:rPr>
              <w:t>41</w:t>
            </w:r>
            <w:r>
              <w:rPr>
                <w:rFonts w:hint="default" w:ascii="Times New Roman" w:hAnsi="Times New Roman" w:eastAsia="宋体" w:cs="Times New Roman"/>
                <w:color w:val="auto"/>
                <w:sz w:val="24"/>
                <w:szCs w:val="24"/>
                <w:lang w:val="en-US" w:eastAsia="zh-CN"/>
              </w:rPr>
              <w:t>台3</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0kW的组串式逆变器、1</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台箱式变压器。</w:t>
            </w:r>
            <w:r>
              <w:rPr>
                <w:rFonts w:hint="default" w:ascii="Times New Roman" w:hAnsi="Times New Roman" w:eastAsia="宋体" w:cs="Times New Roman"/>
                <w:color w:val="auto"/>
                <w:sz w:val="24"/>
                <w:szCs w:val="24"/>
                <w:highlight w:val="none"/>
                <w:lang w:val="en-US" w:eastAsia="zh-CN"/>
              </w:rPr>
              <w:t>本光伏电站每个光伏子方阵经逆变升压后输出电压为35kV。每个光伏方阵电力经箱变升压至35kV后并联至35kV集电线路，通过</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回35kV集电线路汇集电力后输送至</w:t>
            </w:r>
            <w:r>
              <w:rPr>
                <w:rFonts w:hint="eastAsia" w:cs="Times New Roman"/>
                <w:color w:val="auto"/>
                <w:sz w:val="24"/>
                <w:szCs w:val="24"/>
                <w:highlight w:val="none"/>
                <w:lang w:val="en-US" w:eastAsia="zh-CN"/>
              </w:rPr>
              <w:t>依托的</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color w:val="auto"/>
                <w:sz w:val="24"/>
                <w:szCs w:val="24"/>
                <w:highlight w:val="none"/>
                <w:lang w:val="en-US" w:eastAsia="zh-CN"/>
              </w:rPr>
              <w:t>220</w:t>
            </w:r>
            <w:r>
              <w:rPr>
                <w:rFonts w:hint="default" w:ascii="Times New Roman" w:hAnsi="Times New Roman" w:eastAsia="宋体" w:cs="Times New Roman"/>
                <w:color w:val="auto"/>
                <w:sz w:val="24"/>
                <w:szCs w:val="24"/>
                <w:highlight w:val="none"/>
                <w:lang w:val="en-US" w:eastAsia="zh-CN"/>
              </w:rPr>
              <w:t>kV升压站</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lang w:val="en-US" w:eastAsia="zh-CN"/>
              </w:rPr>
              <w:t>项目建设用地距离升压站约</w:t>
            </w:r>
            <w:r>
              <w:rPr>
                <w:rFonts w:hint="eastAsia" w:cs="Times New Roman"/>
                <w:color w:val="auto"/>
                <w:sz w:val="24"/>
                <w:szCs w:val="24"/>
                <w:highlight w:val="none"/>
                <w:lang w:val="en-US" w:eastAsia="zh-CN"/>
              </w:rPr>
              <w:t>6.74</w:t>
            </w:r>
            <w:r>
              <w:rPr>
                <w:rFonts w:hint="default" w:ascii="Times New Roman" w:hAnsi="Times New Roman" w:eastAsia="宋体" w:cs="Times New Roman"/>
                <w:color w:val="auto"/>
                <w:sz w:val="24"/>
                <w:szCs w:val="24"/>
                <w:highlight w:val="none"/>
                <w:lang w:val="en-US" w:eastAsia="zh-CN"/>
              </w:rPr>
              <w:t>km。</w:t>
            </w:r>
          </w:p>
          <w:p w14:paraId="32068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auto"/>
                <w:sz w:val="24"/>
                <w:szCs w:val="24"/>
                <w:lang w:eastAsia="zh-CN"/>
              </w:rPr>
            </w:pPr>
            <w:r>
              <w:rPr>
                <w:rFonts w:hint="eastAsia" w:eastAsia="宋体"/>
                <w:b/>
                <w:bCs/>
                <w:color w:val="auto"/>
                <w:sz w:val="24"/>
                <w:szCs w:val="24"/>
                <w:lang w:val="en-US" w:eastAsia="zh-CN"/>
              </w:rPr>
              <w:t>因</w:t>
            </w:r>
            <w:r>
              <w:rPr>
                <w:rFonts w:hint="default" w:eastAsia="宋体"/>
                <w:b/>
                <w:bCs/>
                <w:color w:val="auto"/>
                <w:sz w:val="24"/>
                <w:szCs w:val="24"/>
                <w:lang w:val="en-US" w:eastAsia="zh-CN"/>
              </w:rPr>
              <w:t>35kV</w:t>
            </w:r>
            <w:r>
              <w:rPr>
                <w:rFonts w:hint="eastAsia"/>
                <w:b/>
                <w:bCs/>
                <w:color w:val="auto"/>
                <w:sz w:val="24"/>
                <w:szCs w:val="24"/>
                <w:lang w:val="en-US" w:eastAsia="zh-CN"/>
              </w:rPr>
              <w:t>架空集电线路按照</w:t>
            </w:r>
            <w:r>
              <w:rPr>
                <w:rFonts w:hint="eastAsia" w:eastAsia="宋体"/>
                <w:b/>
                <w:bCs/>
                <w:color w:val="auto"/>
                <w:sz w:val="24"/>
                <w:szCs w:val="24"/>
                <w:lang w:val="en-US" w:eastAsia="zh-CN"/>
              </w:rPr>
              <w:t>送出</w:t>
            </w:r>
            <w:r>
              <w:rPr>
                <w:rFonts w:hint="default" w:eastAsia="宋体"/>
                <w:b/>
                <w:bCs/>
                <w:color w:val="auto"/>
                <w:sz w:val="24"/>
                <w:szCs w:val="24"/>
                <w:lang w:val="en-US" w:eastAsia="zh-CN"/>
              </w:rPr>
              <w:t>线路</w:t>
            </w:r>
            <w:r>
              <w:rPr>
                <w:rFonts w:hint="eastAsia" w:eastAsia="宋体"/>
                <w:b/>
                <w:bCs/>
                <w:color w:val="auto"/>
                <w:sz w:val="24"/>
                <w:szCs w:val="24"/>
                <w:lang w:val="en-US" w:eastAsia="zh-CN"/>
              </w:rPr>
              <w:t>单独进行核准，</w:t>
            </w:r>
            <w:r>
              <w:rPr>
                <w:rFonts w:hint="eastAsia" w:eastAsia="宋体"/>
                <w:b/>
                <w:bCs/>
                <w:color w:val="auto"/>
                <w:sz w:val="24"/>
                <w:szCs w:val="24"/>
              </w:rPr>
              <w:t>本次评价不包含</w:t>
            </w:r>
            <w:r>
              <w:rPr>
                <w:rFonts w:hint="eastAsia" w:eastAsia="宋体"/>
                <w:b/>
                <w:bCs/>
                <w:color w:val="auto"/>
                <w:sz w:val="24"/>
                <w:szCs w:val="24"/>
                <w:lang w:val="en-US" w:eastAsia="zh-CN"/>
              </w:rPr>
              <w:t>35kV</w:t>
            </w:r>
            <w:r>
              <w:rPr>
                <w:rFonts w:hint="eastAsia"/>
                <w:b/>
                <w:bCs/>
                <w:color w:val="auto"/>
                <w:sz w:val="24"/>
                <w:szCs w:val="24"/>
              </w:rPr>
              <w:t>送出线路工程内容，建设单位在开展送出线路工程时另行办理相关环保手续</w:t>
            </w:r>
            <w:r>
              <w:rPr>
                <w:rFonts w:hint="eastAsia"/>
                <w:b/>
                <w:bCs/>
                <w:color w:val="auto"/>
                <w:sz w:val="24"/>
                <w:szCs w:val="24"/>
                <w:lang w:eastAsia="zh-CN"/>
              </w:rPr>
              <w:t>。</w:t>
            </w:r>
          </w:p>
          <w:p w14:paraId="56FA26D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本工程与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sz w:val="24"/>
                <w:szCs w:val="24"/>
                <w:lang w:val="en-US" w:eastAsia="zh-CN"/>
              </w:rPr>
              <w:t>、石崖光伏发电项目、梳山光伏发电项目和巨龙梁风电场扩建项目（为不同业主）</w:t>
            </w:r>
            <w:r>
              <w:rPr>
                <w:rFonts w:hint="eastAsia"/>
                <w:b w:val="0"/>
                <w:bCs w:val="0"/>
                <w:color w:val="auto"/>
                <w:kern w:val="0"/>
                <w:sz w:val="24"/>
                <w:highlight w:val="none"/>
                <w:shd w:val="clear" w:color="auto" w:fill="auto"/>
                <w:lang w:val="en-US" w:eastAsia="zh-CN"/>
              </w:rPr>
              <w:t>共用一座220kV升压站，220kV升压站纳入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中评价。</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olor w:val="auto"/>
                <w:sz w:val="24"/>
                <w:lang w:val="en-US" w:eastAsia="zh-CN"/>
              </w:rPr>
              <w:t>建设单位为</w:t>
            </w:r>
            <w:r>
              <w:rPr>
                <w:rFonts w:hint="eastAsia" w:ascii="Times New Roman" w:hAnsi="Times New Roman" w:cs="Times New Roman"/>
                <w:color w:val="auto"/>
                <w:sz w:val="24"/>
                <w:szCs w:val="24"/>
                <w:highlight w:val="none"/>
                <w:shd w:val="clear" w:color="auto" w:fill="auto"/>
                <w:lang w:val="en-US" w:eastAsia="zh-CN"/>
              </w:rPr>
              <w:t>寻甸县乾润新能源有限公司</w:t>
            </w:r>
            <w:r>
              <w:rPr>
                <w:rFonts w:hint="eastAsia"/>
                <w:color w:val="auto"/>
                <w:sz w:val="24"/>
                <w:lang w:val="en-US" w:eastAsia="zh-CN"/>
              </w:rPr>
              <w:t>，与本项目为同一建设单位。</w:t>
            </w:r>
          </w:p>
          <w:p w14:paraId="2F1A5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宋体" w:hAnsi="宋体" w:eastAsia="宋体" w:cs="宋体"/>
                <w:b/>
                <w:bCs/>
                <w:color w:val="auto"/>
                <w:kern w:val="0"/>
                <w:sz w:val="24"/>
                <w:szCs w:val="24"/>
                <w:highlight w:val="none"/>
                <w:shd w:val="clear" w:color="auto" w:fill="auto"/>
                <w:lang w:val="en-US" w:eastAsia="zh-CN" w:bidi="ar"/>
              </w:rPr>
              <w:t>同时</w:t>
            </w:r>
            <w:r>
              <w:rPr>
                <w:rFonts w:hint="eastAsia" w:ascii="宋体" w:hAnsi="宋体" w:cs="宋体"/>
                <w:b/>
                <w:bCs/>
                <w:color w:val="auto"/>
                <w:kern w:val="0"/>
                <w:sz w:val="24"/>
                <w:szCs w:val="24"/>
                <w:highlight w:val="none"/>
                <w:shd w:val="clear" w:color="auto" w:fill="auto"/>
                <w:lang w:val="en-US" w:eastAsia="zh-CN" w:bidi="ar"/>
              </w:rPr>
              <w:t>场区道路</w:t>
            </w:r>
            <w:r>
              <w:rPr>
                <w:rFonts w:hint="eastAsia" w:ascii="宋体" w:hAnsi="宋体" w:eastAsia="宋体" w:cs="宋体"/>
                <w:b/>
                <w:bCs/>
                <w:color w:val="auto"/>
                <w:kern w:val="0"/>
                <w:sz w:val="24"/>
                <w:szCs w:val="24"/>
                <w:highlight w:val="none"/>
                <w:shd w:val="clear" w:color="auto" w:fill="auto"/>
                <w:lang w:val="en-US" w:eastAsia="zh-CN" w:bidi="ar"/>
              </w:rPr>
              <w:t>以</w:t>
            </w:r>
            <w:r>
              <w:rPr>
                <w:rFonts w:hint="eastAsia" w:ascii="宋体" w:hAnsi="宋体" w:cs="宋体"/>
                <w:b/>
                <w:bCs/>
                <w:color w:val="auto"/>
                <w:kern w:val="0"/>
                <w:sz w:val="24"/>
                <w:szCs w:val="24"/>
                <w:highlight w:val="none"/>
                <w:shd w:val="clear" w:color="auto" w:fill="auto"/>
                <w:lang w:val="en-US" w:eastAsia="zh-CN" w:bidi="ar"/>
              </w:rPr>
              <w:t>防火通道用</w:t>
            </w:r>
            <w:r>
              <w:rPr>
                <w:rFonts w:hint="eastAsia" w:ascii="宋体" w:hAnsi="宋体" w:eastAsia="宋体" w:cs="宋体"/>
                <w:b/>
                <w:bCs/>
                <w:color w:val="auto"/>
                <w:kern w:val="0"/>
                <w:sz w:val="24"/>
                <w:szCs w:val="24"/>
                <w:highlight w:val="none"/>
                <w:shd w:val="clear" w:color="auto" w:fill="auto"/>
                <w:lang w:val="en-US" w:eastAsia="zh-CN" w:bidi="ar"/>
              </w:rPr>
              <w:t>地</w:t>
            </w:r>
            <w:r>
              <w:rPr>
                <w:rFonts w:hint="eastAsia" w:ascii="宋体" w:hAnsi="宋体" w:cs="宋体"/>
                <w:b/>
                <w:bCs/>
                <w:color w:val="auto"/>
                <w:kern w:val="0"/>
                <w:sz w:val="24"/>
                <w:szCs w:val="24"/>
                <w:highlight w:val="none"/>
                <w:shd w:val="clear" w:color="auto" w:fill="auto"/>
                <w:lang w:val="en-US" w:eastAsia="zh-CN" w:bidi="ar"/>
              </w:rPr>
              <w:t>单独</w:t>
            </w:r>
            <w:r>
              <w:rPr>
                <w:rFonts w:hint="eastAsia" w:ascii="宋体" w:hAnsi="宋体" w:eastAsia="宋体" w:cs="宋体"/>
                <w:b/>
                <w:bCs/>
                <w:color w:val="auto"/>
                <w:kern w:val="0"/>
                <w:sz w:val="24"/>
                <w:szCs w:val="24"/>
                <w:highlight w:val="none"/>
                <w:shd w:val="clear" w:color="auto" w:fill="auto"/>
                <w:lang w:val="en-US" w:eastAsia="zh-CN" w:bidi="ar"/>
              </w:rPr>
              <w:t>进行立项报批</w:t>
            </w:r>
            <w:r>
              <w:rPr>
                <w:rFonts w:hint="eastAsia" w:ascii="宋体" w:hAnsi="宋体" w:cs="宋体"/>
                <w:b/>
                <w:bCs/>
                <w:color w:val="auto"/>
                <w:kern w:val="0"/>
                <w:sz w:val="24"/>
                <w:szCs w:val="24"/>
                <w:highlight w:val="none"/>
                <w:shd w:val="clear" w:color="auto" w:fill="auto"/>
                <w:lang w:val="en-US" w:eastAsia="zh-CN" w:bidi="ar"/>
              </w:rPr>
              <w:t>，</w:t>
            </w:r>
            <w:r>
              <w:rPr>
                <w:rFonts w:hint="eastAsia" w:ascii="Times New Roman" w:hAnsi="Times New Roman" w:eastAsia="宋体" w:cs="Times New Roman"/>
                <w:b/>
                <w:bCs/>
                <w:color w:val="auto"/>
                <w:kern w:val="0"/>
                <w:sz w:val="24"/>
                <w:szCs w:val="24"/>
                <w:lang w:val="en-US" w:eastAsia="zh-CN"/>
              </w:rPr>
              <w:t>不在本次评价范围内</w:t>
            </w:r>
            <w:r>
              <w:rPr>
                <w:rFonts w:hint="eastAsia" w:ascii="宋体" w:hAnsi="宋体" w:cs="宋体"/>
                <w:b/>
                <w:bCs/>
                <w:color w:val="auto"/>
                <w:kern w:val="0"/>
                <w:sz w:val="24"/>
                <w:szCs w:val="24"/>
                <w:highlight w:val="none"/>
                <w:shd w:val="clear" w:color="auto" w:fill="auto"/>
                <w:lang w:val="en-US" w:eastAsia="zh-CN" w:bidi="ar"/>
              </w:rPr>
              <w:t>；此外</w:t>
            </w:r>
            <w:r>
              <w:rPr>
                <w:rFonts w:hint="eastAsia" w:ascii="Times New Roman" w:hAnsi="Times New Roman" w:eastAsia="宋体" w:cs="Times New Roman"/>
                <w:b/>
                <w:bCs/>
                <w:color w:val="auto"/>
                <w:kern w:val="0"/>
                <w:sz w:val="24"/>
                <w:szCs w:val="24"/>
                <w:lang w:val="en-US" w:eastAsia="zh-CN"/>
              </w:rPr>
              <w:t>项目采取的“</w:t>
            </w:r>
            <w:r>
              <w:rPr>
                <w:rFonts w:hint="eastAsia" w:cs="Times New Roman"/>
                <w:b/>
                <w:bCs/>
                <w:color w:val="auto"/>
                <w:kern w:val="0"/>
                <w:sz w:val="24"/>
                <w:szCs w:val="24"/>
                <w:lang w:val="en-US" w:eastAsia="zh-CN"/>
              </w:rPr>
              <w:t>林</w:t>
            </w:r>
            <w:r>
              <w:rPr>
                <w:rFonts w:hint="eastAsia" w:ascii="Times New Roman" w:hAnsi="Times New Roman" w:eastAsia="宋体" w:cs="Times New Roman"/>
                <w:b/>
                <w:bCs/>
                <w:color w:val="auto"/>
                <w:kern w:val="0"/>
                <w:sz w:val="24"/>
                <w:szCs w:val="24"/>
                <w:lang w:val="en-US" w:eastAsia="zh-CN"/>
              </w:rPr>
              <w:t>光互补”具体方案不在本次评价范围内。</w:t>
            </w:r>
          </w:p>
          <w:p w14:paraId="2A3B29D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lang w:val="en-US" w:eastAsia="zh-CN"/>
              </w:rPr>
            </w:pPr>
            <w:r>
              <w:rPr>
                <w:rFonts w:hint="eastAsia"/>
                <w:b/>
                <w:bCs/>
                <w:color w:val="auto"/>
                <w:kern w:val="0"/>
                <w:sz w:val="24"/>
                <w:highlight w:val="none"/>
                <w:shd w:val="clear" w:color="auto" w:fill="auto"/>
                <w:lang w:val="en-US" w:eastAsia="zh-CN"/>
              </w:rPr>
              <w:t>2、依托工程内容</w:t>
            </w:r>
          </w:p>
          <w:p w14:paraId="3411696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①升压站及输电线路依托情况</w:t>
            </w:r>
          </w:p>
          <w:p w14:paraId="41DDA07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val="0"/>
                <w:bCs w:val="0"/>
                <w:color w:val="auto"/>
                <w:kern w:val="0"/>
                <w:sz w:val="24"/>
                <w:szCs w:val="24"/>
                <w:highlight w:val="none"/>
                <w:lang w:val="en-US" w:eastAsia="zh-CN"/>
              </w:rPr>
            </w:pPr>
            <w:r>
              <w:rPr>
                <w:rFonts w:hint="eastAsia"/>
                <w:b w:val="0"/>
                <w:bCs w:val="0"/>
                <w:color w:val="auto"/>
                <w:kern w:val="0"/>
                <w:sz w:val="24"/>
                <w:highlight w:val="none"/>
                <w:shd w:val="clear" w:color="auto" w:fill="auto"/>
                <w:lang w:val="en-US" w:eastAsia="zh-CN"/>
              </w:rPr>
              <w:t>根据《国投寻甸白石岩光伏发电项目总体设计报告》，本工程接入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拟建设的220kV升压站。</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升压站配置一台容量为300MVA</w:t>
            </w:r>
            <w:r>
              <w:rPr>
                <w:rFonts w:hint="eastAsia" w:cs="Times New Roman"/>
                <w:b w:val="0"/>
                <w:bCs w:val="0"/>
                <w:color w:val="auto"/>
                <w:kern w:val="0"/>
                <w:sz w:val="24"/>
                <w:szCs w:val="24"/>
                <w:highlight w:val="none"/>
                <w:lang w:val="en-US" w:eastAsia="zh-CN"/>
              </w:rPr>
              <w:t>和1台容量为200MVA</w:t>
            </w:r>
            <w:r>
              <w:rPr>
                <w:rFonts w:hint="eastAsia"/>
                <w:b w:val="0"/>
                <w:bCs w:val="0"/>
                <w:color w:val="auto"/>
                <w:kern w:val="0"/>
                <w:sz w:val="24"/>
                <w:highlight w:val="none"/>
                <w:shd w:val="clear" w:color="auto" w:fill="auto"/>
                <w:lang w:val="en-US" w:eastAsia="zh-CN"/>
              </w:rPr>
              <w:t>的主变，已考虑</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sz w:val="24"/>
                <w:szCs w:val="24"/>
                <w:lang w:val="en-US" w:eastAsia="zh-CN"/>
              </w:rPr>
              <w:t>300MW、石崖光伏发电项目</w:t>
            </w:r>
            <w:r>
              <w:rPr>
                <w:rFonts w:hint="eastAsia"/>
                <w:b w:val="0"/>
                <w:bCs w:val="0"/>
                <w:color w:val="auto"/>
                <w:kern w:val="0"/>
                <w:sz w:val="24"/>
                <w:highlight w:val="none"/>
                <w:shd w:val="clear" w:color="auto" w:fill="auto"/>
                <w:lang w:val="en-US" w:eastAsia="zh-CN"/>
              </w:rPr>
              <w:t>100</w:t>
            </w:r>
            <w:r>
              <w:rPr>
                <w:rFonts w:hint="eastAsia"/>
                <w:b w:val="0"/>
                <w:bCs w:val="0"/>
                <w:color w:val="auto"/>
                <w:kern w:val="0"/>
                <w:sz w:val="24"/>
                <w:highlight w:val="none"/>
                <w:shd w:val="clear" w:color="auto" w:fill="auto"/>
              </w:rPr>
              <w:t>MW</w:t>
            </w:r>
            <w:r>
              <w:rPr>
                <w:rFonts w:hint="eastAsia"/>
                <w:b w:val="0"/>
                <w:bCs w:val="0"/>
                <w:color w:val="auto"/>
                <w:kern w:val="0"/>
                <w:sz w:val="24"/>
                <w:highlight w:val="none"/>
                <w:shd w:val="clear" w:color="auto" w:fill="auto"/>
                <w:lang w:eastAsia="zh-CN"/>
              </w:rPr>
              <w:t>、</w:t>
            </w:r>
            <w:r>
              <w:rPr>
                <w:rFonts w:hint="eastAsia" w:cs="Times New Roman"/>
                <w:b w:val="0"/>
                <w:bCs w:val="0"/>
                <w:color w:val="auto"/>
                <w:sz w:val="24"/>
                <w:szCs w:val="24"/>
                <w:lang w:val="en-US" w:eastAsia="zh-CN"/>
              </w:rPr>
              <w:t>梳山光伏发电项目50</w:t>
            </w:r>
            <w:r>
              <w:rPr>
                <w:rFonts w:hint="eastAsia"/>
                <w:b w:val="0"/>
                <w:bCs w:val="0"/>
                <w:color w:val="auto"/>
                <w:kern w:val="0"/>
                <w:sz w:val="24"/>
                <w:highlight w:val="none"/>
                <w:shd w:val="clear" w:color="auto" w:fill="auto"/>
              </w:rPr>
              <w:t>MW</w:t>
            </w:r>
            <w:r>
              <w:rPr>
                <w:rFonts w:hint="eastAsia"/>
                <w:b w:val="0"/>
                <w:bCs w:val="0"/>
                <w:color w:val="auto"/>
                <w:kern w:val="0"/>
                <w:sz w:val="24"/>
                <w:highlight w:val="none"/>
                <w:shd w:val="clear" w:color="auto" w:fill="auto"/>
                <w:lang w:eastAsia="zh-CN"/>
              </w:rPr>
              <w:t>、巨龙梁风电场扩建项目（124MW，为不同业主）</w:t>
            </w:r>
            <w:r>
              <w:rPr>
                <w:rFonts w:hint="eastAsia"/>
                <w:b w:val="0"/>
                <w:bCs w:val="0"/>
                <w:color w:val="auto"/>
                <w:kern w:val="0"/>
                <w:sz w:val="24"/>
                <w:highlight w:val="none"/>
                <w:shd w:val="clear" w:color="auto" w:fill="auto"/>
                <w:lang w:val="en-US" w:eastAsia="zh-CN"/>
              </w:rPr>
              <w:t>和本项目45MW容量，并预留扩建间隔位置；35kV侧采用单母线接线。220kV升压站在</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建设时同步建成。</w:t>
            </w:r>
          </w:p>
          <w:p w14:paraId="5A3409A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cs="Times New Roman"/>
                <w:b w:val="0"/>
                <w:bCs w:val="0"/>
                <w:color w:val="auto"/>
                <w:kern w:val="0"/>
                <w:sz w:val="24"/>
                <w:szCs w:val="24"/>
                <w:highlight w:val="none"/>
                <w:lang w:val="en-US" w:eastAsia="zh-CN"/>
              </w:rPr>
              <w:t>目前</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sz w:val="24"/>
                <w:szCs w:val="24"/>
                <w:lang w:val="en-US" w:eastAsia="zh-CN"/>
              </w:rPr>
              <w:t>与本项目同步进行</w:t>
            </w:r>
            <w:r>
              <w:rPr>
                <w:rFonts w:hint="eastAsia"/>
                <w:color w:val="auto"/>
                <w:sz w:val="24"/>
                <w:szCs w:val="24"/>
                <w:highlight w:val="none"/>
                <w:lang w:val="en-US" w:eastAsia="zh-CN"/>
              </w:rPr>
              <w:t>环境影响评价报告编制，计划与本项目同期建成。</w:t>
            </w:r>
            <w:r>
              <w:rPr>
                <w:rFonts w:hint="eastAsia"/>
                <w:b/>
                <w:bCs/>
                <w:color w:val="auto"/>
                <w:sz w:val="24"/>
                <w:szCs w:val="24"/>
                <w:highlight w:val="none"/>
                <w:lang w:val="en-US" w:eastAsia="zh-CN"/>
              </w:rPr>
              <w:t>本环评要求建设单位，在场内道路、35kV线路和升压站未建成前，本项目不得投入使用</w:t>
            </w:r>
            <w:r>
              <w:rPr>
                <w:rFonts w:hint="eastAsia" w:ascii="Times New Roman" w:hAnsi="Times New Roman" w:eastAsia="宋体" w:cs="Times New Roman"/>
                <w:b/>
                <w:bCs/>
                <w:color w:val="auto"/>
                <w:kern w:val="0"/>
                <w:sz w:val="24"/>
                <w:szCs w:val="24"/>
                <w:highlight w:val="none"/>
                <w:lang w:val="en-US" w:eastAsia="zh-CN"/>
              </w:rPr>
              <w:t>。</w:t>
            </w:r>
          </w:p>
          <w:p w14:paraId="1333C5C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②办公生活区依托情况</w:t>
            </w:r>
          </w:p>
          <w:p w14:paraId="0E1B217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根据《国投寻甸白石岩光伏发电项目总体设计报告》可知，升压站生活区、办公楼等皆纳入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中评价。本项目</w:t>
            </w:r>
            <w:r>
              <w:rPr>
                <w:rFonts w:hint="eastAsia" w:cs="Times New Roman"/>
                <w:b w:val="0"/>
                <w:bCs w:val="0"/>
                <w:color w:val="auto"/>
                <w:kern w:val="0"/>
                <w:sz w:val="24"/>
                <w:szCs w:val="24"/>
                <w:lang w:val="en-US" w:eastAsia="zh-CN"/>
              </w:rPr>
              <w:t>运维管理统筹考虑，劳动定员统一纳入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，故项目运营期产生的生活污水和固废全部纳入</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环保设施进行处理。</w:t>
            </w:r>
          </w:p>
          <w:p w14:paraId="41EFB1C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③固废暂存与处置情况</w:t>
            </w:r>
          </w:p>
          <w:p w14:paraId="1F833C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生活垃圾、一般固废暂存间和危废贮存库依托</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b w:val="0"/>
                <w:bCs w:val="0"/>
                <w:color w:val="auto"/>
                <w:kern w:val="0"/>
                <w:sz w:val="24"/>
                <w:highlight w:val="none"/>
                <w:shd w:val="clear" w:color="auto" w:fill="auto"/>
                <w:lang w:val="en-US" w:eastAsia="zh-CN"/>
              </w:rPr>
              <w:t>，不再新增处理设施，生活垃圾统一收集后自行转运，一般固废</w:t>
            </w:r>
            <w:r>
              <w:rPr>
                <w:rFonts w:hint="eastAsia"/>
                <w:b w:val="0"/>
                <w:bCs w:val="0"/>
                <w:color w:val="auto"/>
                <w:kern w:val="0"/>
                <w:sz w:val="24"/>
                <w:highlight w:val="none"/>
                <w:shd w:val="clear" w:color="auto" w:fill="auto"/>
              </w:rPr>
              <w:t>及时委托专业的回收厂家收购回收处理，不得随意堆放处置</w:t>
            </w:r>
            <w:r>
              <w:rPr>
                <w:rFonts w:hint="eastAsia"/>
                <w:b w:val="0"/>
                <w:bCs w:val="0"/>
                <w:color w:val="auto"/>
                <w:kern w:val="0"/>
                <w:sz w:val="24"/>
                <w:highlight w:val="none"/>
                <w:shd w:val="clear" w:color="auto" w:fill="auto"/>
                <w:lang w:eastAsia="zh-CN"/>
              </w:rPr>
              <w:t>，</w:t>
            </w:r>
            <w:r>
              <w:rPr>
                <w:rFonts w:hint="eastAsia"/>
                <w:b w:val="0"/>
                <w:bCs w:val="0"/>
                <w:color w:val="auto"/>
                <w:kern w:val="0"/>
                <w:sz w:val="24"/>
                <w:highlight w:val="none"/>
                <w:shd w:val="clear" w:color="auto" w:fill="auto"/>
                <w:lang w:val="en-US" w:eastAsia="zh-CN"/>
              </w:rPr>
              <w:t>危险废物委托有资质单位清运处理。</w:t>
            </w:r>
          </w:p>
          <w:p w14:paraId="4F22D6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b/>
                <w:bCs/>
                <w:color w:val="auto"/>
                <w:kern w:val="0"/>
                <w:sz w:val="24"/>
                <w:szCs w:val="24"/>
                <w:highlight w:val="yellow"/>
                <w:lang w:val="en-US" w:eastAsia="zh-CN"/>
              </w:rPr>
            </w:pP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kern w:val="2"/>
                <w:sz w:val="24"/>
                <w:szCs w:val="24"/>
                <w:highlight w:val="none"/>
                <w:lang w:val="zh-CN" w:eastAsia="zh-CN" w:bidi="ar-SA"/>
              </w:rPr>
              <w:t>在</w:t>
            </w:r>
            <w:r>
              <w:rPr>
                <w:rFonts w:hint="eastAsia" w:cs="Times New Roman"/>
                <w:color w:val="auto"/>
                <w:kern w:val="2"/>
                <w:sz w:val="24"/>
                <w:szCs w:val="24"/>
                <w:highlight w:val="none"/>
                <w:lang w:val="en-US" w:eastAsia="zh-CN" w:bidi="ar-SA"/>
              </w:rPr>
              <w:t>升压站综合楼</w:t>
            </w:r>
            <w:r>
              <w:rPr>
                <w:rFonts w:hint="eastAsia" w:ascii="Times New Roman" w:hAnsi="Times New Roman" w:eastAsia="宋体" w:cs="Times New Roman"/>
                <w:color w:val="auto"/>
                <w:kern w:val="2"/>
                <w:sz w:val="24"/>
                <w:szCs w:val="24"/>
                <w:highlight w:val="none"/>
                <w:lang w:val="zh-CN" w:eastAsia="zh-CN" w:bidi="ar-SA"/>
              </w:rPr>
              <w:t>内设置</w:t>
            </w:r>
            <w:r>
              <w:rPr>
                <w:rFonts w:hint="eastAsia" w:ascii="Times New Roman" w:hAnsi="Times New Roman" w:eastAsia="宋体" w:cs="Times New Roman"/>
                <w:color w:val="auto"/>
                <w:kern w:val="2"/>
                <w:sz w:val="24"/>
                <w:szCs w:val="24"/>
                <w:highlight w:val="none"/>
                <w:lang w:val="en-US" w:eastAsia="zh-CN" w:bidi="ar-SA"/>
              </w:rPr>
              <w:t>1间</w:t>
            </w:r>
            <w:r>
              <w:rPr>
                <w:rFonts w:hint="eastAsia"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的一般工业固废暂存间，储存能力为10t，收集暂存</w:t>
            </w:r>
            <w:r>
              <w:rPr>
                <w:rFonts w:hint="default" w:ascii="Times New Roman" w:hAnsi="Times New Roman" w:eastAsia="宋体" w:cs="Times New Roman"/>
                <w:color w:val="auto"/>
                <w:kern w:val="2"/>
                <w:sz w:val="24"/>
                <w:szCs w:val="24"/>
                <w:highlight w:val="none"/>
                <w:lang w:val="en-US" w:eastAsia="zh-CN" w:bidi="ar-SA"/>
              </w:rPr>
              <w:t>废电池板</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rPr>
              <w:t>废</w:t>
            </w:r>
            <w:r>
              <w:rPr>
                <w:rFonts w:hint="eastAsia" w:cs="Times New Roman"/>
                <w:color w:val="auto"/>
                <w:kern w:val="0"/>
                <w:sz w:val="24"/>
                <w:szCs w:val="24"/>
                <w:highlight w:val="none"/>
                <w:lang w:val="en-US" w:eastAsia="zh-CN"/>
              </w:rPr>
              <w:t>电气元件</w:t>
            </w:r>
            <w:r>
              <w:rPr>
                <w:rFonts w:hint="eastAsia" w:ascii="Times New Roman" w:hAnsi="Times New Roman" w:eastAsia="宋体" w:cs="Times New Roman"/>
                <w:color w:val="auto"/>
                <w:kern w:val="2"/>
                <w:sz w:val="24"/>
                <w:szCs w:val="24"/>
                <w:highlight w:val="none"/>
                <w:lang w:val="en-US" w:eastAsia="zh-CN" w:bidi="ar-SA"/>
              </w:rPr>
              <w:t>，一般固废暂存间设计时已考虑本项目的储存容量，依托可行。</w:t>
            </w:r>
          </w:p>
          <w:p w14:paraId="1BA635C6">
            <w:pPr>
              <w:keepNext w:val="0"/>
              <w:keepLines w:val="0"/>
              <w:suppressLineNumbers w:val="0"/>
              <w:adjustRightInd w:val="0"/>
              <w:snapToGrid w:val="0"/>
              <w:spacing w:before="0" w:beforeAutospacing="0" w:after="0" w:afterAutospacing="0" w:line="360" w:lineRule="auto"/>
              <w:ind w:left="0" w:right="0" w:firstLine="480" w:firstLineChars="200"/>
              <w:rPr>
                <w:rFonts w:hint="eastAsia"/>
                <w:b/>
                <w:bCs/>
                <w:color w:val="auto"/>
                <w:kern w:val="0"/>
                <w:sz w:val="24"/>
                <w:highlight w:val="yellow"/>
                <w:shd w:val="clear" w:color="auto" w:fill="auto"/>
              </w:rPr>
            </w:pP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kern w:val="2"/>
                <w:sz w:val="24"/>
                <w:szCs w:val="24"/>
                <w:highlight w:val="none"/>
                <w:lang w:val="zh-CN" w:eastAsia="zh-CN" w:bidi="ar-SA"/>
              </w:rPr>
              <w:t>在</w:t>
            </w:r>
            <w:r>
              <w:rPr>
                <w:rFonts w:hint="eastAsia" w:cs="Times New Roman"/>
                <w:color w:val="auto"/>
                <w:kern w:val="2"/>
                <w:sz w:val="24"/>
                <w:szCs w:val="24"/>
                <w:highlight w:val="none"/>
                <w:lang w:val="en-US" w:eastAsia="zh-CN" w:bidi="ar-SA"/>
              </w:rPr>
              <w:t>升压站内西部</w:t>
            </w:r>
            <w:r>
              <w:rPr>
                <w:rFonts w:hint="eastAsia" w:ascii="Times New Roman" w:hAnsi="Times New Roman" w:eastAsia="宋体" w:cs="Times New Roman"/>
                <w:color w:val="auto"/>
                <w:kern w:val="2"/>
                <w:sz w:val="24"/>
                <w:szCs w:val="24"/>
                <w:highlight w:val="none"/>
                <w:lang w:val="zh-CN" w:eastAsia="zh-CN" w:bidi="ar-SA"/>
              </w:rPr>
              <w:t>设置</w:t>
            </w:r>
            <w:r>
              <w:rPr>
                <w:rFonts w:hint="eastAsia" w:cs="宋体"/>
                <w:bCs/>
                <w:color w:val="auto"/>
                <w:sz w:val="24"/>
                <w:szCs w:val="24"/>
                <w:highlight w:val="none"/>
              </w:rPr>
              <w:t>1间</w:t>
            </w:r>
            <w:r>
              <w:rPr>
                <w:rFonts w:hint="eastAsia" w:cs="宋体"/>
                <w:bCs/>
                <w:color w:val="auto"/>
                <w:sz w:val="24"/>
                <w:szCs w:val="24"/>
                <w:highlight w:val="none"/>
                <w:lang w:val="en-US" w:eastAsia="zh-CN"/>
              </w:rPr>
              <w:t>42.25</w:t>
            </w:r>
            <w:r>
              <w:rPr>
                <w:rFonts w:hint="eastAsia" w:cs="宋体"/>
                <w:bCs/>
                <w:color w:val="auto"/>
                <w:sz w:val="24"/>
                <w:szCs w:val="24"/>
                <w:highlight w:val="none"/>
              </w:rPr>
              <w:t>m</w:t>
            </w:r>
            <w:r>
              <w:rPr>
                <w:rFonts w:hint="eastAsia" w:cs="宋体"/>
                <w:bCs/>
                <w:color w:val="auto"/>
                <w:sz w:val="24"/>
                <w:szCs w:val="24"/>
                <w:highlight w:val="none"/>
                <w:vertAlign w:val="superscript"/>
              </w:rPr>
              <w:t>2</w:t>
            </w:r>
            <w:r>
              <w:rPr>
                <w:rFonts w:hint="eastAsia" w:cs="宋体"/>
                <w:bCs/>
                <w:color w:val="auto"/>
                <w:sz w:val="24"/>
                <w:szCs w:val="24"/>
                <w:highlight w:val="none"/>
                <w:lang w:val="en-US" w:eastAsia="zh-CN"/>
              </w:rPr>
              <w:t>危废贮存库</w:t>
            </w:r>
            <w:r>
              <w:rPr>
                <w:rFonts w:hint="eastAsia" w:cs="宋体"/>
                <w:bCs/>
                <w:color w:val="auto"/>
                <w:sz w:val="24"/>
                <w:szCs w:val="24"/>
                <w:highlight w:val="none"/>
              </w:rPr>
              <w:t>，</w:t>
            </w:r>
            <w:r>
              <w:rPr>
                <w:rFonts w:hint="eastAsia" w:ascii="Times New Roman" w:hAnsi="Times New Roman" w:eastAsia="宋体" w:cs="Times New Roman"/>
                <w:color w:val="auto"/>
                <w:kern w:val="0"/>
                <w:sz w:val="24"/>
                <w:szCs w:val="24"/>
                <w:highlight w:val="none"/>
                <w:lang w:val="en-US" w:eastAsia="zh-CN"/>
              </w:rPr>
              <w:t>收集暂存本项目</w:t>
            </w:r>
            <w:r>
              <w:rPr>
                <w:rFonts w:hint="eastAsia" w:cs="Times New Roman"/>
                <w:color w:val="auto"/>
                <w:kern w:val="0"/>
                <w:sz w:val="24"/>
                <w:szCs w:val="24"/>
                <w:highlight w:val="none"/>
                <w:lang w:val="en-US" w:eastAsia="zh-CN"/>
              </w:rPr>
              <w:t>、</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cs="Times New Roman"/>
                <w:b w:val="0"/>
                <w:bCs w:val="0"/>
                <w:color w:val="auto"/>
                <w:sz w:val="24"/>
                <w:szCs w:val="24"/>
                <w:highlight w:val="none"/>
                <w:lang w:val="en-US" w:eastAsia="zh-CN"/>
              </w:rPr>
              <w:t>、石崖光伏发电项目</w:t>
            </w:r>
            <w:r>
              <w:rPr>
                <w:rFonts w:hint="eastAsia"/>
                <w:b w:val="0"/>
                <w:bCs w:val="0"/>
                <w:color w:val="auto"/>
                <w:kern w:val="0"/>
                <w:sz w:val="24"/>
                <w:highlight w:val="none"/>
                <w:shd w:val="clear" w:color="auto" w:fill="auto"/>
                <w:lang w:eastAsia="zh-CN"/>
              </w:rPr>
              <w:t>、</w:t>
            </w:r>
            <w:r>
              <w:rPr>
                <w:rFonts w:hint="eastAsia" w:cs="Times New Roman"/>
                <w:b w:val="0"/>
                <w:bCs w:val="0"/>
                <w:color w:val="auto"/>
                <w:sz w:val="24"/>
                <w:szCs w:val="24"/>
                <w:highlight w:val="none"/>
                <w:lang w:val="en-US" w:eastAsia="zh-CN"/>
              </w:rPr>
              <w:t>梳山光伏发电项目</w:t>
            </w:r>
            <w:r>
              <w:rPr>
                <w:rFonts w:hint="eastAsia" w:ascii="Times New Roman" w:hAnsi="Times New Roman" w:eastAsia="宋体" w:cs="Times New Roman"/>
                <w:color w:val="auto"/>
                <w:kern w:val="0"/>
                <w:sz w:val="24"/>
                <w:szCs w:val="24"/>
                <w:highlight w:val="none"/>
                <w:lang w:val="en-US" w:eastAsia="zh-CN"/>
              </w:rPr>
              <w:t>产生的</w:t>
            </w:r>
            <w:r>
              <w:rPr>
                <w:rFonts w:hint="default" w:eastAsia="宋体"/>
                <w:color w:val="auto"/>
                <w:kern w:val="0"/>
                <w:sz w:val="24"/>
                <w:szCs w:val="24"/>
                <w:highlight w:val="none"/>
              </w:rPr>
              <w:t>废变压器油</w:t>
            </w:r>
            <w:r>
              <w:rPr>
                <w:rFonts w:hint="eastAsia"/>
                <w:color w:val="auto"/>
                <w:kern w:val="0"/>
                <w:sz w:val="24"/>
                <w:szCs w:val="24"/>
                <w:highlight w:val="none"/>
                <w:lang w:val="en-US" w:eastAsia="zh-CN"/>
              </w:rPr>
              <w:t>和</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b w:val="0"/>
                <w:bCs w:val="0"/>
                <w:color w:val="auto"/>
                <w:sz w:val="24"/>
                <w:szCs w:val="24"/>
                <w:highlight w:val="none"/>
                <w:lang w:val="en-US" w:eastAsia="zh-CN"/>
              </w:rPr>
              <w:t>升压站产生的</w:t>
            </w:r>
            <w:r>
              <w:rPr>
                <w:rFonts w:hint="default" w:eastAsia="宋体"/>
                <w:color w:val="auto"/>
                <w:kern w:val="0"/>
                <w:sz w:val="24"/>
                <w:szCs w:val="24"/>
                <w:highlight w:val="none"/>
              </w:rPr>
              <w:t>废铅蓄电池</w:t>
            </w:r>
            <w:r>
              <w:rPr>
                <w:rFonts w:hint="eastAsia" w:cs="宋体"/>
                <w:bCs/>
                <w:color w:val="auto"/>
                <w:sz w:val="24"/>
                <w:szCs w:val="24"/>
                <w:highlight w:val="none"/>
                <w:lang w:eastAsia="zh-CN"/>
              </w:rPr>
              <w:t>，</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废铅酸蓄电池所需容积约为1.16m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，四个项目变压器废油总容积约24.5m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，合计并取整后总容积约25.66m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（已按项目一年的最大同时产生量计，实际危险废物并不是同一时产生），变化系数取1.2的预留空间，计算得升压站危废贮存库容积应不小于30.79m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升压站拟设置的危废贮存库占地面积42.25m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（折算成可堆存容积43m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），可满足危险废物的暂存管理，</w:t>
            </w:r>
            <w:r>
              <w:rPr>
                <w:rFonts w:hint="eastAsia" w:ascii="Times New Roman" w:hAnsi="Times New Roman" w:eastAsia="宋体" w:cs="Times New Roman"/>
                <w:color w:val="auto"/>
                <w:kern w:val="2"/>
                <w:sz w:val="24"/>
                <w:szCs w:val="24"/>
                <w:highlight w:val="none"/>
                <w:lang w:val="en-US" w:eastAsia="zh-CN" w:bidi="ar-SA"/>
              </w:rPr>
              <w:t>依托可行</w:t>
            </w:r>
            <w:r>
              <w:rPr>
                <w:rFonts w:hint="eastAsia" w:ascii="Times New Roman" w:hAnsi="Times New Roman" w:eastAsia="宋体" w:cs="Times New Roman"/>
                <w:color w:val="auto"/>
                <w:sz w:val="24"/>
                <w:szCs w:val="24"/>
                <w:highlight w:val="none"/>
                <w:lang w:val="en-US" w:eastAsia="zh-CN"/>
              </w:rPr>
              <w:t>。</w:t>
            </w:r>
          </w:p>
          <w:p w14:paraId="7D82AC1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color w:val="auto"/>
                <w:sz w:val="24"/>
                <w:highlight w:val="none"/>
                <w:shd w:val="clear" w:color="auto" w:fill="auto"/>
              </w:rPr>
            </w:pPr>
            <w:r>
              <w:rPr>
                <w:rFonts w:hint="eastAsia"/>
                <w:b/>
                <w:bCs/>
                <w:color w:val="auto"/>
                <w:kern w:val="0"/>
                <w:sz w:val="24"/>
                <w:highlight w:val="none"/>
                <w:shd w:val="clear" w:color="auto" w:fill="auto"/>
              </w:rPr>
              <w:t>二、</w:t>
            </w:r>
            <w:r>
              <w:rPr>
                <w:rFonts w:hint="default"/>
                <w:b/>
                <w:bCs/>
                <w:color w:val="auto"/>
                <w:kern w:val="0"/>
                <w:sz w:val="24"/>
                <w:highlight w:val="none"/>
                <w:shd w:val="clear" w:color="auto" w:fill="auto"/>
              </w:rPr>
              <w:t>工程组成</w:t>
            </w:r>
          </w:p>
          <w:p w14:paraId="637DD4B7">
            <w:pPr>
              <w:keepNext w:val="0"/>
              <w:keepLines w:val="0"/>
              <w:suppressLineNumbers w:val="0"/>
              <w:shd w:val="clear"/>
              <w:adjustRightInd w:val="0"/>
              <w:snapToGrid w:val="0"/>
              <w:spacing w:before="0" w:beforeAutospacing="0" w:after="0" w:afterAutospacing="0" w:line="360" w:lineRule="auto"/>
              <w:ind w:left="0" w:right="0" w:firstLine="480"/>
              <w:rPr>
                <w:rFonts w:hint="eastAsia"/>
                <w:color w:val="auto"/>
                <w:sz w:val="24"/>
              </w:rPr>
            </w:pPr>
            <w:r>
              <w:rPr>
                <w:rFonts w:hint="eastAsia"/>
                <w:color w:val="auto"/>
                <w:sz w:val="24"/>
              </w:rPr>
              <w:t>项目</w:t>
            </w:r>
            <w:r>
              <w:rPr>
                <w:rFonts w:hint="eastAsia"/>
                <w:color w:val="auto"/>
                <w:sz w:val="24"/>
                <w:lang w:val="en-US" w:eastAsia="zh-CN"/>
              </w:rPr>
              <w:t>主要建设内容包括光伏阵列</w:t>
            </w:r>
            <w:r>
              <w:rPr>
                <w:rFonts w:hint="eastAsia"/>
                <w:color w:val="auto"/>
                <w:sz w:val="24"/>
              </w:rPr>
              <w:t>、逆变器及</w:t>
            </w:r>
            <w:r>
              <w:rPr>
                <w:rFonts w:hint="eastAsia"/>
                <w:color w:val="auto"/>
                <w:sz w:val="24"/>
                <w:lang w:val="en-US" w:eastAsia="zh-CN"/>
              </w:rPr>
              <w:t>箱式变压器及临时施工等设施</w:t>
            </w:r>
            <w:r>
              <w:rPr>
                <w:rFonts w:hint="eastAsia"/>
                <w:color w:val="auto"/>
                <w:sz w:val="24"/>
              </w:rPr>
              <w:t>。</w:t>
            </w:r>
          </w:p>
          <w:p w14:paraId="5FEA3F9F">
            <w:pPr>
              <w:keepNext w:val="0"/>
              <w:keepLines w:val="0"/>
              <w:suppressLineNumbers w:val="0"/>
              <w:shd w:val="clear"/>
              <w:adjustRightInd w:val="0"/>
              <w:snapToGrid w:val="0"/>
              <w:spacing w:before="0" w:beforeAutospacing="0" w:after="0" w:afterAutospacing="0" w:line="360" w:lineRule="auto"/>
              <w:ind w:left="0" w:right="0" w:firstLine="480"/>
              <w:rPr>
                <w:rFonts w:hint="default"/>
                <w:b/>
                <w:color w:val="auto"/>
                <w:kern w:val="0"/>
                <w:szCs w:val="21"/>
                <w:highlight w:val="none"/>
                <w:shd w:val="clear" w:color="auto" w:fill="auto"/>
              </w:rPr>
            </w:pPr>
            <w:r>
              <w:rPr>
                <w:rFonts w:hint="eastAsia"/>
                <w:color w:val="auto"/>
                <w:sz w:val="24"/>
                <w:highlight w:val="none"/>
                <w:shd w:val="clear" w:color="auto" w:fill="auto"/>
              </w:rPr>
              <w:t>项目具体内容及组成见表2-1。</w:t>
            </w:r>
          </w:p>
          <w:p w14:paraId="008611C1">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eastAsia"/>
                <w:b/>
                <w:color w:val="auto"/>
                <w:kern w:val="0"/>
                <w:szCs w:val="21"/>
                <w:highlight w:val="none"/>
                <w:shd w:val="clear" w:color="auto" w:fill="auto"/>
              </w:rPr>
              <w:t>表2</w:t>
            </w:r>
            <w:r>
              <w:rPr>
                <w:rFonts w:hint="default"/>
                <w:b/>
                <w:color w:val="auto"/>
                <w:kern w:val="0"/>
                <w:szCs w:val="21"/>
                <w:highlight w:val="none"/>
                <w:shd w:val="clear" w:color="auto" w:fill="auto"/>
              </w:rPr>
              <w:t xml:space="preserve">-1 </w:t>
            </w:r>
            <w:r>
              <w:rPr>
                <w:rFonts w:hint="eastAsia"/>
                <w:b/>
                <w:color w:val="auto"/>
                <w:kern w:val="0"/>
                <w:szCs w:val="21"/>
                <w:highlight w:val="none"/>
                <w:shd w:val="clear" w:color="auto" w:fill="auto"/>
              </w:rPr>
              <w:t xml:space="preserve"> </w:t>
            </w:r>
            <w:r>
              <w:rPr>
                <w:rFonts w:hint="eastAsia"/>
                <w:b/>
                <w:color w:val="auto"/>
                <w:kern w:val="0"/>
                <w:szCs w:val="21"/>
              </w:rPr>
              <w:t>项目</w:t>
            </w:r>
            <w:r>
              <w:rPr>
                <w:rFonts w:hint="default"/>
                <w:b/>
                <w:color w:val="auto"/>
                <w:kern w:val="0"/>
                <w:szCs w:val="21"/>
              </w:rPr>
              <w:t>工程</w:t>
            </w:r>
            <w:r>
              <w:rPr>
                <w:rFonts w:hint="eastAsia"/>
                <w:b/>
                <w:color w:val="auto"/>
                <w:kern w:val="0"/>
                <w:szCs w:val="21"/>
              </w:rPr>
              <w:t>内容</w:t>
            </w:r>
            <w:r>
              <w:rPr>
                <w:rFonts w:hint="default"/>
                <w:b/>
                <w:color w:val="auto"/>
                <w:kern w:val="0"/>
                <w:szCs w:val="21"/>
              </w:rPr>
              <w:t>组成表</w:t>
            </w:r>
          </w:p>
          <w:tbl>
            <w:tblPr>
              <w:tblStyle w:val="42"/>
              <w:tblW w:w="497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36"/>
              <w:gridCol w:w="1295"/>
              <w:gridCol w:w="5005"/>
              <w:gridCol w:w="766"/>
            </w:tblGrid>
            <w:tr w14:paraId="3AC5A7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1153" w:type="pct"/>
                  <w:gridSpan w:val="2"/>
                  <w:vAlign w:val="center"/>
                </w:tcPr>
                <w:p w14:paraId="7B1409E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b/>
                      <w:bCs/>
                      <w:color w:val="auto"/>
                      <w:sz w:val="21"/>
                      <w:szCs w:val="21"/>
                    </w:rPr>
                  </w:pPr>
                  <w:r>
                    <w:rPr>
                      <w:rFonts w:hint="default" w:eastAsia="宋体"/>
                      <w:b/>
                      <w:bCs/>
                      <w:color w:val="auto"/>
                      <w:sz w:val="21"/>
                      <w:szCs w:val="21"/>
                    </w:rPr>
                    <w:t>工程组成</w:t>
                  </w:r>
                </w:p>
              </w:tc>
              <w:tc>
                <w:tcPr>
                  <w:tcW w:w="3335" w:type="pct"/>
                  <w:vAlign w:val="center"/>
                </w:tcPr>
                <w:p w14:paraId="0299664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b/>
                      <w:bCs/>
                      <w:color w:val="auto"/>
                      <w:sz w:val="21"/>
                      <w:szCs w:val="21"/>
                    </w:rPr>
                  </w:pPr>
                  <w:r>
                    <w:rPr>
                      <w:rFonts w:hint="default" w:eastAsia="宋体"/>
                      <w:b/>
                      <w:bCs/>
                      <w:color w:val="auto"/>
                      <w:sz w:val="21"/>
                      <w:szCs w:val="21"/>
                    </w:rPr>
                    <w:t>主要内容</w:t>
                  </w:r>
                </w:p>
              </w:tc>
              <w:tc>
                <w:tcPr>
                  <w:tcW w:w="510" w:type="pct"/>
                  <w:vAlign w:val="center"/>
                </w:tcPr>
                <w:p w14:paraId="7CBFCA1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b/>
                      <w:bCs/>
                      <w:color w:val="auto"/>
                      <w:sz w:val="21"/>
                      <w:szCs w:val="21"/>
                      <w:lang w:val="en-US" w:eastAsia="zh-CN"/>
                    </w:rPr>
                  </w:pPr>
                  <w:r>
                    <w:rPr>
                      <w:rFonts w:hint="eastAsia" w:eastAsia="宋体"/>
                      <w:b/>
                      <w:bCs/>
                      <w:color w:val="auto"/>
                      <w:sz w:val="21"/>
                      <w:szCs w:val="21"/>
                      <w:lang w:val="en-US" w:eastAsia="zh-CN"/>
                    </w:rPr>
                    <w:t>备注</w:t>
                  </w:r>
                </w:p>
              </w:tc>
            </w:tr>
            <w:tr w14:paraId="76DAF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78" w:hRule="atLeast"/>
              </w:trPr>
              <w:tc>
                <w:tcPr>
                  <w:tcW w:w="290" w:type="pct"/>
                  <w:vMerge w:val="restart"/>
                  <w:vAlign w:val="center"/>
                </w:tcPr>
                <w:p w14:paraId="4E1C47B9">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default" w:eastAsia="宋体"/>
                      <w:color w:val="auto"/>
                      <w:sz w:val="21"/>
                      <w:szCs w:val="21"/>
                    </w:rPr>
                    <w:t>主体工程</w:t>
                  </w:r>
                </w:p>
              </w:tc>
              <w:tc>
                <w:tcPr>
                  <w:tcW w:w="862" w:type="pct"/>
                  <w:vAlign w:val="center"/>
                </w:tcPr>
                <w:p w14:paraId="1D8F11FC">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eastAsia" w:ascii="宋体" w:hAnsi="宋体" w:eastAsia="宋体" w:cs="宋体"/>
                      <w:color w:val="auto"/>
                      <w:kern w:val="0"/>
                      <w:sz w:val="21"/>
                      <w:szCs w:val="21"/>
                      <w:lang w:val="en-US" w:eastAsia="zh-CN" w:bidi="ar"/>
                    </w:rPr>
                    <w:t>光伏方阵</w:t>
                  </w:r>
                </w:p>
              </w:tc>
              <w:tc>
                <w:tcPr>
                  <w:tcW w:w="3335" w:type="pct"/>
                  <w:vAlign w:val="center"/>
                </w:tcPr>
                <w:p w14:paraId="053CBCF1">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olor w:val="auto"/>
                      <w:sz w:val="21"/>
                      <w:szCs w:val="21"/>
                    </w:rPr>
                    <w:t>本</w:t>
                  </w:r>
                  <w:r>
                    <w:rPr>
                      <w:rFonts w:hint="default" w:ascii="Times New Roman" w:hAnsi="Times New Roman" w:eastAsia="宋体"/>
                      <w:color w:val="auto"/>
                      <w:kern w:val="0"/>
                      <w:sz w:val="21"/>
                      <w:szCs w:val="21"/>
                    </w:rPr>
                    <w:t>光伏电站建设规模为</w:t>
                  </w:r>
                  <w:r>
                    <w:rPr>
                      <w:rFonts w:hint="eastAsia" w:ascii="Times New Roman" w:hAnsi="Times New Roman"/>
                      <w:color w:val="auto"/>
                      <w:kern w:val="0"/>
                      <w:sz w:val="21"/>
                      <w:szCs w:val="21"/>
                      <w:lang w:val="en-US" w:eastAsia="zh-CN"/>
                    </w:rPr>
                    <w:t>45</w:t>
                  </w:r>
                  <w:r>
                    <w:rPr>
                      <w:rFonts w:hint="eastAsia" w:ascii="Times New Roman" w:hAnsi="Times New Roman" w:eastAsia="宋体"/>
                      <w:color w:val="auto"/>
                      <w:kern w:val="0"/>
                      <w:sz w:val="21"/>
                      <w:szCs w:val="21"/>
                      <w:lang w:val="en-US" w:eastAsia="zh-CN"/>
                    </w:rPr>
                    <w:t>MW</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eastAsia="zh-CN"/>
                    </w:rPr>
                    <w:t>共</w:t>
                  </w:r>
                  <w:r>
                    <w:rPr>
                      <w:rFonts w:hint="default" w:ascii="Times New Roman" w:hAnsi="Times New Roman" w:eastAsia="宋体"/>
                      <w:color w:val="auto"/>
                      <w:kern w:val="0"/>
                      <w:sz w:val="21"/>
                      <w:szCs w:val="21"/>
                    </w:rPr>
                    <w:t>由</w:t>
                  </w:r>
                  <w:r>
                    <w:rPr>
                      <w:rFonts w:hint="eastAsia"/>
                      <w:color w:val="auto"/>
                      <w:kern w:val="0"/>
                      <w:sz w:val="21"/>
                      <w:szCs w:val="21"/>
                      <w:lang w:val="en-US" w:eastAsia="zh-CN"/>
                    </w:rPr>
                    <w:t>1个</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eastAsia"/>
                      <w:color w:val="auto"/>
                      <w:sz w:val="21"/>
                      <w:szCs w:val="21"/>
                      <w:lang w:val="en-US" w:eastAsia="zh-CN"/>
                    </w:rPr>
                    <w:t>11个</w:t>
                  </w:r>
                  <w:r>
                    <w:rPr>
                      <w:rFonts w:hint="default" w:ascii="Times New Roman" w:hAnsi="Times New Roman" w:eastAsia="宋体" w:cs="Times New Roman"/>
                      <w:color w:val="auto"/>
                      <w:sz w:val="21"/>
                      <w:szCs w:val="21"/>
                      <w:lang w:val="en-US" w:eastAsia="zh-CN"/>
                    </w:rPr>
                    <w:t>3</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eastAsia"/>
                      <w:color w:val="auto"/>
                      <w:sz w:val="21"/>
                      <w:szCs w:val="21"/>
                      <w:lang w:val="en-US" w:eastAsia="zh-CN"/>
                    </w:rPr>
                    <w:t>，</w:t>
                  </w:r>
                  <w:r>
                    <w:rPr>
                      <w:rFonts w:hint="eastAsia"/>
                      <w:color w:val="auto"/>
                      <w:kern w:val="0"/>
                      <w:sz w:val="21"/>
                      <w:szCs w:val="21"/>
                      <w:lang w:val="en-US" w:eastAsia="zh-CN"/>
                    </w:rPr>
                    <w:t>1个</w:t>
                  </w: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eastAsia"/>
                      <w:color w:val="auto"/>
                      <w:sz w:val="21"/>
                      <w:szCs w:val="21"/>
                      <w:lang w:val="en-US" w:eastAsia="zh-CN"/>
                    </w:rPr>
                    <w:t>和</w:t>
                  </w:r>
                  <w:r>
                    <w:rPr>
                      <w:rFonts w:hint="eastAsia"/>
                      <w:color w:val="auto"/>
                      <w:kern w:val="0"/>
                      <w:sz w:val="21"/>
                      <w:szCs w:val="21"/>
                      <w:lang w:val="en-US" w:eastAsia="zh-CN"/>
                    </w:rPr>
                    <w:t>1个</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00</w:t>
                  </w:r>
                  <w:r>
                    <w:rPr>
                      <w:rFonts w:hint="eastAsia"/>
                      <w:color w:val="auto"/>
                      <w:sz w:val="21"/>
                      <w:szCs w:val="21"/>
                      <w:lang w:eastAsia="zh-CN"/>
                    </w:rPr>
                    <w:t>kW方阵</w:t>
                  </w:r>
                  <w:r>
                    <w:rPr>
                      <w:rFonts w:hint="default" w:ascii="Times New Roman" w:hAnsi="Times New Roman" w:eastAsia="宋体"/>
                      <w:color w:val="auto"/>
                      <w:kern w:val="0"/>
                      <w:sz w:val="21"/>
                      <w:szCs w:val="21"/>
                    </w:rPr>
                    <w:t>组成，</w:t>
                  </w:r>
                  <w:r>
                    <w:rPr>
                      <w:rFonts w:hint="eastAsia" w:ascii="Times New Roman" w:hAnsi="Times New Roman" w:eastAsia="宋体" w:cs="Times New Roman"/>
                      <w:color w:val="auto"/>
                      <w:kern w:val="0"/>
                      <w:sz w:val="21"/>
                      <w:szCs w:val="21"/>
                    </w:rPr>
                    <w:t>采用</w:t>
                  </w:r>
                  <w:r>
                    <w:rPr>
                      <w:rFonts w:hint="default" w:ascii="Times New Roman" w:hAnsi="Times New Roman" w:eastAsia="宋体" w:cs="Times New Roman"/>
                      <w:color w:val="auto"/>
                      <w:kern w:val="0"/>
                      <w:sz w:val="21"/>
                      <w:szCs w:val="21"/>
                      <w:lang w:val="en-US" w:eastAsia="zh-CN"/>
                    </w:rPr>
                    <w:t>97838</w:t>
                  </w:r>
                  <w:r>
                    <w:rPr>
                      <w:rFonts w:hint="eastAsia" w:ascii="Times New Roman" w:hAnsi="Times New Roman" w:eastAsia="宋体" w:cs="Times New Roman"/>
                      <w:color w:val="auto"/>
                      <w:kern w:val="0"/>
                      <w:sz w:val="21"/>
                      <w:szCs w:val="21"/>
                    </w:rPr>
                    <w:t>块峰值功率为</w:t>
                  </w:r>
                  <w:r>
                    <w:rPr>
                      <w:rFonts w:hint="eastAsia" w:ascii="Times New Roman" w:hAnsi="Times New Roman" w:eastAsia="宋体" w:cs="Times New Roman"/>
                      <w:color w:val="auto"/>
                      <w:kern w:val="0"/>
                      <w:sz w:val="21"/>
                      <w:szCs w:val="21"/>
                      <w:lang w:eastAsia="zh-CN"/>
                    </w:rPr>
                    <w:t>5</w:t>
                  </w:r>
                  <w:r>
                    <w:rPr>
                      <w:rFonts w:hint="eastAsia" w:cs="Times New Roman"/>
                      <w:color w:val="auto"/>
                      <w:kern w:val="0"/>
                      <w:sz w:val="21"/>
                      <w:szCs w:val="21"/>
                      <w:lang w:val="en-US" w:eastAsia="zh-CN"/>
                    </w:rPr>
                    <w:t>90</w:t>
                  </w:r>
                  <w:r>
                    <w:rPr>
                      <w:rFonts w:hint="eastAsia" w:ascii="Times New Roman" w:hAnsi="Times New Roman" w:eastAsia="宋体" w:cs="Times New Roman"/>
                      <w:color w:val="auto"/>
                      <w:kern w:val="0"/>
                      <w:sz w:val="21"/>
                      <w:szCs w:val="21"/>
                    </w:rPr>
                    <w:t>Wp的单晶硅双面光伏组件。</w:t>
                  </w:r>
                  <w:r>
                    <w:rPr>
                      <w:rFonts w:hint="eastAsia" w:ascii="Times New Roman" w:hAnsi="Times New Roman" w:eastAsia="宋体"/>
                      <w:color w:val="auto"/>
                      <w:kern w:val="0"/>
                      <w:sz w:val="21"/>
                      <w:szCs w:val="21"/>
                    </w:rPr>
                    <w:t>光伏支架由</w:t>
                  </w:r>
                  <w:r>
                    <w:rPr>
                      <w:rFonts w:hint="default" w:ascii="Times New Roman" w:hAnsi="Times New Roman" w:eastAsia="宋体"/>
                      <w:color w:val="auto"/>
                      <w:kern w:val="0"/>
                      <w:sz w:val="21"/>
                      <w:szCs w:val="21"/>
                    </w:rPr>
                    <w:t>2</w:t>
                  </w:r>
                  <w:r>
                    <w:rPr>
                      <w:rFonts w:hint="eastAsia" w:ascii="Times New Roman" w:hAnsi="Times New Roman" w:eastAsia="宋体"/>
                      <w:color w:val="auto"/>
                      <w:kern w:val="0"/>
                      <w:sz w:val="21"/>
                      <w:szCs w:val="21"/>
                      <w:lang w:val="en-US" w:eastAsia="zh-CN"/>
                    </w:rPr>
                    <w:t>6</w:t>
                  </w:r>
                  <w:r>
                    <w:rPr>
                      <w:rFonts w:hint="eastAsia" w:ascii="Times New Roman" w:hAnsi="Times New Roman" w:eastAsia="宋体"/>
                      <w:color w:val="auto"/>
                      <w:kern w:val="0"/>
                      <w:sz w:val="21"/>
                      <w:szCs w:val="21"/>
                    </w:rPr>
                    <w:t>块</w:t>
                  </w:r>
                  <w:r>
                    <w:rPr>
                      <w:rFonts w:hint="default" w:ascii="Times New Roman" w:hAnsi="Times New Roman" w:eastAsia="宋体" w:cs="Times New Roman"/>
                      <w:color w:val="auto"/>
                      <w:kern w:val="0"/>
                      <w:sz w:val="21"/>
                      <w:szCs w:val="21"/>
                      <w:lang w:val="en-US" w:eastAsia="zh-CN" w:bidi="ar"/>
                    </w:rPr>
                    <w:t>2278mm×1134mm</w:t>
                  </w:r>
                  <w:r>
                    <w:rPr>
                      <w:rFonts w:hint="eastAsia" w:ascii="Times New Roman" w:hAnsi="Times New Roman" w:eastAsia="宋体"/>
                      <w:color w:val="auto"/>
                      <w:kern w:val="0"/>
                      <w:sz w:val="21"/>
                      <w:szCs w:val="21"/>
                    </w:rPr>
                    <w:t>单晶硅光伏组件按</w:t>
                  </w:r>
                  <w:r>
                    <w:rPr>
                      <w:rFonts w:hint="default" w:ascii="Times New Roman" w:hAnsi="Times New Roman" w:eastAsia="宋体"/>
                      <w:color w:val="auto"/>
                      <w:kern w:val="0"/>
                      <w:sz w:val="21"/>
                      <w:szCs w:val="21"/>
                    </w:rPr>
                    <w:t>2</w:t>
                  </w:r>
                  <w:r>
                    <w:rPr>
                      <w:rFonts w:hint="eastAsia" w:ascii="Times New Roman" w:hAnsi="Times New Roman" w:eastAsia="宋体"/>
                      <w:color w:val="auto"/>
                      <w:kern w:val="0"/>
                      <w:sz w:val="21"/>
                      <w:szCs w:val="21"/>
                    </w:rPr>
                    <w:t>（行）×</w:t>
                  </w:r>
                  <w:r>
                    <w:rPr>
                      <w:rFonts w:hint="default" w:ascii="Times New Roman" w:hAnsi="Times New Roman" w:eastAsia="宋体"/>
                      <w:color w:val="auto"/>
                      <w:kern w:val="0"/>
                      <w:sz w:val="21"/>
                      <w:szCs w:val="21"/>
                    </w:rPr>
                    <w:t>1</w:t>
                  </w:r>
                  <w:r>
                    <w:rPr>
                      <w:rFonts w:hint="eastAsia" w:ascii="Times New Roman" w:hAnsi="Times New Roman" w:eastAsia="宋体"/>
                      <w:color w:val="auto"/>
                      <w:kern w:val="0"/>
                      <w:sz w:val="21"/>
                      <w:szCs w:val="21"/>
                      <w:lang w:val="en-US" w:eastAsia="zh-CN"/>
                    </w:rPr>
                    <w:t>3</w:t>
                  </w:r>
                  <w:r>
                    <w:rPr>
                      <w:rFonts w:hint="eastAsia" w:ascii="Times New Roman" w:hAnsi="Times New Roman" w:eastAsia="宋体"/>
                      <w:color w:val="auto"/>
                      <w:kern w:val="0"/>
                      <w:sz w:val="21"/>
                      <w:szCs w:val="21"/>
                    </w:rPr>
                    <w:t>（列）的布置方式组成一个支架单元，共有光伏支架</w:t>
                  </w:r>
                  <w:r>
                    <w:rPr>
                      <w:rFonts w:hint="eastAsia" w:ascii="Times New Roman" w:hAnsi="Times New Roman"/>
                      <w:color w:val="auto"/>
                      <w:kern w:val="0"/>
                      <w:sz w:val="21"/>
                      <w:szCs w:val="21"/>
                      <w:lang w:val="en-US" w:eastAsia="zh-CN"/>
                    </w:rPr>
                    <w:t>3763</w:t>
                  </w:r>
                  <w:r>
                    <w:rPr>
                      <w:rFonts w:hint="eastAsia" w:ascii="Times New Roman" w:hAnsi="Times New Roman" w:eastAsia="宋体"/>
                      <w:color w:val="auto"/>
                      <w:kern w:val="0"/>
                      <w:sz w:val="21"/>
                      <w:szCs w:val="21"/>
                    </w:rPr>
                    <w:t>个，支架倾角为</w:t>
                  </w:r>
                  <w:r>
                    <w:rPr>
                      <w:rFonts w:hint="eastAsia" w:ascii="Times New Roman" w:hAnsi="Times New Roman" w:eastAsia="宋体"/>
                      <w:color w:val="auto"/>
                      <w:kern w:val="0"/>
                      <w:sz w:val="21"/>
                      <w:szCs w:val="21"/>
                      <w:lang w:eastAsia="zh-CN"/>
                    </w:rPr>
                    <w:t>2</w:t>
                  </w:r>
                  <w:r>
                    <w:rPr>
                      <w:rFonts w:hint="eastAsia" w:ascii="Times New Roman" w:hAnsi="Times New Roman" w:eastAsia="宋体"/>
                      <w:color w:val="auto"/>
                      <w:kern w:val="0"/>
                      <w:sz w:val="21"/>
                      <w:szCs w:val="21"/>
                      <w:lang w:val="en-US" w:eastAsia="zh-CN"/>
                    </w:rPr>
                    <w:t>2</w:t>
                  </w:r>
                  <w:r>
                    <w:rPr>
                      <w:rFonts w:hint="eastAsia" w:ascii="Times New Roman" w:hAnsi="Times New Roman" w:eastAsia="宋体"/>
                      <w:color w:val="auto"/>
                      <w:kern w:val="0"/>
                      <w:sz w:val="21"/>
                      <w:szCs w:val="21"/>
                      <w:lang w:eastAsia="zh-CN"/>
                    </w:rPr>
                    <w:t>°</w:t>
                  </w:r>
                  <w:r>
                    <w:rPr>
                      <w:rFonts w:hint="eastAsia" w:ascii="Times New Roman" w:hAnsi="Times New Roman" w:eastAsia="宋体"/>
                      <w:color w:val="auto"/>
                      <w:kern w:val="0"/>
                      <w:sz w:val="21"/>
                      <w:szCs w:val="21"/>
                    </w:rPr>
                    <w:t>，光伏支架采用单立柱钢支架结构，组件离地高度2.5m。</w:t>
                  </w:r>
                </w:p>
              </w:tc>
              <w:tc>
                <w:tcPr>
                  <w:tcW w:w="510" w:type="pct"/>
                  <w:vAlign w:val="center"/>
                </w:tcPr>
                <w:p w14:paraId="0F91F60E">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1A3E93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3" w:hRule="atLeast"/>
              </w:trPr>
              <w:tc>
                <w:tcPr>
                  <w:tcW w:w="290" w:type="pct"/>
                  <w:vMerge w:val="continue"/>
                  <w:vAlign w:val="center"/>
                </w:tcPr>
                <w:p w14:paraId="188682D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ascii="Times New Roman" w:hAnsi="Times New Roman" w:eastAsia="宋体" w:cs="Times New Roman"/>
                      <w:color w:val="auto"/>
                      <w:sz w:val="21"/>
                      <w:szCs w:val="21"/>
                    </w:rPr>
                  </w:pPr>
                </w:p>
              </w:tc>
              <w:tc>
                <w:tcPr>
                  <w:tcW w:w="862" w:type="pct"/>
                  <w:vAlign w:val="center"/>
                </w:tcPr>
                <w:p w14:paraId="35F16F6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逆变器</w:t>
                  </w:r>
                </w:p>
              </w:tc>
              <w:tc>
                <w:tcPr>
                  <w:tcW w:w="3335" w:type="pct"/>
                  <w:vAlign w:val="center"/>
                </w:tcPr>
                <w:p w14:paraId="658539D6">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光伏厂区设置</w:t>
                  </w:r>
                  <w:r>
                    <w:rPr>
                      <w:rFonts w:hint="eastAsia" w:ascii="Times New Roman" w:hAnsi="Times New Roman" w:eastAsia="宋体" w:cs="Times New Roman"/>
                      <w:color w:val="auto"/>
                      <w:kern w:val="2"/>
                      <w:sz w:val="21"/>
                      <w:szCs w:val="21"/>
                      <w:lang w:val="en-US" w:eastAsia="zh-CN" w:bidi="ar-SA"/>
                    </w:rPr>
                    <w:t>1</w:t>
                  </w:r>
                  <w:r>
                    <w:rPr>
                      <w:rFonts w:hint="eastAsia" w:ascii="Times New Roman" w:hAnsi="Times New Roman" w:cs="Times New Roman"/>
                      <w:color w:val="auto"/>
                      <w:kern w:val="2"/>
                      <w:sz w:val="21"/>
                      <w:szCs w:val="21"/>
                      <w:lang w:val="en-US" w:eastAsia="zh-CN" w:bidi="ar-SA"/>
                    </w:rPr>
                    <w:t>41</w:t>
                  </w:r>
                  <w:r>
                    <w:rPr>
                      <w:rFonts w:hint="default" w:ascii="Times New Roman" w:hAnsi="Times New Roman" w:eastAsia="宋体" w:cs="Times New Roman"/>
                      <w:color w:val="auto"/>
                      <w:kern w:val="2"/>
                      <w:sz w:val="21"/>
                      <w:szCs w:val="21"/>
                      <w:lang w:val="en-US" w:eastAsia="zh-CN" w:bidi="ar-SA"/>
                    </w:rPr>
                    <w:t>台3</w:t>
                  </w:r>
                  <w:r>
                    <w:rPr>
                      <w:rFonts w:hint="eastAsia" w:ascii="Times New Roman" w:hAnsi="Times New Roman"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0kW组串式逆变器</w:t>
                  </w:r>
                  <w:r>
                    <w:rPr>
                      <w:rFonts w:hint="eastAsia" w:ascii="Times New Roman" w:hAnsi="Times New Roman" w:eastAsia="宋体" w:cs="Times New Roman"/>
                      <w:color w:val="auto"/>
                      <w:kern w:val="2"/>
                      <w:sz w:val="21"/>
                      <w:szCs w:val="21"/>
                      <w:lang w:val="en-US" w:eastAsia="zh-CN" w:bidi="ar-SA"/>
                    </w:rPr>
                    <w:t>，组串式逆变器不单独做基础，逆变器托架采用连接件及抱箍固定于光伏支架立柱上，采用IP65防护等级</w:t>
                  </w:r>
                  <w:r>
                    <w:rPr>
                      <w:rFonts w:hint="eastAsia" w:ascii="Times New Roman" w:hAnsi="Times New Roman" w:cs="Times New Roman"/>
                      <w:color w:val="auto"/>
                      <w:kern w:val="2"/>
                      <w:sz w:val="21"/>
                      <w:szCs w:val="21"/>
                      <w:lang w:val="en-US" w:eastAsia="zh-CN" w:bidi="ar-SA"/>
                    </w:rPr>
                    <w:t>。</w:t>
                  </w:r>
                </w:p>
              </w:tc>
              <w:tc>
                <w:tcPr>
                  <w:tcW w:w="510" w:type="pct"/>
                  <w:vAlign w:val="center"/>
                </w:tcPr>
                <w:p w14:paraId="703083EE">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新建</w:t>
                  </w:r>
                </w:p>
              </w:tc>
            </w:tr>
            <w:tr w14:paraId="2B080C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4" w:hRule="atLeast"/>
              </w:trPr>
              <w:tc>
                <w:tcPr>
                  <w:tcW w:w="290" w:type="pct"/>
                  <w:vMerge w:val="continue"/>
                  <w:vAlign w:val="center"/>
                </w:tcPr>
                <w:p w14:paraId="736DF3B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sz w:val="21"/>
                      <w:szCs w:val="21"/>
                    </w:rPr>
                  </w:pPr>
                </w:p>
              </w:tc>
              <w:tc>
                <w:tcPr>
                  <w:tcW w:w="862" w:type="pct"/>
                  <w:vAlign w:val="center"/>
                </w:tcPr>
                <w:p w14:paraId="6422DCC9">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eastAsia" w:ascii="宋体" w:hAnsi="宋体" w:eastAsia="宋体" w:cs="宋体"/>
                      <w:color w:val="auto"/>
                      <w:kern w:val="0"/>
                      <w:sz w:val="21"/>
                      <w:szCs w:val="21"/>
                      <w:lang w:val="en-US" w:eastAsia="zh-CN" w:bidi="ar"/>
                    </w:rPr>
                    <w:t>箱式</w:t>
                  </w:r>
                  <w:r>
                    <w:rPr>
                      <w:rFonts w:hint="eastAsia" w:eastAsia="宋体"/>
                      <w:color w:val="auto"/>
                      <w:sz w:val="21"/>
                      <w:szCs w:val="21"/>
                    </w:rPr>
                    <w:t>变压器</w:t>
                  </w:r>
                </w:p>
              </w:tc>
              <w:tc>
                <w:tcPr>
                  <w:tcW w:w="3335" w:type="pct"/>
                  <w:vAlign w:val="center"/>
                </w:tcPr>
                <w:p w14:paraId="59D38831">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color w:val="auto"/>
                      <w:sz w:val="21"/>
                      <w:szCs w:val="21"/>
                    </w:rPr>
                  </w:pPr>
                  <w:r>
                    <w:rPr>
                      <w:rFonts w:hint="default" w:ascii="Times New Roman" w:hAnsi="Times New Roman" w:eastAsia="宋体" w:cs="Times New Roman"/>
                      <w:color w:val="auto"/>
                      <w:sz w:val="21"/>
                      <w:szCs w:val="21"/>
                      <w:lang w:val="en-US" w:eastAsia="zh-CN"/>
                    </w:rPr>
                    <w:t>项目共1</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台箱变</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其中1</w:t>
                  </w:r>
                  <w:r>
                    <w:rPr>
                      <w:rFonts w:hint="default" w:ascii="Times New Roman" w:hAnsi="Times New Roman" w:eastAsia="宋体" w:cs="Times New Roman"/>
                      <w:color w:val="auto"/>
                      <w:sz w:val="21"/>
                      <w:szCs w:val="21"/>
                      <w:lang w:val="en-US" w:eastAsia="zh-CN"/>
                    </w:rPr>
                    <w:t>台2</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00kVA箱变、</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台3</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00kVA箱变</w:t>
                  </w:r>
                  <w:r>
                    <w:rPr>
                      <w:rFonts w:hint="eastAsia" w:cs="Times New Roman"/>
                      <w:color w:val="auto"/>
                      <w:sz w:val="21"/>
                      <w:szCs w:val="21"/>
                      <w:lang w:val="en-US" w:eastAsia="zh-CN"/>
                    </w:rPr>
                    <w:t>、</w:t>
                  </w:r>
                  <w:r>
                    <w:rPr>
                      <w:rFonts w:hint="eastAsia"/>
                      <w:color w:val="auto"/>
                      <w:kern w:val="0"/>
                      <w:sz w:val="21"/>
                      <w:szCs w:val="21"/>
                      <w:lang w:val="en-US" w:eastAsia="zh-CN"/>
                    </w:rPr>
                    <w:t>1</w:t>
                  </w:r>
                  <w:r>
                    <w:rPr>
                      <w:rFonts w:hint="default" w:ascii="Times New Roman" w:hAnsi="Times New Roman" w:eastAsia="宋体" w:cs="Times New Roman"/>
                      <w:color w:val="auto"/>
                      <w:sz w:val="21"/>
                      <w:szCs w:val="21"/>
                      <w:lang w:val="en-US" w:eastAsia="zh-CN"/>
                    </w:rPr>
                    <w:t>台3</w:t>
                  </w:r>
                  <w:r>
                    <w:rPr>
                      <w:rFonts w:hint="eastAsia"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00kVA箱变</w:t>
                  </w:r>
                  <w:r>
                    <w:rPr>
                      <w:rFonts w:hint="eastAsia" w:ascii="Times New Roman" w:hAnsi="Times New Roman" w:eastAsia="宋体" w:cs="Times New Roman"/>
                      <w:color w:val="auto"/>
                      <w:sz w:val="21"/>
                      <w:szCs w:val="21"/>
                      <w:lang w:val="en-US" w:eastAsia="zh-CN"/>
                    </w:rPr>
                    <w:t>、</w:t>
                  </w:r>
                  <w:r>
                    <w:rPr>
                      <w:rFonts w:hint="eastAsia"/>
                      <w:color w:val="auto"/>
                      <w:kern w:val="0"/>
                      <w:sz w:val="21"/>
                      <w:szCs w:val="21"/>
                      <w:lang w:val="en-US" w:eastAsia="zh-CN"/>
                    </w:rPr>
                    <w:t>1</w:t>
                  </w:r>
                  <w:r>
                    <w:rPr>
                      <w:rFonts w:hint="default" w:ascii="Times New Roman" w:hAnsi="Times New Roman" w:eastAsia="宋体" w:cs="Times New Roman"/>
                      <w:color w:val="auto"/>
                      <w:sz w:val="21"/>
                      <w:szCs w:val="21"/>
                      <w:lang w:val="en-US" w:eastAsia="zh-CN"/>
                    </w:rPr>
                    <w:t>台3</w:t>
                  </w:r>
                  <w:r>
                    <w:rPr>
                      <w:rFonts w:hint="eastAsia" w:ascii="Times New Roman" w:hAnsi="Times New Roman"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00kVA箱变</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箱式变压器</w:t>
                  </w:r>
                  <w:r>
                    <w:rPr>
                      <w:rFonts w:hint="eastAsia" w:cs="Times New Roman"/>
                      <w:color w:val="auto"/>
                      <w:kern w:val="2"/>
                      <w:sz w:val="21"/>
                      <w:szCs w:val="21"/>
                      <w:lang w:val="en-US" w:eastAsia="zh-CN" w:bidi="ar-SA"/>
                    </w:rPr>
                    <w:t>均</w:t>
                  </w:r>
                  <w:r>
                    <w:rPr>
                      <w:rFonts w:hint="eastAsia" w:ascii="Times New Roman" w:hAnsi="Times New Roman" w:eastAsia="宋体" w:cs="Times New Roman"/>
                      <w:color w:val="auto"/>
                      <w:kern w:val="2"/>
                      <w:sz w:val="21"/>
                      <w:szCs w:val="21"/>
                      <w:lang w:val="en-US" w:eastAsia="zh-CN" w:bidi="ar-SA"/>
                    </w:rPr>
                    <w:t>为油浸式，就近采用混凝土基础安装于方阵中部区域。按天然地基上的浅基础进行设计，采用混凝土平台+独立基础，采用箱形基础。</w:t>
                  </w:r>
                </w:p>
              </w:tc>
              <w:tc>
                <w:tcPr>
                  <w:tcW w:w="510" w:type="pct"/>
                  <w:vAlign w:val="center"/>
                </w:tcPr>
                <w:p w14:paraId="29983170">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2"/>
                      <w:sz w:val="21"/>
                      <w:szCs w:val="21"/>
                      <w:highlight w:val="none"/>
                      <w:lang w:val="en-US" w:eastAsia="zh-CN" w:bidi="ar-SA"/>
                    </w:rPr>
                    <w:t>新建</w:t>
                  </w:r>
                </w:p>
              </w:tc>
            </w:tr>
            <w:tr w14:paraId="51A66B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90" w:type="pct"/>
                  <w:vMerge w:val="continue"/>
                  <w:vAlign w:val="center"/>
                </w:tcPr>
                <w:p w14:paraId="5E26EDB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sz w:val="21"/>
                      <w:szCs w:val="21"/>
                    </w:rPr>
                  </w:pPr>
                </w:p>
              </w:tc>
              <w:tc>
                <w:tcPr>
                  <w:tcW w:w="862" w:type="pct"/>
                  <w:vAlign w:val="center"/>
                </w:tcPr>
                <w:p w14:paraId="54ACDC1D">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集电线路</w:t>
                  </w:r>
                </w:p>
              </w:tc>
              <w:tc>
                <w:tcPr>
                  <w:tcW w:w="3335" w:type="pct"/>
                  <w:vAlign w:val="center"/>
                </w:tcPr>
                <w:p w14:paraId="2F93BCA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每26块电池组件之间采用组件自带电缆串联成1个组串，每串采用2根型号为</w:t>
                  </w:r>
                  <w:r>
                    <w:rPr>
                      <w:rFonts w:hint="default" w:ascii="Times New Roman" w:hAnsi="Times New Roman" w:eastAsia="宋体" w:cs="Times New Roman"/>
                      <w:color w:val="auto"/>
                      <w:kern w:val="0"/>
                      <w:sz w:val="21"/>
                      <w:szCs w:val="21"/>
                      <w:lang w:val="en-US" w:eastAsia="zh-CN" w:bidi="ar"/>
                    </w:rPr>
                    <w:t>H1Z2Z2-K-1×6mm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，1500V耐压</w:t>
                  </w:r>
                  <w:r>
                    <w:rPr>
                      <w:rFonts w:hint="eastAsia"/>
                      <w:color w:val="auto"/>
                      <w:sz w:val="21"/>
                      <w:szCs w:val="21"/>
                      <w:lang w:val="en-US" w:eastAsia="zh-CN"/>
                    </w:rPr>
                    <w:t>的光伏电缆接入逆变器，</w:t>
                  </w:r>
                  <w:r>
                    <w:rPr>
                      <w:rFonts w:hint="default" w:ascii="鏂板畫浣?" w:hAnsi="鏂板畫浣?" w:eastAsia="鏂板畫浣?" w:cs="鏂板畫浣?"/>
                      <w:color w:val="auto"/>
                      <w:kern w:val="0"/>
                      <w:sz w:val="21"/>
                      <w:szCs w:val="21"/>
                      <w:lang w:val="en-US" w:eastAsia="zh-CN" w:bidi="ar"/>
                    </w:rPr>
                    <w:t>电缆敷设方式为槽盒敷设，</w:t>
                  </w:r>
                  <w:r>
                    <w:rPr>
                      <w:rFonts w:hint="eastAsia"/>
                      <w:color w:val="auto"/>
                      <w:sz w:val="21"/>
                      <w:szCs w:val="21"/>
                      <w:lang w:val="en-US" w:eastAsia="zh-CN"/>
                    </w:rPr>
                    <w:t>该电缆长413.93km；逆变器出线电缆推荐选用ZC-YJLHV22-1.8/3-3×240mm</w:t>
                  </w:r>
                  <w:r>
                    <w:rPr>
                      <w:rFonts w:hint="eastAsia"/>
                      <w:color w:val="auto"/>
                      <w:sz w:val="21"/>
                      <w:szCs w:val="21"/>
                      <w:vertAlign w:val="superscript"/>
                      <w:lang w:val="en-US" w:eastAsia="zh-CN"/>
                    </w:rPr>
                    <w:t>2</w:t>
                  </w:r>
                  <w:r>
                    <w:rPr>
                      <w:rFonts w:hint="eastAsia" w:ascii="宋体" w:hAnsi="宋体" w:eastAsia="宋体" w:cs="宋体"/>
                      <w:color w:val="auto"/>
                      <w:kern w:val="0"/>
                      <w:sz w:val="21"/>
                      <w:szCs w:val="21"/>
                      <w:lang w:val="en-US" w:eastAsia="zh-CN" w:bidi="ar"/>
                    </w:rPr>
                    <w:t>低压电力电缆</w:t>
                  </w:r>
                  <w:r>
                    <w:rPr>
                      <w:rFonts w:hint="eastAsia"/>
                      <w:color w:val="auto"/>
                      <w:sz w:val="21"/>
                      <w:szCs w:val="21"/>
                      <w:lang w:val="en-US" w:eastAsia="zh-CN"/>
                    </w:rPr>
                    <w:t>长31.02km；</w:t>
                  </w:r>
                  <w:r>
                    <w:rPr>
                      <w:rFonts w:hint="default" w:ascii="Times New Roman" w:hAnsi="Times New Roman" w:eastAsia="宋体" w:cs="Times New Roman"/>
                      <w:color w:val="auto"/>
                      <w:kern w:val="0"/>
                      <w:sz w:val="21"/>
                      <w:szCs w:val="21"/>
                      <w:lang w:val="en-US" w:eastAsia="zh-CN" w:bidi="ar"/>
                    </w:rPr>
                    <w:t>ZC-YJV22-0.6/1kV-4x4</w:t>
                  </w:r>
                  <w:r>
                    <w:rPr>
                      <w:rFonts w:hint="eastAsia" w:ascii="Times New Roman" w:hAnsi="Times New Roman" w:eastAsia="宋体"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1kV</w:t>
                  </w:r>
                  <w:r>
                    <w:rPr>
                      <w:rFonts w:hint="eastAsia" w:ascii="宋体" w:hAnsi="宋体" w:eastAsia="宋体" w:cs="宋体"/>
                      <w:color w:val="auto"/>
                      <w:kern w:val="0"/>
                      <w:sz w:val="21"/>
                      <w:szCs w:val="21"/>
                      <w:lang w:val="en-US" w:eastAsia="zh-CN" w:bidi="ar"/>
                    </w:rPr>
                    <w:t>动力电缆</w:t>
                  </w:r>
                  <w:r>
                    <w:rPr>
                      <w:rFonts w:hint="eastAsia"/>
                      <w:color w:val="auto"/>
                      <w:sz w:val="21"/>
                      <w:szCs w:val="21"/>
                      <w:lang w:val="en-US" w:eastAsia="zh-CN"/>
                    </w:rPr>
                    <w:t>长0.5km；</w:t>
                  </w:r>
                  <w:r>
                    <w:rPr>
                      <w:rFonts w:hint="default" w:ascii="Times New Roman" w:hAnsi="Times New Roman" w:eastAsia="宋体" w:cs="Times New Roman"/>
                      <w:color w:val="auto"/>
                      <w:kern w:val="0"/>
                      <w:sz w:val="21"/>
                      <w:szCs w:val="21"/>
                      <w:lang w:val="en-US" w:eastAsia="zh-CN" w:bidi="ar"/>
                    </w:rPr>
                    <w:t>ZC-YJV22-1.8/3kV-3x16</w:t>
                  </w:r>
                  <w:r>
                    <w:rPr>
                      <w:rFonts w:hint="eastAsia" w:ascii="宋体" w:hAnsi="宋体" w:eastAsia="宋体" w:cs="宋体"/>
                      <w:color w:val="auto"/>
                      <w:kern w:val="0"/>
                      <w:sz w:val="21"/>
                      <w:szCs w:val="21"/>
                      <w:lang w:val="en-US" w:eastAsia="zh-CN" w:bidi="ar"/>
                    </w:rPr>
                    <w:t>低压电力电缆</w:t>
                  </w:r>
                  <w:r>
                    <w:rPr>
                      <w:rFonts w:hint="eastAsia"/>
                      <w:color w:val="auto"/>
                      <w:sz w:val="21"/>
                      <w:szCs w:val="21"/>
                      <w:lang w:val="en-US" w:eastAsia="zh-CN"/>
                    </w:rPr>
                    <w:t>长0.5km。</w:t>
                  </w:r>
                </w:p>
              </w:tc>
              <w:tc>
                <w:tcPr>
                  <w:tcW w:w="510" w:type="pct"/>
                  <w:vAlign w:val="center"/>
                </w:tcPr>
                <w:p w14:paraId="16E1064B">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bidi="ar"/>
                    </w:rPr>
                  </w:pPr>
                  <w:r>
                    <w:rPr>
                      <w:rFonts w:hint="eastAsia" w:cs="Times New Roman"/>
                      <w:color w:val="auto"/>
                      <w:kern w:val="2"/>
                      <w:sz w:val="21"/>
                      <w:szCs w:val="21"/>
                      <w:lang w:val="en-US" w:eastAsia="zh-CN" w:bidi="ar-SA"/>
                    </w:rPr>
                    <w:t>新建</w:t>
                  </w:r>
                </w:p>
              </w:tc>
            </w:tr>
            <w:tr w14:paraId="1435D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9" w:hRule="atLeast"/>
              </w:trPr>
              <w:tc>
                <w:tcPr>
                  <w:tcW w:w="290" w:type="pct"/>
                  <w:vAlign w:val="center"/>
                </w:tcPr>
                <w:p w14:paraId="3077738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辅助</w:t>
                  </w:r>
                </w:p>
                <w:p w14:paraId="59172D4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工程</w:t>
                  </w:r>
                </w:p>
              </w:tc>
              <w:tc>
                <w:tcPr>
                  <w:tcW w:w="862" w:type="pct"/>
                  <w:shd w:val="clear" w:color="auto" w:fill="auto"/>
                  <w:vAlign w:val="center"/>
                </w:tcPr>
                <w:p w14:paraId="0D0D375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围栏</w:t>
                  </w:r>
                </w:p>
              </w:tc>
              <w:tc>
                <w:tcPr>
                  <w:tcW w:w="3335" w:type="pct"/>
                  <w:shd w:val="clear" w:color="auto" w:fill="auto"/>
                  <w:vAlign w:val="center"/>
                </w:tcPr>
                <w:p w14:paraId="6A1189A6">
                  <w:pPr>
                    <w:keepNext w:val="0"/>
                    <w:keepLines w:val="0"/>
                    <w:pageBreakBefore w:val="0"/>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
                    </w:rPr>
                  </w:pPr>
                  <w:r>
                    <w:rPr>
                      <w:rFonts w:hint="eastAsia"/>
                      <w:color w:val="auto"/>
                      <w:sz w:val="21"/>
                      <w:szCs w:val="21"/>
                      <w:lang w:val="en-US" w:eastAsia="zh-CN"/>
                    </w:rPr>
                    <w:t>外缘设置</w:t>
                  </w:r>
                  <w:r>
                    <w:rPr>
                      <w:rFonts w:hint="default"/>
                      <w:color w:val="auto"/>
                      <w:sz w:val="21"/>
                      <w:szCs w:val="21"/>
                      <w:lang w:val="en-US" w:eastAsia="zh-CN"/>
                    </w:rPr>
                    <w:t>1.8m高包塑铁丝围栏，围栏内设置4.5m宽的防火隔离带，围栏总长度21.7km</w:t>
                  </w:r>
                  <w:r>
                    <w:rPr>
                      <w:rFonts w:hint="eastAsia"/>
                      <w:color w:val="auto"/>
                      <w:sz w:val="21"/>
                      <w:szCs w:val="21"/>
                      <w:lang w:val="en-US" w:eastAsia="zh-CN"/>
                    </w:rPr>
                    <w:t>。</w:t>
                  </w:r>
                </w:p>
              </w:tc>
              <w:tc>
                <w:tcPr>
                  <w:tcW w:w="510" w:type="pct"/>
                  <w:shd w:val="clear" w:color="auto" w:fill="auto"/>
                  <w:vAlign w:val="center"/>
                </w:tcPr>
                <w:p w14:paraId="50F61969">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新建</w:t>
                  </w:r>
                </w:p>
              </w:tc>
            </w:tr>
            <w:tr w14:paraId="388700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5" w:hRule="atLeast"/>
              </w:trPr>
              <w:tc>
                <w:tcPr>
                  <w:tcW w:w="290" w:type="pct"/>
                  <w:vMerge w:val="restart"/>
                  <w:vAlign w:val="center"/>
                </w:tcPr>
                <w:p w14:paraId="4FEC80C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公用工程</w:t>
                  </w:r>
                </w:p>
              </w:tc>
              <w:tc>
                <w:tcPr>
                  <w:tcW w:w="862" w:type="pct"/>
                  <w:shd w:val="clear" w:color="auto" w:fill="auto"/>
                  <w:vAlign w:val="center"/>
                </w:tcPr>
                <w:p w14:paraId="35C34B7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eastAsia="宋体"/>
                      <w:color w:val="auto"/>
                      <w:kern w:val="0"/>
                      <w:sz w:val="21"/>
                      <w:szCs w:val="21"/>
                    </w:rPr>
                    <w:t>供水</w:t>
                  </w:r>
                </w:p>
              </w:tc>
              <w:tc>
                <w:tcPr>
                  <w:tcW w:w="3335" w:type="pct"/>
                  <w:shd w:val="clear" w:color="auto" w:fill="auto"/>
                  <w:vAlign w:val="center"/>
                </w:tcPr>
                <w:p w14:paraId="3003257B">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本项目生产、生活用水</w:t>
                  </w:r>
                  <w:r>
                    <w:rPr>
                      <w:rFonts w:hint="eastAsia" w:cs="Times New Roman"/>
                      <w:color w:val="auto"/>
                      <w:kern w:val="0"/>
                      <w:sz w:val="21"/>
                      <w:szCs w:val="21"/>
                      <w:lang w:val="en-US" w:eastAsia="zh-CN" w:bidi="ar"/>
                    </w:rPr>
                    <w:t>引自附近村庄</w:t>
                  </w:r>
                  <w:r>
                    <w:rPr>
                      <w:rFonts w:hint="eastAsia" w:ascii="Times New Roman" w:hAnsi="Times New Roman" w:eastAsia="宋体" w:cs="Times New Roman"/>
                      <w:color w:val="auto"/>
                      <w:kern w:val="0"/>
                      <w:sz w:val="21"/>
                      <w:szCs w:val="21"/>
                      <w:lang w:val="en-US" w:eastAsia="zh-CN" w:bidi="ar"/>
                    </w:rPr>
                    <w:t>。运营期光伏板清洁水</w:t>
                  </w:r>
                  <w:r>
                    <w:rPr>
                      <w:rFonts w:hint="default"/>
                      <w:color w:val="auto"/>
                      <w:spacing w:val="-1"/>
                      <w:sz w:val="21"/>
                      <w:szCs w:val="21"/>
                    </w:rPr>
                    <w:t>定期利用水车从站外运水进行原地清洗。</w:t>
                  </w:r>
                </w:p>
              </w:tc>
              <w:tc>
                <w:tcPr>
                  <w:tcW w:w="510" w:type="pct"/>
                  <w:shd w:val="clear" w:color="auto" w:fill="auto"/>
                  <w:vAlign w:val="center"/>
                </w:tcPr>
                <w:p w14:paraId="001786FC">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新建</w:t>
                  </w:r>
                </w:p>
              </w:tc>
            </w:tr>
            <w:tr w14:paraId="5DEE7C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 w:hRule="atLeast"/>
              </w:trPr>
              <w:tc>
                <w:tcPr>
                  <w:tcW w:w="290" w:type="pct"/>
                  <w:vMerge w:val="continue"/>
                  <w:vAlign w:val="center"/>
                </w:tcPr>
                <w:p w14:paraId="07C947C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2" w:type="pct"/>
                  <w:vAlign w:val="center"/>
                </w:tcPr>
                <w:p w14:paraId="0E53B17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kern w:val="0"/>
                      <w:sz w:val="21"/>
                      <w:szCs w:val="21"/>
                      <w:highlight w:val="yellow"/>
                    </w:rPr>
                  </w:pPr>
                  <w:r>
                    <w:rPr>
                      <w:rFonts w:hint="eastAsia" w:eastAsia="宋体"/>
                      <w:color w:val="auto"/>
                      <w:kern w:val="0"/>
                      <w:sz w:val="21"/>
                      <w:szCs w:val="21"/>
                      <w:highlight w:val="none"/>
                    </w:rPr>
                    <w:t>排水</w:t>
                  </w:r>
                </w:p>
              </w:tc>
              <w:tc>
                <w:tcPr>
                  <w:tcW w:w="3335" w:type="pct"/>
                  <w:vAlign w:val="center"/>
                </w:tcPr>
                <w:p w14:paraId="617D5E48">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.运营期产生的</w:t>
                  </w:r>
                  <w:r>
                    <w:rPr>
                      <w:rFonts w:hint="default" w:ascii="Times New Roman" w:hAnsi="Times New Roman" w:cs="Times New Roman"/>
                      <w:color w:val="auto"/>
                      <w:kern w:val="0"/>
                      <w:sz w:val="21"/>
                      <w:szCs w:val="21"/>
                      <w:lang w:val="en-US" w:eastAsia="zh-CN" w:bidi="ar"/>
                    </w:rPr>
                    <w:t>生活污水纳</w:t>
                  </w:r>
                  <w:r>
                    <w:rPr>
                      <w:rFonts w:hint="default" w:ascii="Times New Roman" w:hAnsi="Times New Roman" w:eastAsia="宋体" w:cs="Times New Roman"/>
                      <w:color w:val="auto"/>
                      <w:kern w:val="0"/>
                      <w:sz w:val="21"/>
                      <w:szCs w:val="21"/>
                      <w:lang w:val="en-US" w:eastAsia="zh-CN" w:bidi="ar"/>
                    </w:rPr>
                    <w:t>入</w:t>
                  </w:r>
                  <w:r>
                    <w:rPr>
                      <w:rFonts w:hint="eastAsia" w:cs="Times New Roman"/>
                      <w:color w:val="auto"/>
                      <w:kern w:val="0"/>
                      <w:sz w:val="21"/>
                      <w:szCs w:val="21"/>
                      <w:lang w:val="en-US" w:eastAsia="zh-CN" w:bidi="ar"/>
                    </w:rPr>
                    <w:t>竹园沟光伏发电项目升压站拟建的</w:t>
                  </w:r>
                  <w:r>
                    <w:rPr>
                      <w:rFonts w:hint="default" w:ascii="Times New Roman" w:hAnsi="Times New Roman" w:eastAsia="宋体" w:cs="Times New Roman"/>
                      <w:color w:val="auto"/>
                      <w:kern w:val="0"/>
                      <w:sz w:val="21"/>
                      <w:szCs w:val="21"/>
                      <w:lang w:val="en-US" w:eastAsia="zh-CN" w:bidi="ar"/>
                    </w:rPr>
                    <w:t>污水处理设施处理</w:t>
                  </w:r>
                  <w:r>
                    <w:rPr>
                      <w:rFonts w:hint="eastAsia" w:cs="Times New Roman"/>
                      <w:color w:val="auto"/>
                      <w:kern w:val="0"/>
                      <w:sz w:val="21"/>
                      <w:szCs w:val="21"/>
                      <w:lang w:val="en-US" w:eastAsia="zh-CN" w:bidi="ar"/>
                    </w:rPr>
                    <w:t>，无新增人员</w:t>
                  </w:r>
                  <w:r>
                    <w:rPr>
                      <w:rFonts w:hint="default" w:ascii="Times New Roman" w:hAnsi="Times New Roman" w:eastAsia="宋体" w:cs="Times New Roman"/>
                      <w:color w:val="auto"/>
                      <w:kern w:val="0"/>
                      <w:sz w:val="21"/>
                      <w:szCs w:val="21"/>
                      <w:lang w:val="en-US" w:eastAsia="zh-CN" w:bidi="ar"/>
                    </w:rPr>
                    <w:t>。</w:t>
                  </w:r>
                </w:p>
                <w:p w14:paraId="4D482CDD">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光伏组件清洁产生的废水顺电池组件倾斜角度直接淋洒于下方林草植被上，用于林草植被生长。</w:t>
                  </w:r>
                </w:p>
              </w:tc>
              <w:tc>
                <w:tcPr>
                  <w:tcW w:w="510" w:type="pct"/>
                  <w:vAlign w:val="center"/>
                </w:tcPr>
                <w:p w14:paraId="28F4C87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新建</w:t>
                  </w:r>
                </w:p>
              </w:tc>
            </w:tr>
            <w:tr w14:paraId="374CD4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 w:hRule="atLeast"/>
              </w:trPr>
              <w:tc>
                <w:tcPr>
                  <w:tcW w:w="290" w:type="pct"/>
                  <w:vMerge w:val="restart"/>
                  <w:vAlign w:val="center"/>
                </w:tcPr>
                <w:p w14:paraId="1839A65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r>
                    <w:rPr>
                      <w:rFonts w:hint="default" w:eastAsia="宋体"/>
                      <w:color w:val="auto"/>
                      <w:sz w:val="21"/>
                      <w:szCs w:val="21"/>
                    </w:rPr>
                    <w:t>环保工程</w:t>
                  </w:r>
                </w:p>
              </w:tc>
              <w:tc>
                <w:tcPr>
                  <w:tcW w:w="862" w:type="pct"/>
                  <w:vAlign w:val="center"/>
                </w:tcPr>
                <w:p w14:paraId="0A80A2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噪声</w:t>
                  </w:r>
                </w:p>
              </w:tc>
              <w:tc>
                <w:tcPr>
                  <w:tcW w:w="3335" w:type="pct"/>
                  <w:vAlign w:val="center"/>
                </w:tcPr>
                <w:p w14:paraId="2B484E1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eastAsia="zh-CN"/>
                    </w:rPr>
                    <w:t>设备基础减振、购买低噪声设备。</w:t>
                  </w:r>
                </w:p>
              </w:tc>
              <w:tc>
                <w:tcPr>
                  <w:tcW w:w="510" w:type="pct"/>
                  <w:vAlign w:val="center"/>
                </w:tcPr>
                <w:p w14:paraId="5BD2E4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s="Times New Roman"/>
                      <w:color w:val="auto"/>
                      <w:kern w:val="0"/>
                      <w:sz w:val="21"/>
                      <w:szCs w:val="21"/>
                      <w:highlight w:val="none"/>
                      <w:lang w:val="en-US" w:eastAsia="zh-CN"/>
                    </w:rPr>
                  </w:pPr>
                  <w:r>
                    <w:rPr>
                      <w:rFonts w:hint="eastAsia" w:eastAsia="宋体"/>
                      <w:color w:val="auto"/>
                      <w:kern w:val="0"/>
                      <w:sz w:val="21"/>
                      <w:szCs w:val="21"/>
                      <w:lang w:val="en-US" w:eastAsia="zh-CN"/>
                    </w:rPr>
                    <w:t>新建</w:t>
                  </w:r>
                </w:p>
              </w:tc>
            </w:tr>
            <w:tr w14:paraId="06ED0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90" w:type="pct"/>
                  <w:vMerge w:val="continue"/>
                  <w:vAlign w:val="center"/>
                </w:tcPr>
                <w:p w14:paraId="744AE312">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2" w:type="pct"/>
                  <w:vAlign w:val="center"/>
                </w:tcPr>
                <w:p w14:paraId="6E97DCB4">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eastAsia" w:ascii="Times New Roman" w:hAnsi="Times New Roman" w:eastAsia="宋体" w:cs="Times New Roman"/>
                      <w:color w:val="auto"/>
                      <w:sz w:val="21"/>
                      <w:szCs w:val="21"/>
                      <w:highlight w:val="none"/>
                      <w:shd w:val="clear" w:color="auto" w:fill="auto"/>
                      <w:lang w:val="en-US" w:eastAsia="zh-CN"/>
                    </w:rPr>
                    <w:t>风险防范</w:t>
                  </w:r>
                </w:p>
              </w:tc>
              <w:tc>
                <w:tcPr>
                  <w:tcW w:w="3335" w:type="pct"/>
                  <w:vAlign w:val="center"/>
                </w:tcPr>
                <w:p w14:paraId="54FCD0E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在</w:t>
                  </w:r>
                  <w:r>
                    <w:rPr>
                      <w:rFonts w:hint="default" w:ascii="Times New Roman" w:hAnsi="Times New Roman" w:eastAsia="宋体" w:cs="Times New Roman"/>
                      <w:color w:val="auto"/>
                      <w:sz w:val="21"/>
                      <w:szCs w:val="21"/>
                      <w:highlight w:val="none"/>
                      <w:lang w:val="en-US" w:eastAsia="zh-CN"/>
                    </w:rPr>
                    <w:t>光伏方阵区每个</w:t>
                  </w:r>
                  <w:r>
                    <w:rPr>
                      <w:rFonts w:hint="default" w:ascii="Times New Roman" w:hAnsi="Times New Roman" w:eastAsia="宋体" w:cs="Times New Roman"/>
                      <w:color w:val="auto"/>
                      <w:sz w:val="21"/>
                      <w:szCs w:val="21"/>
                      <w:highlight w:val="none"/>
                    </w:rPr>
                    <w:t>箱式变压器</w:t>
                  </w:r>
                  <w:r>
                    <w:rPr>
                      <w:rFonts w:hint="default" w:ascii="Times New Roman" w:hAnsi="Times New Roman" w:eastAsia="宋体" w:cs="Times New Roman"/>
                      <w:color w:val="auto"/>
                      <w:sz w:val="21"/>
                      <w:szCs w:val="21"/>
                      <w:highlight w:val="none"/>
                      <w:lang w:val="en-US" w:eastAsia="zh-CN"/>
                    </w:rPr>
                    <w:t>下方</w:t>
                  </w:r>
                  <w:r>
                    <w:rPr>
                      <w:rFonts w:hint="default" w:ascii="Times New Roman" w:hAnsi="Times New Roman" w:eastAsia="宋体" w:cs="Times New Roman"/>
                      <w:color w:val="auto"/>
                      <w:sz w:val="21"/>
                      <w:szCs w:val="21"/>
                      <w:highlight w:val="none"/>
                    </w:rPr>
                    <w:t>设</w:t>
                  </w:r>
                  <w:r>
                    <w:rPr>
                      <w:rFonts w:hint="default" w:ascii="Times New Roman" w:hAnsi="Times New Roman" w:eastAsia="宋体" w:cs="Times New Roman"/>
                      <w:color w:val="auto"/>
                      <w:sz w:val="21"/>
                      <w:szCs w:val="21"/>
                      <w:highlight w:val="none"/>
                      <w:lang w:val="en-US" w:eastAsia="zh-CN"/>
                    </w:rPr>
                    <w:t>事故</w:t>
                  </w:r>
                  <w:r>
                    <w:rPr>
                      <w:rFonts w:hint="default" w:ascii="Times New Roman" w:hAnsi="Times New Roman" w:eastAsia="宋体" w:cs="Times New Roman"/>
                      <w:color w:val="auto"/>
                      <w:sz w:val="21"/>
                      <w:szCs w:val="21"/>
                      <w:highlight w:val="none"/>
                    </w:rPr>
                    <w:t>油池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共</w:t>
                  </w:r>
                  <w:r>
                    <w:rPr>
                      <w:rFonts w:hint="eastAsia"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rPr>
                    <w:t>其中</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个容积不低于</w:t>
                  </w:r>
                  <w:r>
                    <w:rPr>
                      <w:rFonts w:hint="default" w:ascii="Times New Roman" w:hAnsi="Times New Roman" w:eastAsia="宋体" w:cs="Times New Roman"/>
                      <w:color w:val="auto"/>
                      <w:kern w:val="0"/>
                      <w:sz w:val="21"/>
                      <w:szCs w:val="21"/>
                      <w:highlight w:val="none"/>
                      <w:lang w:val="en-US" w:eastAsia="zh-CN"/>
                    </w:rPr>
                    <w:t>1.8</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11</w:t>
                  </w:r>
                  <w:r>
                    <w:rPr>
                      <w:rFonts w:hint="default" w:ascii="Times New Roman" w:hAnsi="Times New Roman" w:eastAsia="宋体" w:cs="Times New Roman"/>
                      <w:color w:val="auto"/>
                      <w:kern w:val="0"/>
                      <w:sz w:val="21"/>
                      <w:szCs w:val="21"/>
                      <w:highlight w:val="none"/>
                    </w:rPr>
                    <w:t>个容积不低于</w:t>
                  </w:r>
                  <w:r>
                    <w:rPr>
                      <w:rFonts w:hint="default" w:ascii="Times New Roman" w:hAnsi="Times New Roman" w:eastAsia="宋体" w:cs="Times New Roman"/>
                      <w:color w:val="auto"/>
                      <w:kern w:val="0"/>
                      <w:sz w:val="21"/>
                      <w:szCs w:val="21"/>
                      <w:highlight w:val="none"/>
                      <w:lang w:val="en-US" w:eastAsia="zh-CN"/>
                    </w:rPr>
                    <w:t>1.9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个容积不低于2.</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个容积不低于2.</w:t>
                  </w: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510" w:type="pct"/>
                  <w:vAlign w:val="center"/>
                </w:tcPr>
                <w:p w14:paraId="58279F89">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新建</w:t>
                  </w:r>
                </w:p>
              </w:tc>
            </w:tr>
            <w:tr w14:paraId="22C824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3" w:hRule="atLeast"/>
              </w:trPr>
              <w:tc>
                <w:tcPr>
                  <w:tcW w:w="290" w:type="pct"/>
                  <w:vMerge w:val="continue"/>
                  <w:vAlign w:val="center"/>
                </w:tcPr>
                <w:p w14:paraId="3165C11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2" w:type="pct"/>
                  <w:vAlign w:val="center"/>
                </w:tcPr>
                <w:p w14:paraId="720C7ADB">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sz w:val="21"/>
                      <w:szCs w:val="21"/>
                      <w:highlight w:val="none"/>
                      <w:shd w:val="clear" w:color="auto" w:fill="auto"/>
                      <w:lang w:val="en-US" w:eastAsia="zh-CN"/>
                    </w:rPr>
                    <w:t>地下水、土壤</w:t>
                  </w:r>
                </w:p>
              </w:tc>
              <w:tc>
                <w:tcPr>
                  <w:tcW w:w="3335" w:type="pct"/>
                  <w:vAlign w:val="center"/>
                </w:tcPr>
                <w:p w14:paraId="663F6107">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rPr>
                    <w:t>事故油池</w:t>
                  </w:r>
                  <w:r>
                    <w:rPr>
                      <w:rFonts w:hint="eastAsia" w:eastAsia="宋体"/>
                      <w:color w:val="auto"/>
                      <w:kern w:val="0"/>
                      <w:sz w:val="21"/>
                      <w:szCs w:val="21"/>
                      <w:lang w:eastAsia="zh-CN"/>
                    </w:rPr>
                    <w:t>严格按照</w:t>
                  </w:r>
                  <w:r>
                    <w:rPr>
                      <w:rFonts w:hint="default" w:ascii="Times New Roman" w:hAnsi="Times New Roman" w:eastAsia="宋体" w:cs="Times New Roman"/>
                      <w:color w:val="auto"/>
                      <w:kern w:val="0"/>
                      <w:sz w:val="21"/>
                      <w:szCs w:val="21"/>
                      <w:highlight w:val="none"/>
                    </w:rPr>
                    <w:t>《危险废物贮存污染控制标准》（GB</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18597-20</w:t>
                  </w:r>
                  <w:r>
                    <w:rPr>
                      <w:rFonts w:hint="default" w:ascii="Times New Roman" w:hAnsi="Times New Roman" w:eastAsia="宋体" w:cs="Times New Roman"/>
                      <w:color w:val="auto"/>
                      <w:kern w:val="0"/>
                      <w:sz w:val="21"/>
                      <w:szCs w:val="21"/>
                      <w:highlight w:val="none"/>
                      <w:lang w:val="en-US" w:eastAsia="zh-CN"/>
                    </w:rPr>
                    <w:t>23</w:t>
                  </w:r>
                  <w:r>
                    <w:rPr>
                      <w:rFonts w:hint="default" w:ascii="Times New Roman" w:hAnsi="Times New Roman" w:eastAsia="宋体" w:cs="Times New Roman"/>
                      <w:color w:val="auto"/>
                      <w:kern w:val="0"/>
                      <w:sz w:val="21"/>
                      <w:szCs w:val="21"/>
                      <w:highlight w:val="none"/>
                    </w:rPr>
                    <w:t>）</w:t>
                  </w:r>
                  <w:r>
                    <w:rPr>
                      <w:rFonts w:hint="eastAsia" w:eastAsia="宋体" w:cs="Times New Roman"/>
                      <w:color w:val="auto"/>
                      <w:kern w:val="0"/>
                      <w:sz w:val="21"/>
                      <w:szCs w:val="21"/>
                      <w:highlight w:val="none"/>
                      <w:lang w:val="en-US" w:eastAsia="zh-CN"/>
                    </w:rPr>
                    <w:t>重点防渗进行</w:t>
                  </w:r>
                  <w:r>
                    <w:rPr>
                      <w:rFonts w:hint="eastAsia" w:eastAsia="宋体"/>
                      <w:color w:val="auto"/>
                      <w:kern w:val="0"/>
                      <w:sz w:val="21"/>
                      <w:szCs w:val="21"/>
                      <w:lang w:eastAsia="zh-CN"/>
                    </w:rPr>
                    <w:t>设计建设：</w:t>
                  </w:r>
                  <w:r>
                    <w:rPr>
                      <w:rFonts w:hint="eastAsia" w:eastAsia="宋体" w:cs="Times New Roman"/>
                      <w:color w:val="auto"/>
                      <w:sz w:val="21"/>
                      <w:szCs w:val="21"/>
                      <w:lang w:val="en-US" w:eastAsia="zh-CN"/>
                    </w:rPr>
                    <w:t>基础必须进行防渗，防渗层至少为1m厚粘土层（渗透系数</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zh-CN"/>
                    </w:rPr>
                    <w:t>10</w:t>
                  </w:r>
                  <w:r>
                    <w:rPr>
                      <w:rFonts w:hint="default" w:ascii="Times New Roman" w:hAnsi="Times New Roman" w:eastAsia="宋体" w:cs="Times New Roman"/>
                      <w:color w:val="auto"/>
                      <w:sz w:val="21"/>
                      <w:szCs w:val="21"/>
                      <w:vertAlign w:val="superscript"/>
                      <w:lang w:val="zh-CN"/>
                    </w:rPr>
                    <w:t>-</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lang w:val="zh-CN"/>
                    </w:rPr>
                    <w:t>cm/s</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或2mm厚高密度聚乙烯，或至少2mm厚的其他人工材料，渗透系数≤</w:t>
                  </w:r>
                  <w:r>
                    <w:rPr>
                      <w:rFonts w:hint="eastAsia" w:eastAsia="宋体"/>
                      <w:color w:val="auto"/>
                      <w:kern w:val="0"/>
                      <w:sz w:val="21"/>
                      <w:szCs w:val="21"/>
                      <w:lang w:eastAsia="zh-CN"/>
                    </w:rPr>
                    <w:t>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eastAsia" w:eastAsia="宋体"/>
                      <w:color w:val="auto"/>
                      <w:kern w:val="0"/>
                      <w:sz w:val="21"/>
                      <w:szCs w:val="21"/>
                      <w:lang w:eastAsia="zh-CN"/>
                    </w:rPr>
                    <w:t>。</w:t>
                  </w:r>
                </w:p>
              </w:tc>
              <w:tc>
                <w:tcPr>
                  <w:tcW w:w="510" w:type="pct"/>
                  <w:vAlign w:val="center"/>
                </w:tcPr>
                <w:p w14:paraId="34F1BE9B">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kern w:val="0"/>
                      <w:sz w:val="21"/>
                      <w:szCs w:val="21"/>
                      <w:highlight w:val="none"/>
                      <w:shd w:val="clear" w:color="auto" w:fill="auto"/>
                      <w:lang w:val="en-US" w:eastAsia="zh-CN"/>
                    </w:rPr>
                  </w:pPr>
                  <w:r>
                    <w:rPr>
                      <w:rFonts w:hint="eastAsia" w:eastAsia="宋体"/>
                      <w:color w:val="auto"/>
                      <w:kern w:val="0"/>
                      <w:sz w:val="21"/>
                      <w:szCs w:val="21"/>
                      <w:highlight w:val="none"/>
                      <w:shd w:val="clear" w:color="auto" w:fill="auto"/>
                      <w:lang w:val="en-US" w:eastAsia="zh-CN"/>
                    </w:rPr>
                    <w:t>新建</w:t>
                  </w:r>
                </w:p>
              </w:tc>
            </w:tr>
            <w:tr w14:paraId="524F42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3" w:hRule="atLeast"/>
              </w:trPr>
              <w:tc>
                <w:tcPr>
                  <w:tcW w:w="290" w:type="pct"/>
                  <w:vMerge w:val="continue"/>
                  <w:vAlign w:val="center"/>
                </w:tcPr>
                <w:p w14:paraId="3B5856F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rPr>
                  </w:pPr>
                </w:p>
              </w:tc>
              <w:tc>
                <w:tcPr>
                  <w:tcW w:w="862" w:type="pct"/>
                  <w:shd w:val="clear" w:color="auto" w:fill="auto"/>
                  <w:vAlign w:val="center"/>
                </w:tcPr>
                <w:p w14:paraId="27E7B0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yellow"/>
                      <w:shd w:val="clear" w:color="auto" w:fill="auto"/>
                      <w:lang w:val="en-US" w:eastAsia="zh-CN" w:bidi="ar-SA"/>
                    </w:rPr>
                  </w:pPr>
                  <w:r>
                    <w:rPr>
                      <w:rFonts w:hint="eastAsia"/>
                      <w:color w:val="auto"/>
                      <w:kern w:val="0"/>
                      <w:sz w:val="21"/>
                      <w:szCs w:val="21"/>
                      <w:highlight w:val="none"/>
                      <w:shd w:val="clear" w:color="auto" w:fill="auto"/>
                      <w:lang w:val="en-US" w:eastAsia="zh-CN"/>
                    </w:rPr>
                    <w:t>生态恢复措施</w:t>
                  </w:r>
                </w:p>
              </w:tc>
              <w:tc>
                <w:tcPr>
                  <w:tcW w:w="3335" w:type="pct"/>
                  <w:shd w:val="clear" w:color="auto" w:fill="auto"/>
                  <w:vAlign w:val="center"/>
                </w:tcPr>
                <w:p w14:paraId="021B0EF4">
                  <w:pPr>
                    <w:pStyle w:val="91"/>
                    <w:keepNext w:val="0"/>
                    <w:keepLines w:val="0"/>
                    <w:suppressLineNumbers w:val="0"/>
                    <w:overflowPunct w:val="0"/>
                    <w:spacing w:before="0" w:beforeAutospacing="0" w:after="0" w:afterAutospacing="0" w:line="240" w:lineRule="auto"/>
                    <w:ind w:left="0" w:right="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植物措施</w:t>
                  </w:r>
                  <w:r>
                    <w:rPr>
                      <w:rFonts w:hint="eastAsia" w:ascii="Times New Roman" w:hAnsi="Times New Roman" w:eastAsia="宋体" w:cs="Times New Roman"/>
                      <w:color w:val="auto"/>
                      <w:kern w:val="2"/>
                      <w:sz w:val="21"/>
                      <w:szCs w:val="21"/>
                      <w:lang w:val="en-US" w:eastAsia="zh-CN" w:bidi="ar-SA"/>
                    </w:rPr>
                    <w:t>：施工场地区撒播灌草</w:t>
                  </w:r>
                  <w:r>
                    <w:rPr>
                      <w:rFonts w:hint="default" w:ascii="Times New Roman" w:hAnsi="Times New Roman" w:eastAsia="宋体" w:cs="Times New Roman"/>
                      <w:color w:val="auto"/>
                      <w:kern w:val="2"/>
                      <w:sz w:val="21"/>
                      <w:szCs w:val="21"/>
                      <w:lang w:val="en-US" w:eastAsia="zh-CN" w:bidi="ar-SA"/>
                    </w:rPr>
                    <w:t>植被恢复</w:t>
                  </w:r>
                  <w:r>
                    <w:rPr>
                      <w:rFonts w:hint="eastAsia" w:ascii="Times New Roman" w:hAnsi="Times New Roman" w:eastAsia="宋体" w:cs="Times New Roman"/>
                      <w:color w:val="auto"/>
                      <w:kern w:val="2"/>
                      <w:sz w:val="21"/>
                      <w:szCs w:val="21"/>
                      <w:lang w:val="en-US" w:eastAsia="zh-CN" w:bidi="ar-SA"/>
                    </w:rPr>
                    <w:t>0.25</w:t>
                  </w:r>
                  <w:r>
                    <w:rPr>
                      <w:rFonts w:hint="default" w:ascii="Times New Roman" w:hAnsi="Times New Roman" w:eastAsia="宋体" w:cs="Times New Roman"/>
                      <w:color w:val="auto"/>
                      <w:kern w:val="2"/>
                      <w:sz w:val="21"/>
                      <w:szCs w:val="21"/>
                      <w:lang w:val="en-US" w:eastAsia="zh-CN" w:bidi="ar-SA"/>
                    </w:rPr>
                    <w:t>hm</w:t>
                  </w:r>
                  <w:r>
                    <w:rPr>
                      <w:rFonts w:hint="default"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w:t>
                  </w:r>
                </w:p>
                <w:p w14:paraId="1428BB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kern w:val="2"/>
                      <w:sz w:val="21"/>
                      <w:szCs w:val="21"/>
                      <w:lang w:val="en-US" w:eastAsia="zh-CN" w:bidi="ar-SA"/>
                    </w:rPr>
                    <w:t>临时措施</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光伏发电系统区临时覆盖</w:t>
                  </w:r>
                  <w:r>
                    <w:rPr>
                      <w:rFonts w:hint="eastAsia" w:ascii="Times New Roman" w:hAnsi="Times New Roman" w:eastAsia="宋体" w:cs="Times New Roman"/>
                      <w:color w:val="auto"/>
                      <w:kern w:val="2"/>
                      <w:sz w:val="21"/>
                      <w:szCs w:val="21"/>
                      <w:lang w:val="en-US" w:eastAsia="zh-CN" w:bidi="ar-SA"/>
                    </w:rPr>
                    <w:t>1500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施工场地</w:t>
                  </w:r>
                  <w:r>
                    <w:rPr>
                      <w:rFonts w:hint="default" w:ascii="Times New Roman" w:hAnsi="Times New Roman" w:eastAsia="宋体" w:cs="Times New Roman"/>
                      <w:color w:val="auto"/>
                      <w:kern w:val="2"/>
                      <w:sz w:val="21"/>
                      <w:szCs w:val="21"/>
                      <w:lang w:val="en-US" w:eastAsia="zh-CN" w:bidi="ar-SA"/>
                    </w:rPr>
                    <w:t>区：临时排水沟</w:t>
                  </w:r>
                  <w:r>
                    <w:rPr>
                      <w:rFonts w:hint="eastAsia" w:ascii="Times New Roman" w:hAnsi="Times New Roman" w:eastAsia="宋体" w:cs="Times New Roman"/>
                      <w:color w:val="auto"/>
                      <w:kern w:val="2"/>
                      <w:sz w:val="21"/>
                      <w:szCs w:val="21"/>
                      <w:lang w:val="en-US" w:eastAsia="zh-CN" w:bidi="ar-SA"/>
                    </w:rPr>
                    <w:t>220</w:t>
                  </w:r>
                  <w:r>
                    <w:rPr>
                      <w:rFonts w:hint="default" w:ascii="Times New Roman" w:hAnsi="Times New Roman" w:eastAsia="宋体" w:cs="Times New Roman"/>
                      <w:color w:val="auto"/>
                      <w:kern w:val="2"/>
                      <w:sz w:val="21"/>
                      <w:szCs w:val="21"/>
                      <w:lang w:val="en-US" w:eastAsia="zh-CN" w:bidi="ar-SA"/>
                    </w:rPr>
                    <w:t>m，沉</w:t>
                  </w:r>
                  <w:r>
                    <w:rPr>
                      <w:rFonts w:hint="eastAsia" w:cs="Times New Roman"/>
                      <w:color w:val="auto"/>
                      <w:kern w:val="2"/>
                      <w:sz w:val="21"/>
                      <w:szCs w:val="21"/>
                      <w:lang w:val="en-US" w:eastAsia="zh-CN" w:bidi="ar-SA"/>
                    </w:rPr>
                    <w:t>沙</w:t>
                  </w:r>
                  <w:r>
                    <w:rPr>
                      <w:rFonts w:hint="default" w:ascii="Times New Roman" w:hAnsi="Times New Roman" w:eastAsia="宋体" w:cs="Times New Roman"/>
                      <w:color w:val="auto"/>
                      <w:kern w:val="2"/>
                      <w:sz w:val="21"/>
                      <w:szCs w:val="21"/>
                      <w:lang w:val="en-US" w:eastAsia="zh-CN" w:bidi="ar-SA"/>
                    </w:rPr>
                    <w:t>池</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座</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临时覆盖</w:t>
                  </w:r>
                  <w:r>
                    <w:rPr>
                      <w:rFonts w:hint="eastAsia" w:ascii="Times New Roman" w:hAnsi="Times New Roman" w:eastAsia="宋体" w:cs="Times New Roman"/>
                      <w:color w:val="auto"/>
                      <w:kern w:val="2"/>
                      <w:sz w:val="21"/>
                      <w:szCs w:val="21"/>
                      <w:lang w:val="en-US" w:eastAsia="zh-CN" w:bidi="ar-SA"/>
                    </w:rPr>
                    <w:t>1000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，临时铺垫2500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w:t>
                  </w:r>
                </w:p>
              </w:tc>
              <w:tc>
                <w:tcPr>
                  <w:tcW w:w="510" w:type="pct"/>
                  <w:shd w:val="clear" w:color="auto" w:fill="auto"/>
                  <w:vAlign w:val="center"/>
                </w:tcPr>
                <w:p w14:paraId="0B17654E">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rPr>
                    <w:t>新建</w:t>
                  </w:r>
                </w:p>
              </w:tc>
            </w:tr>
            <w:tr w14:paraId="2A81C6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90" w:type="pct"/>
                  <w:vMerge w:val="restart"/>
                  <w:vAlign w:val="center"/>
                </w:tcPr>
                <w:p w14:paraId="7490D94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依托工程</w:t>
                  </w:r>
                </w:p>
              </w:tc>
              <w:tc>
                <w:tcPr>
                  <w:tcW w:w="862" w:type="pct"/>
                  <w:vAlign w:val="center"/>
                </w:tcPr>
                <w:p w14:paraId="1A83E536">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kern w:val="0"/>
                      <w:sz w:val="21"/>
                      <w:szCs w:val="21"/>
                      <w:highlight w:val="none"/>
                      <w:lang w:val="en-US" w:eastAsia="zh-CN" w:bidi="ar"/>
                    </w:rPr>
                    <w:t>升压站</w:t>
                  </w:r>
                </w:p>
              </w:tc>
              <w:tc>
                <w:tcPr>
                  <w:tcW w:w="3335" w:type="pct"/>
                  <w:vAlign w:val="center"/>
                </w:tcPr>
                <w:p w14:paraId="1E8FE36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olor w:val="auto"/>
                      <w:sz w:val="21"/>
                      <w:szCs w:val="21"/>
                      <w:highlight w:val="none"/>
                      <w:lang w:val="en-US" w:eastAsia="zh-CN"/>
                    </w:rPr>
                    <w:t>升压站配置两台主变，主变规模1×300MW+1×200MW，</w:t>
                  </w:r>
                  <w:r>
                    <w:rPr>
                      <w:rFonts w:hint="eastAsia"/>
                      <w:b w:val="0"/>
                      <w:bCs w:val="0"/>
                      <w:color w:val="auto"/>
                      <w:kern w:val="0"/>
                      <w:sz w:val="21"/>
                      <w:szCs w:val="21"/>
                      <w:highlight w:val="none"/>
                      <w:shd w:val="clear" w:color="auto" w:fill="auto"/>
                      <w:lang w:val="en-US" w:eastAsia="zh-CN"/>
                    </w:rPr>
                    <w:t>已考虑</w:t>
                  </w: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s="Times New Roman"/>
                      <w:b w:val="0"/>
                      <w:bCs w:val="0"/>
                      <w:color w:val="auto"/>
                      <w:sz w:val="21"/>
                      <w:szCs w:val="21"/>
                      <w:highlight w:val="none"/>
                      <w:lang w:val="en-US" w:eastAsia="zh-CN"/>
                    </w:rPr>
                    <w:t>300MW、石崖光伏发电项目</w:t>
                  </w:r>
                  <w:r>
                    <w:rPr>
                      <w:rFonts w:hint="eastAsia"/>
                      <w:b w:val="0"/>
                      <w:bCs w:val="0"/>
                      <w:color w:val="auto"/>
                      <w:kern w:val="0"/>
                      <w:sz w:val="21"/>
                      <w:szCs w:val="21"/>
                      <w:highlight w:val="none"/>
                      <w:shd w:val="clear" w:color="auto" w:fill="auto"/>
                      <w:lang w:val="en-US" w:eastAsia="zh-CN"/>
                    </w:rPr>
                    <w:t>100</w:t>
                  </w:r>
                  <w:r>
                    <w:rPr>
                      <w:rFonts w:hint="eastAsia"/>
                      <w:b w:val="0"/>
                      <w:bCs w:val="0"/>
                      <w:color w:val="auto"/>
                      <w:kern w:val="0"/>
                      <w:sz w:val="21"/>
                      <w:szCs w:val="21"/>
                      <w:highlight w:val="none"/>
                      <w:shd w:val="clear" w:color="auto" w:fill="auto"/>
                    </w:rPr>
                    <w:t>MW</w:t>
                  </w:r>
                  <w:r>
                    <w:rPr>
                      <w:rFonts w:hint="eastAsia"/>
                      <w:b w:val="0"/>
                      <w:bCs w:val="0"/>
                      <w:color w:val="auto"/>
                      <w:kern w:val="0"/>
                      <w:sz w:val="21"/>
                      <w:szCs w:val="21"/>
                      <w:highlight w:val="none"/>
                      <w:shd w:val="clear" w:color="auto" w:fill="auto"/>
                      <w:lang w:eastAsia="zh-CN"/>
                    </w:rPr>
                    <w:t>、</w:t>
                  </w:r>
                  <w:r>
                    <w:rPr>
                      <w:rFonts w:hint="eastAsia" w:cs="Times New Roman"/>
                      <w:b w:val="0"/>
                      <w:bCs w:val="0"/>
                      <w:color w:val="auto"/>
                      <w:sz w:val="21"/>
                      <w:szCs w:val="21"/>
                      <w:highlight w:val="none"/>
                      <w:lang w:val="en-US" w:eastAsia="zh-CN"/>
                    </w:rPr>
                    <w:t>梳山光伏发电项目50</w:t>
                  </w:r>
                  <w:r>
                    <w:rPr>
                      <w:rFonts w:hint="eastAsia"/>
                      <w:b w:val="0"/>
                      <w:bCs w:val="0"/>
                      <w:color w:val="auto"/>
                      <w:kern w:val="0"/>
                      <w:sz w:val="21"/>
                      <w:szCs w:val="21"/>
                      <w:highlight w:val="none"/>
                      <w:shd w:val="clear" w:color="auto" w:fill="auto"/>
                    </w:rPr>
                    <w:t>MW</w:t>
                  </w:r>
                  <w:r>
                    <w:rPr>
                      <w:rFonts w:hint="eastAsia"/>
                      <w:b w:val="0"/>
                      <w:bCs w:val="0"/>
                      <w:color w:val="auto"/>
                      <w:kern w:val="0"/>
                      <w:sz w:val="21"/>
                      <w:szCs w:val="21"/>
                      <w:highlight w:val="none"/>
                      <w:shd w:val="clear" w:color="auto" w:fill="auto"/>
                      <w:lang w:eastAsia="zh-CN"/>
                    </w:rPr>
                    <w:t>、巨龙梁风电场扩建项目124MW</w:t>
                  </w:r>
                  <w:r>
                    <w:rPr>
                      <w:rFonts w:hint="eastAsia"/>
                      <w:b w:val="0"/>
                      <w:bCs w:val="0"/>
                      <w:color w:val="auto"/>
                      <w:kern w:val="0"/>
                      <w:sz w:val="21"/>
                      <w:szCs w:val="21"/>
                      <w:highlight w:val="none"/>
                      <w:shd w:val="clear" w:color="auto" w:fill="auto"/>
                      <w:lang w:val="en-US" w:eastAsia="zh-CN"/>
                    </w:rPr>
                    <w:t>和本项目45MW容量</w:t>
                  </w:r>
                  <w:r>
                    <w:rPr>
                      <w:rFonts w:hint="eastAsia"/>
                      <w:color w:val="auto"/>
                      <w:sz w:val="21"/>
                      <w:szCs w:val="21"/>
                      <w:highlight w:val="none"/>
                      <w:lang w:val="en-US" w:eastAsia="zh-CN"/>
                    </w:rPr>
                    <w:t>，升压站占地面积1.125hm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r>
                    <w:rPr>
                      <w:rFonts w:hint="eastAsia"/>
                      <w:color w:val="auto"/>
                      <w:sz w:val="21"/>
                      <w:szCs w:val="21"/>
                      <w:highlight w:val="none"/>
                      <w:lang w:val="zh-CN" w:eastAsia="zh-CN"/>
                    </w:rPr>
                    <w:t>升压站西北侧布置综合楼及附属用房，中部布置生产楼、主变、事故油池、</w:t>
                  </w:r>
                  <w:r>
                    <w:rPr>
                      <w:rFonts w:hint="eastAsia"/>
                      <w:color w:val="auto"/>
                      <w:sz w:val="21"/>
                      <w:szCs w:val="21"/>
                      <w:highlight w:val="none"/>
                      <w:lang w:val="en-US" w:eastAsia="zh-CN"/>
                    </w:rPr>
                    <w:t>危废贮存库、</w:t>
                  </w:r>
                  <w:r>
                    <w:rPr>
                      <w:rFonts w:hint="eastAsia"/>
                      <w:color w:val="auto"/>
                      <w:sz w:val="21"/>
                      <w:szCs w:val="21"/>
                      <w:highlight w:val="none"/>
                      <w:lang w:val="zh-CN" w:eastAsia="zh-CN"/>
                    </w:rPr>
                    <w:t>无功装置及室外GIS，东南侧</w:t>
                  </w:r>
                  <w:r>
                    <w:rPr>
                      <w:rFonts w:hint="eastAsia"/>
                      <w:color w:val="auto"/>
                      <w:sz w:val="21"/>
                      <w:szCs w:val="21"/>
                      <w:highlight w:val="none"/>
                      <w:lang w:val="en-US" w:eastAsia="zh-CN"/>
                    </w:rPr>
                    <w:t>预留储能用地。升压站采用户外布置。升压站在</w:t>
                  </w: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olor w:val="auto"/>
                      <w:sz w:val="21"/>
                      <w:szCs w:val="21"/>
                      <w:highlight w:val="none"/>
                      <w:lang w:val="en-US" w:eastAsia="zh-CN"/>
                    </w:rPr>
                    <w:t>建设时同步</w:t>
                  </w:r>
                  <w:r>
                    <w:rPr>
                      <w:rFonts w:hint="eastAsia" w:ascii="Times New Roman" w:hAnsi="Times New Roman" w:eastAsia="宋体" w:cs="Times New Roman"/>
                      <w:color w:val="auto"/>
                      <w:sz w:val="21"/>
                      <w:szCs w:val="21"/>
                      <w:highlight w:val="none"/>
                      <w:lang w:val="en-US" w:eastAsia="zh-CN"/>
                    </w:rPr>
                    <w:t>建成。</w:t>
                  </w:r>
                </w:p>
              </w:tc>
              <w:tc>
                <w:tcPr>
                  <w:tcW w:w="510" w:type="pct"/>
                  <w:vAlign w:val="center"/>
                </w:tcPr>
                <w:p w14:paraId="02F489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依托</w:t>
                  </w:r>
                </w:p>
              </w:tc>
            </w:tr>
            <w:tr w14:paraId="2630CE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Merge w:val="continue"/>
                  <w:vAlign w:val="center"/>
                </w:tcPr>
                <w:p w14:paraId="37FC3E9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862" w:type="pct"/>
                  <w:shd w:val="clear" w:color="auto" w:fill="auto"/>
                  <w:vAlign w:val="center"/>
                </w:tcPr>
                <w:p w14:paraId="506953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color w:val="auto"/>
                      <w:kern w:val="0"/>
                      <w:sz w:val="21"/>
                      <w:szCs w:val="21"/>
                      <w:highlight w:val="yellow"/>
                      <w:lang w:val="en-US" w:eastAsia="zh-CN" w:bidi="ar"/>
                    </w:rPr>
                  </w:pPr>
                  <w:r>
                    <w:rPr>
                      <w:rFonts w:hint="eastAsia" w:ascii="宋体" w:hAnsi="宋体" w:cs="宋体"/>
                      <w:color w:val="auto"/>
                      <w:kern w:val="0"/>
                      <w:sz w:val="21"/>
                      <w:szCs w:val="21"/>
                      <w:highlight w:val="none"/>
                      <w:lang w:val="en-US" w:eastAsia="zh-CN" w:bidi="ar"/>
                    </w:rPr>
                    <w:t>生活区</w:t>
                  </w:r>
                </w:p>
              </w:tc>
              <w:tc>
                <w:tcPr>
                  <w:tcW w:w="3335" w:type="pct"/>
                  <w:shd w:val="clear" w:color="auto" w:fill="auto"/>
                  <w:vAlign w:val="center"/>
                </w:tcPr>
                <w:p w14:paraId="6948CB7F">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yellow"/>
                      <w:shd w:val="clear" w:color="auto" w:fill="auto"/>
                      <w:lang w:val="en-US" w:eastAsia="zh-CN" w:bidi="ar-SA"/>
                    </w:rPr>
                  </w:pPr>
                  <w:r>
                    <w:rPr>
                      <w:rFonts w:hint="eastAsia" w:cs="Times New Roman"/>
                      <w:color w:val="auto"/>
                      <w:kern w:val="0"/>
                      <w:sz w:val="21"/>
                      <w:szCs w:val="21"/>
                      <w:highlight w:val="none"/>
                      <w:vertAlign w:val="baseline"/>
                      <w:lang w:val="en-US" w:eastAsia="zh-CN"/>
                    </w:rPr>
                    <w:t>依托</w:t>
                  </w: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cs="Times New Roman"/>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生活区位于</w:t>
                  </w:r>
                  <w:r>
                    <w:rPr>
                      <w:rFonts w:hint="eastAsia" w:cs="Times New Roman"/>
                      <w:color w:val="auto"/>
                      <w:kern w:val="0"/>
                      <w:sz w:val="21"/>
                      <w:szCs w:val="21"/>
                      <w:highlight w:val="none"/>
                      <w:vertAlign w:val="baseline"/>
                      <w:lang w:val="en-US" w:eastAsia="zh-CN"/>
                    </w:rPr>
                    <w:t>升压站</w:t>
                  </w:r>
                  <w:r>
                    <w:rPr>
                      <w:rFonts w:hint="eastAsia" w:ascii="Times New Roman" w:hAnsi="Times New Roman" w:eastAsia="宋体"/>
                      <w:color w:val="auto"/>
                      <w:kern w:val="0"/>
                      <w:sz w:val="21"/>
                      <w:szCs w:val="21"/>
                      <w:highlight w:val="none"/>
                      <w:lang w:eastAsia="zh-CN"/>
                    </w:rPr>
                    <w:t>西</w:t>
                  </w:r>
                  <w:r>
                    <w:rPr>
                      <w:rFonts w:hint="eastAsia"/>
                      <w:color w:val="auto"/>
                      <w:kern w:val="0"/>
                      <w:sz w:val="21"/>
                      <w:szCs w:val="21"/>
                      <w:highlight w:val="none"/>
                      <w:lang w:val="en-US" w:eastAsia="zh-CN"/>
                    </w:rPr>
                    <w:t>南部</w:t>
                  </w:r>
                  <w:r>
                    <w:rPr>
                      <w:rFonts w:hint="eastAsia" w:ascii="Times New Roman" w:hAnsi="Times New Roman" w:eastAsia="宋体"/>
                      <w:color w:val="auto"/>
                      <w:kern w:val="0"/>
                      <w:sz w:val="21"/>
                      <w:szCs w:val="21"/>
                      <w:highlight w:val="none"/>
                      <w:lang w:eastAsia="zh-CN"/>
                    </w:rPr>
                    <w:t>，</w:t>
                  </w:r>
                  <w:r>
                    <w:rPr>
                      <w:rFonts w:hint="eastAsia" w:ascii="宋体" w:hAnsi="宋体" w:eastAsia="宋体" w:cs="宋体"/>
                      <w:color w:val="auto"/>
                      <w:kern w:val="0"/>
                      <w:sz w:val="21"/>
                      <w:szCs w:val="21"/>
                      <w:lang w:val="en-US" w:eastAsia="zh-CN" w:bidi="ar"/>
                    </w:rPr>
                    <w:t>为</w:t>
                  </w: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层框架剪力墙结构，一层布置有主控室（含消防控制）、档案室、工器具室、厨房、餐厅、卫生间、宿舍、门厅等，层高</w:t>
                  </w:r>
                  <w:r>
                    <w:rPr>
                      <w:rFonts w:hint="default" w:ascii="Times New Roman" w:hAnsi="Times New Roman" w:eastAsia="宋体" w:cs="Times New Roman"/>
                      <w:color w:val="auto"/>
                      <w:kern w:val="0"/>
                      <w:sz w:val="21"/>
                      <w:szCs w:val="21"/>
                      <w:lang w:val="en-US" w:eastAsia="zh-CN" w:bidi="ar"/>
                    </w:rPr>
                    <w:t>3.9m</w:t>
                  </w:r>
                  <w:r>
                    <w:rPr>
                      <w:rFonts w:hint="eastAsia" w:ascii="宋体" w:hAnsi="宋体" w:eastAsia="宋体" w:cs="宋体"/>
                      <w:color w:val="auto"/>
                      <w:kern w:val="0"/>
                      <w:sz w:val="21"/>
                      <w:szCs w:val="21"/>
                      <w:lang w:val="en-US" w:eastAsia="zh-CN" w:bidi="ar"/>
                    </w:rPr>
                    <w:t>；二层布置有办公室、会议室、值班室、宿舍、卫生间等，层高</w:t>
                  </w:r>
                  <w:r>
                    <w:rPr>
                      <w:rFonts w:hint="default" w:ascii="Times New Roman" w:hAnsi="Times New Roman" w:eastAsia="宋体" w:cs="Times New Roman"/>
                      <w:color w:val="auto"/>
                      <w:kern w:val="0"/>
                      <w:sz w:val="21"/>
                      <w:szCs w:val="21"/>
                      <w:lang w:val="en-US" w:eastAsia="zh-CN" w:bidi="ar"/>
                    </w:rPr>
                    <w:t>3.9m</w:t>
                  </w:r>
                  <w:r>
                    <w:rPr>
                      <w:rFonts w:hint="eastAsia" w:ascii="宋体" w:hAnsi="宋体" w:eastAsia="宋体" w:cs="宋体"/>
                      <w:color w:val="auto"/>
                      <w:kern w:val="0"/>
                      <w:sz w:val="21"/>
                      <w:szCs w:val="21"/>
                      <w:lang w:val="en-US" w:eastAsia="zh-CN" w:bidi="ar"/>
                    </w:rPr>
                    <w:t>；三层布置有办公室、员工活动室、宿舍、卫生间等，层高</w:t>
                  </w:r>
                  <w:r>
                    <w:rPr>
                      <w:rFonts w:hint="default" w:ascii="Times New Roman" w:hAnsi="Times New Roman" w:eastAsia="宋体" w:cs="Times New Roman"/>
                      <w:color w:val="auto"/>
                      <w:kern w:val="0"/>
                      <w:sz w:val="21"/>
                      <w:szCs w:val="21"/>
                      <w:lang w:val="en-US" w:eastAsia="zh-CN" w:bidi="ar"/>
                    </w:rPr>
                    <w:t>3.9m</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highlight w:val="none"/>
                      <w:lang w:val="en-US" w:eastAsia="zh-CN" w:bidi="ar"/>
                    </w:rPr>
                    <w:t>占地面积</w:t>
                  </w:r>
                  <w:r>
                    <w:rPr>
                      <w:rFonts w:hint="default" w:ascii="Times New Roman" w:hAnsi="Times New Roman" w:eastAsia="宋体" w:cs="Times New Roman"/>
                      <w:color w:val="auto"/>
                      <w:kern w:val="0"/>
                      <w:sz w:val="21"/>
                      <w:szCs w:val="21"/>
                      <w:highlight w:val="none"/>
                      <w:lang w:val="en-US" w:eastAsia="zh-CN" w:bidi="ar"/>
                    </w:rPr>
                    <w:t>为</w:t>
                  </w:r>
                  <w:r>
                    <w:rPr>
                      <w:rFonts w:hint="eastAsia" w:cs="Times New Roman"/>
                      <w:color w:val="auto"/>
                      <w:kern w:val="0"/>
                      <w:sz w:val="21"/>
                      <w:szCs w:val="21"/>
                      <w:highlight w:val="none"/>
                      <w:lang w:val="en-US" w:eastAsia="zh-CN" w:bidi="ar"/>
                    </w:rPr>
                    <w:t>591.67</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eastAsia" w:ascii="Times New Roman" w:hAnsi="Times New Roman" w:eastAsia="宋体" w:cs="Times New Roman"/>
                      <w:color w:val="auto"/>
                      <w:kern w:val="0"/>
                      <w:sz w:val="21"/>
                      <w:szCs w:val="21"/>
                      <w:highlight w:val="none"/>
                      <w:lang w:val="en-US" w:eastAsia="zh-CN" w:bidi="ar"/>
                    </w:rPr>
                    <w:t>，</w:t>
                  </w:r>
                  <w:r>
                    <w:rPr>
                      <w:rFonts w:hint="default" w:eastAsia="宋体"/>
                      <w:color w:val="auto"/>
                      <w:kern w:val="0"/>
                      <w:sz w:val="21"/>
                      <w:szCs w:val="21"/>
                      <w:highlight w:val="none"/>
                    </w:rPr>
                    <w:t>建筑面积</w:t>
                  </w:r>
                  <w:r>
                    <w:rPr>
                      <w:rFonts w:hint="eastAsia"/>
                      <w:color w:val="auto"/>
                      <w:kern w:val="0"/>
                      <w:sz w:val="21"/>
                      <w:szCs w:val="21"/>
                      <w:highlight w:val="none"/>
                      <w:lang w:val="en-US" w:eastAsia="zh-CN"/>
                    </w:rPr>
                    <w:t>1775</w:t>
                  </w:r>
                  <w:r>
                    <w:rPr>
                      <w:rFonts w:hint="default" w:eastAsia="宋体"/>
                      <w:color w:val="auto"/>
                      <w:kern w:val="0"/>
                      <w:sz w:val="21"/>
                      <w:szCs w:val="21"/>
                      <w:highlight w:val="none"/>
                    </w:rPr>
                    <w:t>m</w:t>
                  </w:r>
                  <w:r>
                    <w:rPr>
                      <w:rFonts w:hint="default" w:eastAsia="宋体"/>
                      <w:color w:val="auto"/>
                      <w:kern w:val="0"/>
                      <w:sz w:val="21"/>
                      <w:szCs w:val="21"/>
                      <w:highlight w:val="none"/>
                      <w:vertAlign w:val="superscript"/>
                    </w:rPr>
                    <w:t>2</w:t>
                  </w:r>
                  <w:r>
                    <w:rPr>
                      <w:rFonts w:hint="default" w:eastAsia="宋体"/>
                      <w:color w:val="auto"/>
                      <w:spacing w:val="4"/>
                      <w:sz w:val="21"/>
                      <w:szCs w:val="21"/>
                      <w:highlight w:val="none"/>
                    </w:rPr>
                    <w:t>。</w:t>
                  </w:r>
                </w:p>
              </w:tc>
              <w:tc>
                <w:tcPr>
                  <w:tcW w:w="510" w:type="pct"/>
                  <w:shd w:val="clear" w:color="auto" w:fill="auto"/>
                  <w:vAlign w:val="center"/>
                </w:tcPr>
                <w:p w14:paraId="0D6691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3" w:lineRule="exact"/>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依托</w:t>
                  </w:r>
                </w:p>
              </w:tc>
            </w:tr>
            <w:tr w14:paraId="0C72A9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Merge w:val="continue"/>
                  <w:vAlign w:val="center"/>
                </w:tcPr>
                <w:p w14:paraId="2FD7041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862" w:type="pct"/>
                  <w:vAlign w:val="center"/>
                </w:tcPr>
                <w:p w14:paraId="4EDF5C30">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一般固废暂存间</w:t>
                  </w:r>
                </w:p>
              </w:tc>
              <w:tc>
                <w:tcPr>
                  <w:tcW w:w="3335" w:type="pct"/>
                  <w:vAlign w:val="center"/>
                </w:tcPr>
                <w:p w14:paraId="7B42AE39">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竹园沟</w:t>
                  </w:r>
                  <w:r>
                    <w:rPr>
                      <w:rFonts w:hint="default"/>
                      <w:color w:val="auto"/>
                      <w:sz w:val="21"/>
                      <w:szCs w:val="21"/>
                      <w:highlight w:val="none"/>
                      <w:lang w:val="en-US" w:eastAsia="zh-CN"/>
                    </w:rPr>
                    <w:t>光伏发电项目</w:t>
                  </w:r>
                  <w:r>
                    <w:rPr>
                      <w:rFonts w:hint="eastAsia"/>
                      <w:color w:val="auto"/>
                      <w:sz w:val="21"/>
                      <w:szCs w:val="21"/>
                      <w:highlight w:val="none"/>
                      <w:lang w:val="zh-CN" w:eastAsia="zh-CN"/>
                    </w:rPr>
                    <w:t>在综合楼内设置</w:t>
                  </w:r>
                  <w:r>
                    <w:rPr>
                      <w:rFonts w:hint="eastAsia"/>
                      <w:color w:val="auto"/>
                      <w:sz w:val="21"/>
                      <w:szCs w:val="21"/>
                      <w:highlight w:val="none"/>
                      <w:lang w:val="en-US" w:eastAsia="zh-CN"/>
                    </w:rPr>
                    <w:t>1间10</w:t>
                  </w:r>
                  <w:r>
                    <w:rPr>
                      <w:rFonts w:hint="default"/>
                      <w:color w:val="auto"/>
                      <w:sz w:val="21"/>
                      <w:szCs w:val="21"/>
                      <w:highlight w:val="none"/>
                      <w:lang w:val="en-US" w:eastAsia="zh-CN"/>
                    </w:rPr>
                    <w:t>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的一般工业固废暂存间。</w:t>
                  </w:r>
                </w:p>
              </w:tc>
              <w:tc>
                <w:tcPr>
                  <w:tcW w:w="510" w:type="pct"/>
                  <w:vAlign w:val="center"/>
                </w:tcPr>
                <w:p w14:paraId="479C62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w:t>
                  </w:r>
                </w:p>
              </w:tc>
            </w:tr>
            <w:tr w14:paraId="2B4ED2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Merge w:val="continue"/>
                  <w:vAlign w:val="center"/>
                </w:tcPr>
                <w:p w14:paraId="2FE7C75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862" w:type="pct"/>
                  <w:vAlign w:val="center"/>
                </w:tcPr>
                <w:p w14:paraId="096C84FA">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color w:val="auto"/>
                      <w:sz w:val="21"/>
                      <w:szCs w:val="21"/>
                      <w:highlight w:val="none"/>
                      <w:lang w:val="en-US" w:eastAsia="zh-CN"/>
                    </w:rPr>
                    <w:t>危废贮存库</w:t>
                  </w:r>
                </w:p>
              </w:tc>
              <w:tc>
                <w:tcPr>
                  <w:tcW w:w="3335" w:type="pct"/>
                  <w:vAlign w:val="center"/>
                </w:tcPr>
                <w:p w14:paraId="0D154B2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b w:val="0"/>
                      <w:bCs w:val="0"/>
                      <w:color w:val="auto"/>
                      <w:sz w:val="21"/>
                      <w:szCs w:val="21"/>
                      <w:highlight w:val="none"/>
                      <w:lang w:val="en-US" w:eastAsia="zh-CN"/>
                    </w:rPr>
                    <w:t>竹园沟光伏发电项目</w:t>
                  </w:r>
                  <w:r>
                    <w:rPr>
                      <w:rFonts w:hint="default" w:ascii="Times New Roman" w:hAnsi="Times New Roman" w:eastAsia="宋体" w:cs="Times New Roman"/>
                      <w:color w:val="auto"/>
                      <w:kern w:val="2"/>
                      <w:sz w:val="21"/>
                      <w:szCs w:val="21"/>
                      <w:highlight w:val="none"/>
                      <w:lang w:val="en-US" w:eastAsia="zh-CN" w:bidi="ar-SA"/>
                    </w:rPr>
                    <w:t>在升压站</w:t>
                  </w:r>
                  <w:r>
                    <w:rPr>
                      <w:rFonts w:hint="default" w:ascii="Times New Roman" w:hAnsi="Times New Roman" w:eastAsia="宋体" w:cs="Times New Roman"/>
                      <w:color w:val="auto"/>
                      <w:kern w:val="0"/>
                      <w:sz w:val="21"/>
                      <w:szCs w:val="21"/>
                      <w:highlight w:val="none"/>
                      <w:lang w:eastAsia="zh-CN"/>
                    </w:rPr>
                    <w:t>西</w:t>
                  </w:r>
                  <w:r>
                    <w:rPr>
                      <w:rFonts w:hint="default" w:ascii="Times New Roman" w:hAnsi="Times New Roman" w:eastAsia="宋体" w:cs="Times New Roman"/>
                      <w:color w:val="auto"/>
                      <w:kern w:val="0"/>
                      <w:sz w:val="21"/>
                      <w:szCs w:val="21"/>
                      <w:highlight w:val="none"/>
                      <w:lang w:val="en-US" w:eastAsia="zh-CN"/>
                    </w:rPr>
                    <w:t>部设置1间</w:t>
                  </w:r>
                  <w:r>
                    <w:rPr>
                      <w:rFonts w:hint="eastAsia" w:eastAsia="宋体" w:cs="Times New Roman"/>
                      <w:color w:val="auto"/>
                      <w:kern w:val="0"/>
                      <w:sz w:val="21"/>
                      <w:szCs w:val="21"/>
                      <w:highlight w:val="none"/>
                      <w:lang w:val="en-US" w:eastAsia="zh-CN"/>
                    </w:rPr>
                    <w:t>42.25</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危废贮存库</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为单层钢筋混凝土框架结构，层高3.</w:t>
                  </w:r>
                  <w:r>
                    <w:rPr>
                      <w:rFonts w:hint="eastAsia" w:eastAsia="宋体" w:cs="Times New Roman"/>
                      <w:color w:val="auto"/>
                      <w:kern w:val="0"/>
                      <w:sz w:val="21"/>
                      <w:szCs w:val="21"/>
                      <w:highlight w:val="none"/>
                      <w:lang w:val="en-US" w:eastAsia="zh-CN" w:bidi="ar"/>
                    </w:rPr>
                    <w:t>9</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sz w:val="21"/>
                      <w:szCs w:val="21"/>
                      <w:highlight w:val="none"/>
                      <w:lang w:val="en-US" w:eastAsia="zh-CN"/>
                    </w:rPr>
                    <w:t>危废贮存库</w:t>
                  </w:r>
                  <w:r>
                    <w:rPr>
                      <w:rFonts w:hint="default" w:ascii="Times New Roman" w:hAnsi="Times New Roman" w:eastAsia="宋体" w:cs="Times New Roman"/>
                      <w:color w:val="auto"/>
                      <w:kern w:val="2"/>
                      <w:sz w:val="21"/>
                      <w:szCs w:val="21"/>
                      <w:highlight w:val="none"/>
                      <w:lang w:val="en-US" w:eastAsia="zh-CN" w:bidi="ar-SA"/>
                    </w:rPr>
                    <w:t>应严格按照《危险废物储存污染控制标准》（GB18597-2023）要求进行建设，地面用C30混凝土浇筑20cm进行硬化，同时地面和四周墙体须用防渗材料进行处理，墙体处理高度为1m左右，使渗透系数≤10</w:t>
                  </w:r>
                  <w:r>
                    <w:rPr>
                      <w:rFonts w:hint="default" w:ascii="Times New Roman" w:hAnsi="Times New Roman" w:eastAsia="宋体" w:cs="Times New Roman"/>
                      <w:color w:val="auto"/>
                      <w:kern w:val="2"/>
                      <w:sz w:val="21"/>
                      <w:szCs w:val="21"/>
                      <w:highlight w:val="none"/>
                      <w:vertAlign w:val="superscript"/>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cm/s。</w:t>
                  </w:r>
                </w:p>
              </w:tc>
              <w:tc>
                <w:tcPr>
                  <w:tcW w:w="510" w:type="pct"/>
                  <w:vAlign w:val="center"/>
                </w:tcPr>
                <w:p w14:paraId="11CA41A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w:t>
                  </w:r>
                </w:p>
              </w:tc>
            </w:tr>
            <w:tr w14:paraId="4DDCD7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290" w:type="pct"/>
                  <w:vAlign w:val="center"/>
                </w:tcPr>
                <w:p w14:paraId="10467C2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临时工程</w:t>
                  </w:r>
                </w:p>
              </w:tc>
              <w:tc>
                <w:tcPr>
                  <w:tcW w:w="862" w:type="pct"/>
                  <w:shd w:val="clear" w:color="auto" w:fill="auto"/>
                  <w:vAlign w:val="center"/>
                </w:tcPr>
                <w:p w14:paraId="3FDE58A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w:t>
                  </w:r>
                  <w:r>
                    <w:rPr>
                      <w:rFonts w:hint="default" w:ascii="Times New Roman" w:hAnsi="Times New Roman" w:eastAsia="宋体" w:cs="Times New Roman"/>
                      <w:b w:val="0"/>
                      <w:bCs w:val="0"/>
                      <w:color w:val="auto"/>
                      <w:sz w:val="21"/>
                      <w:szCs w:val="21"/>
                      <w:highlight w:val="none"/>
                      <w:lang w:val="en-US" w:eastAsia="zh-CN"/>
                    </w:rPr>
                    <w:t>场地</w:t>
                  </w:r>
                </w:p>
              </w:tc>
              <w:tc>
                <w:tcPr>
                  <w:tcW w:w="3335" w:type="pct"/>
                  <w:shd w:val="clear" w:color="auto" w:fill="auto"/>
                  <w:vAlign w:val="center"/>
                </w:tcPr>
                <w:p w14:paraId="143825A0">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设置</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个施工</w:t>
                  </w:r>
                  <w:r>
                    <w:rPr>
                      <w:rFonts w:hint="default" w:ascii="Times New Roman" w:hAnsi="Times New Roman" w:eastAsia="宋体" w:cs="Times New Roman"/>
                      <w:b w:val="0"/>
                      <w:bCs w:val="0"/>
                      <w:color w:val="auto"/>
                      <w:sz w:val="21"/>
                      <w:szCs w:val="21"/>
                      <w:highlight w:val="none"/>
                      <w:lang w:val="en-US" w:eastAsia="zh-CN"/>
                    </w:rPr>
                    <w:t>场地</w:t>
                  </w:r>
                  <w:r>
                    <w:rPr>
                      <w:rFonts w:hint="default" w:ascii="Times New Roman" w:hAnsi="Times New Roman" w:eastAsia="宋体" w:cs="Times New Roman"/>
                      <w:color w:val="auto"/>
                      <w:sz w:val="21"/>
                      <w:szCs w:val="21"/>
                      <w:highlight w:val="none"/>
                    </w:rPr>
                    <w:t>，</w:t>
                  </w:r>
                  <w:r>
                    <w:rPr>
                      <w:rFonts w:hint="default"/>
                      <w:color w:val="auto"/>
                      <w:sz w:val="21"/>
                      <w:szCs w:val="21"/>
                    </w:rPr>
                    <w:t>占地面积约</w:t>
                  </w:r>
                  <w:r>
                    <w:rPr>
                      <w:rFonts w:hint="eastAsia"/>
                      <w:color w:val="auto"/>
                      <w:sz w:val="21"/>
                      <w:szCs w:val="21"/>
                    </w:rPr>
                    <w:t>0.25</w:t>
                  </w:r>
                  <w:r>
                    <w:rPr>
                      <w:rFonts w:hint="default"/>
                      <w:color w:val="auto"/>
                      <w:sz w:val="21"/>
                      <w:szCs w:val="21"/>
                    </w:rPr>
                    <w:t>hm</w:t>
                  </w:r>
                  <w:r>
                    <w:rPr>
                      <w:rFonts w:hint="default"/>
                      <w:color w:val="auto"/>
                      <w:sz w:val="21"/>
                      <w:szCs w:val="21"/>
                      <w:vertAlign w:val="superscript"/>
                    </w:rPr>
                    <w:t>2</w:t>
                  </w:r>
                  <w:r>
                    <w:rPr>
                      <w:rFonts w:hint="eastAsia"/>
                      <w:color w:val="auto"/>
                      <w:sz w:val="21"/>
                      <w:szCs w:val="21"/>
                    </w:rPr>
                    <w:t>，布设在项目区东北地块南侧公路旁空地</w:t>
                  </w:r>
                  <w:r>
                    <w:rPr>
                      <w:rFonts w:hint="default"/>
                      <w:color w:val="auto"/>
                      <w:sz w:val="21"/>
                      <w:szCs w:val="21"/>
                    </w:rPr>
                    <w:t>平缓区域</w:t>
                  </w:r>
                  <w:r>
                    <w:rPr>
                      <w:rFonts w:hint="eastAsia"/>
                      <w:color w:val="auto"/>
                      <w:sz w:val="21"/>
                      <w:szCs w:val="21"/>
                    </w:rPr>
                    <w:t>内</w:t>
                  </w:r>
                  <w:r>
                    <w:rPr>
                      <w:rFonts w:hint="eastAsia"/>
                      <w:color w:val="auto"/>
                      <w:sz w:val="21"/>
                      <w:szCs w:val="21"/>
                      <w:lang w:eastAsia="zh-CN"/>
                    </w:rPr>
                    <w:t>，</w:t>
                  </w:r>
                  <w:r>
                    <w:rPr>
                      <w:rFonts w:hint="default"/>
                      <w:color w:val="auto"/>
                      <w:sz w:val="21"/>
                      <w:szCs w:val="21"/>
                    </w:rPr>
                    <w:t>主要</w:t>
                  </w:r>
                  <w:r>
                    <w:rPr>
                      <w:rFonts w:hint="eastAsia"/>
                      <w:color w:val="auto"/>
                      <w:sz w:val="21"/>
                      <w:szCs w:val="21"/>
                    </w:rPr>
                    <w:t>用作仓库、</w:t>
                  </w:r>
                  <w:r>
                    <w:rPr>
                      <w:rFonts w:hint="default"/>
                      <w:color w:val="auto"/>
                      <w:sz w:val="21"/>
                      <w:szCs w:val="21"/>
                    </w:rPr>
                    <w:t>钢结构</w:t>
                  </w:r>
                  <w:r>
                    <w:rPr>
                      <w:rFonts w:hint="eastAsia"/>
                      <w:color w:val="auto"/>
                      <w:sz w:val="21"/>
                      <w:szCs w:val="21"/>
                      <w:lang w:val="en-US" w:eastAsia="zh-CN"/>
                    </w:rPr>
                    <w:t>简单</w:t>
                  </w:r>
                  <w:r>
                    <w:rPr>
                      <w:rFonts w:hint="default"/>
                      <w:color w:val="auto"/>
                      <w:sz w:val="21"/>
                      <w:szCs w:val="21"/>
                    </w:rPr>
                    <w:t>加工</w:t>
                  </w:r>
                  <w:r>
                    <w:rPr>
                      <w:rFonts w:hint="eastAsia"/>
                      <w:color w:val="auto"/>
                      <w:sz w:val="21"/>
                      <w:szCs w:val="21"/>
                      <w:lang w:eastAsia="zh-CN"/>
                    </w:rPr>
                    <w:t>（</w:t>
                  </w:r>
                  <w:r>
                    <w:rPr>
                      <w:rFonts w:hint="eastAsia"/>
                      <w:color w:val="auto"/>
                      <w:sz w:val="21"/>
                      <w:szCs w:val="21"/>
                      <w:lang w:val="en-US" w:eastAsia="zh-CN"/>
                    </w:rPr>
                    <w:t>仅涉及调直、剪切、折弯工段</w:t>
                  </w:r>
                  <w:r>
                    <w:rPr>
                      <w:rFonts w:hint="eastAsia"/>
                      <w:color w:val="auto"/>
                      <w:sz w:val="21"/>
                      <w:szCs w:val="21"/>
                      <w:lang w:eastAsia="zh-CN"/>
                    </w:rPr>
                    <w:t>）</w:t>
                  </w:r>
                  <w:r>
                    <w:rPr>
                      <w:rFonts w:hint="default"/>
                      <w:color w:val="auto"/>
                      <w:sz w:val="21"/>
                      <w:szCs w:val="21"/>
                    </w:rPr>
                    <w:t>及堆放、太阳电池组件堆放</w:t>
                  </w:r>
                  <w:r>
                    <w:rPr>
                      <w:rFonts w:hint="eastAsia"/>
                      <w:color w:val="auto"/>
                      <w:sz w:val="21"/>
                      <w:szCs w:val="21"/>
                      <w:lang w:eastAsia="zh-CN"/>
                    </w:rPr>
                    <w:t>。</w:t>
                  </w:r>
                </w:p>
              </w:tc>
              <w:tc>
                <w:tcPr>
                  <w:tcW w:w="510" w:type="pct"/>
                  <w:shd w:val="clear" w:color="auto" w:fill="auto"/>
                  <w:vAlign w:val="center"/>
                </w:tcPr>
                <w:p w14:paraId="0D1AB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bl>
          <w:p w14:paraId="6C0E2B7F">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eastAsia"/>
                <w:b/>
                <w:bCs/>
                <w:color w:val="auto"/>
                <w:kern w:val="0"/>
                <w:sz w:val="24"/>
                <w:highlight w:val="none"/>
                <w:shd w:val="clear" w:color="auto" w:fill="auto"/>
              </w:rPr>
            </w:pPr>
            <w:r>
              <w:rPr>
                <w:rFonts w:hint="eastAsia"/>
                <w:b/>
                <w:bCs/>
                <w:color w:val="auto"/>
                <w:kern w:val="0"/>
                <w:sz w:val="24"/>
                <w:lang w:val="en-US" w:eastAsia="zh-CN"/>
              </w:rPr>
              <w:t>（一）光伏阵列区</w:t>
            </w:r>
          </w:p>
          <w:p w14:paraId="354F0BDB">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color w:val="auto"/>
                <w:kern w:val="0"/>
                <w:sz w:val="24"/>
                <w:highlight w:val="none"/>
                <w:shd w:val="clear" w:color="auto" w:fill="auto"/>
              </w:rPr>
            </w:pPr>
            <w:r>
              <w:rPr>
                <w:rFonts w:hint="eastAsia"/>
                <w:b/>
                <w:bCs/>
                <w:color w:val="auto"/>
                <w:kern w:val="0"/>
                <w:sz w:val="24"/>
                <w:highlight w:val="none"/>
                <w:shd w:val="clear" w:color="auto" w:fill="auto"/>
              </w:rPr>
              <w:t>1、</w:t>
            </w:r>
            <w:r>
              <w:rPr>
                <w:rFonts w:hint="default" w:ascii="Times New Roman" w:hAnsi="Times New Roman" w:cs="Times New Roman"/>
                <w:b/>
                <w:bCs/>
                <w:color w:val="auto"/>
                <w:kern w:val="0"/>
                <w:sz w:val="24"/>
                <w:szCs w:val="24"/>
                <w:highlight w:val="none"/>
                <w:shd w:val="clear" w:color="auto" w:fill="auto"/>
                <w:lang w:eastAsia="zh-CN"/>
              </w:rPr>
              <w:t>光伏</w:t>
            </w:r>
            <w:r>
              <w:rPr>
                <w:rFonts w:hint="eastAsia" w:cs="Times New Roman"/>
                <w:b/>
                <w:bCs/>
                <w:color w:val="auto"/>
                <w:kern w:val="0"/>
                <w:sz w:val="24"/>
                <w:szCs w:val="24"/>
                <w:highlight w:val="none"/>
                <w:shd w:val="clear" w:color="auto" w:fill="auto"/>
                <w:lang w:val="en-US" w:eastAsia="zh-CN"/>
              </w:rPr>
              <w:t>阵列</w:t>
            </w:r>
          </w:p>
          <w:p w14:paraId="5331E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本项目规划装机容量为</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5MW</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采用97838块</w:t>
            </w:r>
            <w:r>
              <w:rPr>
                <w:rFonts w:hint="eastAsia" w:ascii="Times New Roman" w:hAnsi="Times New Roman" w:eastAsia="宋体" w:cs="Times New Roman"/>
                <w:color w:val="auto"/>
                <w:sz w:val="24"/>
                <w:szCs w:val="24"/>
                <w:lang w:val="en-US" w:eastAsia="zh-CN"/>
              </w:rPr>
              <w:t>5</w:t>
            </w:r>
            <w:r>
              <w:rPr>
                <w:rFonts w:hint="eastAsia"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Wp的单晶硅双面光伏组件</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本项目共设计1</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个光伏发电单元。</w:t>
            </w:r>
          </w:p>
          <w:p w14:paraId="299DC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电池组件尺寸2278×1134×3</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mm，电池组件固定支架结合组件排列方式布置，支架倾斜角度为2</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°，采用横向檩条，纵向支架布置方案。一个结构单元内有4榀支架，支架由立柱、横梁及斜撑（或拉梁）组成。</w:t>
            </w:r>
          </w:p>
          <w:p w14:paraId="5596366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光伏支架采用单立柱钢支架结构，组件最小离地高度为2.5m。支架基础采用混凝土灌注桩基础及岩石锚杆基础。灌注桩基础桩基采用直径为300mm，桩深2.0m的混凝土灌注桩，桩顶高出地面0.5m，上部预埋钢管与支架立柱采用螺栓连接。岩石锚杆基础钻孔直径为70mm，锚杆为直径20的三级钢，锚杆锚入岩石的有效长度不小于800mm，每根立柱下设置3根锚杆，通过混凝土承台与支架立柱连接。</w:t>
            </w:r>
          </w:p>
          <w:p w14:paraId="56615FB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经比选，本项目拟采用</w:t>
            </w:r>
            <w:r>
              <w:rPr>
                <w:rFonts w:hint="eastAsia" w:cs="Times New Roman"/>
                <w:color w:val="auto"/>
                <w:sz w:val="24"/>
                <w:szCs w:val="24"/>
                <w:lang w:val="en-US" w:eastAsia="zh-CN"/>
              </w:rPr>
              <w:t>590</w:t>
            </w:r>
            <w:r>
              <w:rPr>
                <w:rFonts w:hint="default" w:ascii="Times New Roman" w:hAnsi="Times New Roman" w:eastAsia="宋体" w:cs="Times New Roman"/>
                <w:color w:val="auto"/>
                <w:sz w:val="24"/>
                <w:szCs w:val="24"/>
                <w:lang w:val="en-US" w:eastAsia="zh-CN"/>
              </w:rPr>
              <w:t>Wp的单晶硅双面光伏组件</w:t>
            </w:r>
            <w:r>
              <w:rPr>
                <w:rFonts w:hint="default" w:ascii="Times New Roman" w:hAnsi="Times New Roman" w:eastAsia="宋体" w:cs="Times New Roman"/>
                <w:color w:val="auto"/>
                <w:sz w:val="24"/>
                <w:szCs w:val="24"/>
                <w:lang w:eastAsia="zh-CN"/>
              </w:rPr>
              <w:t>进行光伏发电的系统设计。</w:t>
            </w:r>
          </w:p>
          <w:p w14:paraId="1067E16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b/>
                <w:bCs/>
                <w:color w:val="auto"/>
                <w:kern w:val="0"/>
                <w:sz w:val="21"/>
                <w:szCs w:val="21"/>
                <w:highlight w:val="none"/>
                <w:shd w:val="clear" w:color="auto" w:fill="auto"/>
                <w:lang w:eastAsia="zh-CN"/>
              </w:rPr>
            </w:pPr>
            <w:r>
              <w:rPr>
                <w:rFonts w:hint="default" w:ascii="Times New Roman" w:hAnsi="Times New Roman" w:cs="Times New Roman"/>
                <w:b/>
                <w:bCs/>
                <w:color w:val="auto"/>
                <w:kern w:val="0"/>
                <w:sz w:val="21"/>
                <w:szCs w:val="21"/>
                <w:highlight w:val="none"/>
                <w:shd w:val="clear" w:color="auto" w:fill="auto"/>
                <w:lang w:eastAsia="zh-CN"/>
              </w:rPr>
              <w:t>表</w:t>
            </w:r>
            <w:r>
              <w:rPr>
                <w:rFonts w:hint="eastAsia" w:ascii="Times New Roman" w:hAnsi="Times New Roman" w:cs="Times New Roman"/>
                <w:b/>
                <w:bCs/>
                <w:color w:val="auto"/>
                <w:kern w:val="0"/>
                <w:sz w:val="21"/>
                <w:szCs w:val="21"/>
                <w:highlight w:val="none"/>
                <w:shd w:val="clear" w:color="auto" w:fill="auto"/>
                <w:lang w:val="en-US" w:eastAsia="zh-CN"/>
              </w:rPr>
              <w:t>2-</w:t>
            </w:r>
            <w:r>
              <w:rPr>
                <w:rFonts w:hint="eastAsia" w:cs="Times New Roman"/>
                <w:b/>
                <w:bCs/>
                <w:color w:val="auto"/>
                <w:kern w:val="0"/>
                <w:sz w:val="21"/>
                <w:szCs w:val="21"/>
                <w:highlight w:val="none"/>
                <w:shd w:val="clear" w:color="auto" w:fill="auto"/>
                <w:lang w:val="en-US" w:eastAsia="zh-CN"/>
              </w:rPr>
              <w:t>2</w:t>
            </w:r>
            <w:r>
              <w:rPr>
                <w:rFonts w:hint="eastAsia" w:ascii="Times New Roman" w:hAnsi="Times New Roman" w:cs="Times New Roman"/>
                <w:b/>
                <w:bCs/>
                <w:color w:val="auto"/>
                <w:kern w:val="0"/>
                <w:sz w:val="21"/>
                <w:szCs w:val="21"/>
                <w:highlight w:val="none"/>
                <w:shd w:val="clear" w:color="auto" w:fill="auto"/>
                <w:lang w:val="en-US" w:eastAsia="zh-CN"/>
              </w:rPr>
              <w:t xml:space="preserve"> </w:t>
            </w:r>
            <w:r>
              <w:rPr>
                <w:rFonts w:hint="default" w:ascii="Times New Roman" w:hAnsi="Times New Roman" w:cs="Times New Roman"/>
                <w:b/>
                <w:bCs/>
                <w:color w:val="auto"/>
                <w:kern w:val="0"/>
                <w:sz w:val="21"/>
                <w:szCs w:val="21"/>
                <w:highlight w:val="none"/>
                <w:shd w:val="clear" w:color="auto" w:fill="auto"/>
                <w:lang w:eastAsia="zh-CN"/>
              </w:rPr>
              <w:t xml:space="preserve"> 5</w:t>
            </w:r>
            <w:r>
              <w:rPr>
                <w:rFonts w:hint="eastAsia" w:cs="Times New Roman"/>
                <w:b/>
                <w:bCs/>
                <w:color w:val="auto"/>
                <w:kern w:val="0"/>
                <w:sz w:val="21"/>
                <w:szCs w:val="21"/>
                <w:highlight w:val="none"/>
                <w:shd w:val="clear" w:color="auto" w:fill="auto"/>
                <w:lang w:val="en-US" w:eastAsia="zh-CN"/>
              </w:rPr>
              <w:t>90</w:t>
            </w:r>
            <w:r>
              <w:rPr>
                <w:rFonts w:hint="default" w:ascii="Times New Roman" w:hAnsi="Times New Roman" w:cs="Times New Roman"/>
                <w:b/>
                <w:bCs/>
                <w:color w:val="auto"/>
                <w:kern w:val="0"/>
                <w:sz w:val="21"/>
                <w:szCs w:val="21"/>
                <w:highlight w:val="none"/>
                <w:shd w:val="clear" w:color="auto" w:fill="auto"/>
                <w:lang w:eastAsia="zh-CN"/>
              </w:rPr>
              <w:t>Wp单晶硅组件参数</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1582"/>
              <w:gridCol w:w="2159"/>
              <w:gridCol w:w="1889"/>
            </w:tblGrid>
            <w:tr w14:paraId="3B75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noWrap w:val="0"/>
                  <w:vAlign w:val="center"/>
                </w:tcPr>
                <w:p w14:paraId="1C7BCEE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b/>
                      <w:bCs/>
                      <w:color w:val="auto"/>
                      <w:kern w:val="0"/>
                      <w:sz w:val="21"/>
                      <w:szCs w:val="21"/>
                      <w:vertAlign w:val="baseline"/>
                      <w:lang w:eastAsia="zh-CN"/>
                    </w:rPr>
                  </w:pPr>
                  <w:r>
                    <w:rPr>
                      <w:rFonts w:hint="eastAsia" w:ascii="Times New Roman" w:hAnsi="Times New Roman" w:cs="Times New Roman"/>
                      <w:b/>
                      <w:bCs/>
                      <w:color w:val="auto"/>
                      <w:kern w:val="0"/>
                      <w:sz w:val="21"/>
                      <w:szCs w:val="21"/>
                      <w:vertAlign w:val="baseline"/>
                      <w:lang w:eastAsia="zh-CN"/>
                    </w:rPr>
                    <w:t>项目</w:t>
                  </w:r>
                </w:p>
              </w:tc>
              <w:tc>
                <w:tcPr>
                  <w:tcW w:w="1050" w:type="pct"/>
                  <w:noWrap w:val="0"/>
                  <w:vAlign w:val="center"/>
                </w:tcPr>
                <w:p w14:paraId="02B4D87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b/>
                      <w:bCs/>
                      <w:color w:val="auto"/>
                      <w:kern w:val="0"/>
                      <w:sz w:val="21"/>
                      <w:szCs w:val="21"/>
                      <w:vertAlign w:val="baseline"/>
                      <w:lang w:eastAsia="zh-CN"/>
                    </w:rPr>
                  </w:pPr>
                  <w:r>
                    <w:rPr>
                      <w:rFonts w:hint="eastAsia" w:ascii="Times New Roman" w:hAnsi="Times New Roman" w:cs="Times New Roman"/>
                      <w:b/>
                      <w:bCs/>
                      <w:color w:val="auto"/>
                      <w:kern w:val="0"/>
                      <w:sz w:val="21"/>
                      <w:szCs w:val="21"/>
                      <w:vertAlign w:val="baseline"/>
                      <w:lang w:eastAsia="zh-CN"/>
                    </w:rPr>
                    <w:t>参数</w:t>
                  </w:r>
                </w:p>
              </w:tc>
              <w:tc>
                <w:tcPr>
                  <w:tcW w:w="1433" w:type="pct"/>
                  <w:noWrap w:val="0"/>
                  <w:vAlign w:val="center"/>
                </w:tcPr>
                <w:p w14:paraId="76E039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kern w:val="0"/>
                      <w:sz w:val="21"/>
                      <w:szCs w:val="21"/>
                      <w:vertAlign w:val="baseline"/>
                      <w:lang w:val="en-US" w:eastAsia="zh-CN" w:bidi="ar-SA"/>
                    </w:rPr>
                  </w:pPr>
                  <w:r>
                    <w:rPr>
                      <w:rFonts w:hint="eastAsia" w:ascii="Times New Roman" w:hAnsi="Times New Roman" w:cs="Times New Roman"/>
                      <w:b/>
                      <w:bCs/>
                      <w:color w:val="auto"/>
                      <w:kern w:val="0"/>
                      <w:sz w:val="21"/>
                      <w:szCs w:val="21"/>
                      <w:vertAlign w:val="baseline"/>
                      <w:lang w:eastAsia="zh-CN"/>
                    </w:rPr>
                    <w:t>项目</w:t>
                  </w:r>
                </w:p>
              </w:tc>
              <w:tc>
                <w:tcPr>
                  <w:tcW w:w="1254" w:type="pct"/>
                  <w:noWrap w:val="0"/>
                  <w:vAlign w:val="center"/>
                </w:tcPr>
                <w:p w14:paraId="5B1C35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kern w:val="0"/>
                      <w:sz w:val="21"/>
                      <w:szCs w:val="21"/>
                      <w:vertAlign w:val="baseline"/>
                      <w:lang w:val="en-US" w:eastAsia="zh-CN" w:bidi="ar-SA"/>
                    </w:rPr>
                  </w:pPr>
                  <w:r>
                    <w:rPr>
                      <w:rFonts w:hint="eastAsia" w:ascii="Times New Roman" w:hAnsi="Times New Roman" w:cs="Times New Roman"/>
                      <w:b/>
                      <w:bCs/>
                      <w:color w:val="auto"/>
                      <w:kern w:val="0"/>
                      <w:sz w:val="21"/>
                      <w:szCs w:val="21"/>
                      <w:vertAlign w:val="baseline"/>
                      <w:lang w:eastAsia="zh-CN"/>
                    </w:rPr>
                    <w:t>参数</w:t>
                  </w:r>
                </w:p>
              </w:tc>
            </w:tr>
            <w:tr w14:paraId="1161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noWrap w:val="0"/>
                  <w:vAlign w:val="center"/>
                </w:tcPr>
                <w:p w14:paraId="08FBCFC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eastAsia" w:ascii="Times New Roman" w:hAnsi="Times New Roman" w:cs="Times New Roman"/>
                      <w:color w:val="auto"/>
                      <w:kern w:val="0"/>
                      <w:sz w:val="21"/>
                      <w:szCs w:val="21"/>
                      <w:vertAlign w:val="baseline"/>
                      <w:lang w:eastAsia="zh-CN"/>
                    </w:rPr>
                    <w:t>功率（</w:t>
                  </w:r>
                  <w:r>
                    <w:rPr>
                      <w:rFonts w:hint="eastAsia" w:ascii="Times New Roman" w:hAnsi="Times New Roman" w:cs="Times New Roman"/>
                      <w:color w:val="auto"/>
                      <w:kern w:val="0"/>
                      <w:sz w:val="21"/>
                      <w:szCs w:val="21"/>
                      <w:vertAlign w:val="baseline"/>
                      <w:lang w:val="en-US" w:eastAsia="zh-CN"/>
                    </w:rPr>
                    <w:t>Pmax</w:t>
                  </w:r>
                  <w:r>
                    <w:rPr>
                      <w:rFonts w:hint="eastAsia" w:ascii="Times New Roman" w:hAnsi="Times New Roman" w:cs="Times New Roman"/>
                      <w:color w:val="auto"/>
                      <w:kern w:val="0"/>
                      <w:sz w:val="21"/>
                      <w:szCs w:val="21"/>
                      <w:vertAlign w:val="baseline"/>
                      <w:lang w:eastAsia="zh-CN"/>
                    </w:rPr>
                    <w:t>）</w:t>
                  </w:r>
                </w:p>
              </w:tc>
              <w:tc>
                <w:tcPr>
                  <w:tcW w:w="1050" w:type="pct"/>
                  <w:noWrap w:val="0"/>
                  <w:vAlign w:val="center"/>
                </w:tcPr>
                <w:p w14:paraId="5194C5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5</w:t>
                  </w:r>
                  <w:r>
                    <w:rPr>
                      <w:rFonts w:hint="eastAsia" w:cs="Times New Roman"/>
                      <w:color w:val="auto"/>
                      <w:kern w:val="0"/>
                      <w:sz w:val="21"/>
                      <w:szCs w:val="21"/>
                      <w:vertAlign w:val="baseline"/>
                      <w:lang w:val="en-US" w:eastAsia="zh-CN"/>
                    </w:rPr>
                    <w:t>90</w:t>
                  </w:r>
                  <w:r>
                    <w:rPr>
                      <w:rFonts w:hint="eastAsia" w:ascii="Times New Roman" w:hAnsi="Times New Roman" w:cs="Times New Roman"/>
                      <w:color w:val="auto"/>
                      <w:kern w:val="0"/>
                      <w:sz w:val="21"/>
                      <w:szCs w:val="21"/>
                      <w:vertAlign w:val="baseline"/>
                      <w:lang w:val="en-US" w:eastAsia="zh-CN"/>
                    </w:rPr>
                    <w:t>Wp</w:t>
                  </w:r>
                </w:p>
              </w:tc>
              <w:tc>
                <w:tcPr>
                  <w:tcW w:w="1433" w:type="pct"/>
                  <w:noWrap w:val="0"/>
                  <w:vAlign w:val="center"/>
                </w:tcPr>
                <w:p w14:paraId="3F29D36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eastAsia="zh-CN"/>
                    </w:rPr>
                    <w:t>组件尺寸（</w:t>
                  </w:r>
                  <w:r>
                    <w:rPr>
                      <w:rFonts w:hint="eastAsia" w:ascii="Times New Roman" w:hAnsi="Times New Roman" w:cs="Times New Roman"/>
                      <w:color w:val="auto"/>
                      <w:kern w:val="0"/>
                      <w:sz w:val="21"/>
                      <w:szCs w:val="21"/>
                      <w:vertAlign w:val="baseline"/>
                      <w:lang w:val="en-US" w:eastAsia="zh-CN"/>
                    </w:rPr>
                    <w:t>mm</w:t>
                  </w:r>
                  <w:r>
                    <w:rPr>
                      <w:rFonts w:hint="eastAsia" w:ascii="Times New Roman" w:hAnsi="Times New Roman" w:cs="Times New Roman"/>
                      <w:color w:val="auto"/>
                      <w:kern w:val="0"/>
                      <w:sz w:val="21"/>
                      <w:szCs w:val="21"/>
                      <w:vertAlign w:val="baseline"/>
                      <w:lang w:eastAsia="zh-CN"/>
                    </w:rPr>
                    <w:t>）</w:t>
                  </w:r>
                </w:p>
              </w:tc>
              <w:tc>
                <w:tcPr>
                  <w:tcW w:w="1254" w:type="pct"/>
                  <w:noWrap w:val="0"/>
                  <w:vAlign w:val="center"/>
                </w:tcPr>
                <w:p w14:paraId="35B2E91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2278×1134×3</w:t>
                  </w:r>
                  <w:r>
                    <w:rPr>
                      <w:rFonts w:hint="eastAsia" w:cs="Times New Roman"/>
                      <w:color w:val="auto"/>
                      <w:kern w:val="0"/>
                      <w:sz w:val="21"/>
                      <w:szCs w:val="21"/>
                      <w:vertAlign w:val="baseline"/>
                      <w:lang w:val="en-US" w:eastAsia="zh-CN"/>
                    </w:rPr>
                    <w:t>0</w:t>
                  </w:r>
                </w:p>
              </w:tc>
            </w:tr>
            <w:tr w14:paraId="6CEA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4CBCD22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eastAsia" w:ascii="Times New Roman" w:hAnsi="Times New Roman" w:cs="Times New Roman"/>
                      <w:color w:val="auto"/>
                      <w:kern w:val="0"/>
                      <w:sz w:val="21"/>
                      <w:szCs w:val="21"/>
                      <w:vertAlign w:val="baseline"/>
                      <w:lang w:eastAsia="zh-CN"/>
                    </w:rPr>
                    <w:t>开路电压（</w:t>
                  </w:r>
                  <w:r>
                    <w:rPr>
                      <w:rFonts w:hint="eastAsia" w:ascii="Times New Roman" w:hAnsi="Times New Roman" w:cs="Times New Roman"/>
                      <w:color w:val="auto"/>
                      <w:kern w:val="0"/>
                      <w:sz w:val="21"/>
                      <w:szCs w:val="21"/>
                      <w:vertAlign w:val="baseline"/>
                      <w:lang w:val="en-US" w:eastAsia="zh-CN"/>
                    </w:rPr>
                    <w:t>Voc</w:t>
                  </w:r>
                  <w:r>
                    <w:rPr>
                      <w:rFonts w:hint="eastAsia" w:ascii="Times New Roman" w:hAnsi="Times New Roman" w:cs="Times New Roman"/>
                      <w:color w:val="auto"/>
                      <w:kern w:val="0"/>
                      <w:sz w:val="21"/>
                      <w:szCs w:val="21"/>
                      <w:vertAlign w:val="baseline"/>
                      <w:lang w:eastAsia="zh-CN"/>
                    </w:rPr>
                    <w:t>）</w:t>
                  </w:r>
                </w:p>
              </w:tc>
              <w:tc>
                <w:tcPr>
                  <w:tcW w:w="1050" w:type="pct"/>
                  <w:noWrap w:val="0"/>
                  <w:vAlign w:val="center"/>
                </w:tcPr>
                <w:p w14:paraId="6F21FC0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52.7</w:t>
                  </w:r>
                  <w:r>
                    <w:rPr>
                      <w:rFonts w:hint="eastAsia" w:ascii="Times New Roman" w:hAnsi="Times New Roman" w:cs="Times New Roman"/>
                      <w:color w:val="auto"/>
                      <w:kern w:val="0"/>
                      <w:sz w:val="21"/>
                      <w:szCs w:val="21"/>
                      <w:vertAlign w:val="baseline"/>
                      <w:lang w:val="en-US" w:eastAsia="zh-CN"/>
                    </w:rPr>
                    <w:t>V</w:t>
                  </w:r>
                </w:p>
              </w:tc>
              <w:tc>
                <w:tcPr>
                  <w:tcW w:w="1433" w:type="pct"/>
                  <w:noWrap w:val="0"/>
                  <w:vAlign w:val="center"/>
                </w:tcPr>
                <w:p w14:paraId="056F232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工作电压</w:t>
                  </w:r>
                  <w:r>
                    <w:rPr>
                      <w:rFonts w:hint="eastAsia" w:cs="Times New Roman"/>
                      <w:color w:val="auto"/>
                      <w:kern w:val="0"/>
                      <w:sz w:val="21"/>
                      <w:szCs w:val="21"/>
                      <w:vertAlign w:val="baseline"/>
                      <w:lang w:eastAsia="zh-CN"/>
                    </w:rPr>
                    <w:t>（</w:t>
                  </w:r>
                  <w:r>
                    <w:rPr>
                      <w:rFonts w:hint="default" w:ascii="Times New Roman" w:hAnsi="Times New Roman" w:cs="Times New Roman"/>
                      <w:color w:val="auto"/>
                      <w:kern w:val="0"/>
                      <w:sz w:val="21"/>
                      <w:szCs w:val="21"/>
                      <w:vertAlign w:val="baseline"/>
                      <w:lang w:eastAsia="zh-CN"/>
                    </w:rPr>
                    <w:t>Vmp</w:t>
                  </w:r>
                  <w:r>
                    <w:rPr>
                      <w:rFonts w:hint="eastAsia" w:cs="Times New Roman"/>
                      <w:color w:val="auto"/>
                      <w:kern w:val="0"/>
                      <w:sz w:val="21"/>
                      <w:szCs w:val="21"/>
                      <w:vertAlign w:val="baseline"/>
                      <w:lang w:eastAsia="zh-CN"/>
                    </w:rPr>
                    <w:t>）</w:t>
                  </w:r>
                </w:p>
              </w:tc>
              <w:tc>
                <w:tcPr>
                  <w:tcW w:w="1254" w:type="pct"/>
                  <w:noWrap w:val="0"/>
                  <w:vAlign w:val="center"/>
                </w:tcPr>
                <w:p w14:paraId="4B3C2D1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44.27</w:t>
                  </w:r>
                  <w:r>
                    <w:rPr>
                      <w:rFonts w:hint="eastAsia" w:ascii="Times New Roman" w:hAnsi="Times New Roman" w:cs="Times New Roman"/>
                      <w:color w:val="auto"/>
                      <w:kern w:val="0"/>
                      <w:sz w:val="21"/>
                      <w:szCs w:val="21"/>
                      <w:vertAlign w:val="baseline"/>
                      <w:lang w:val="en-US" w:eastAsia="zh-CN"/>
                    </w:rPr>
                    <w:t>V</w:t>
                  </w:r>
                </w:p>
              </w:tc>
            </w:tr>
            <w:tr w14:paraId="6223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4F4BD5C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eastAsia" w:ascii="Times New Roman" w:hAnsi="Times New Roman" w:cs="Times New Roman"/>
                      <w:color w:val="auto"/>
                      <w:kern w:val="0"/>
                      <w:sz w:val="21"/>
                      <w:szCs w:val="21"/>
                      <w:vertAlign w:val="baseline"/>
                      <w:lang w:eastAsia="zh-CN"/>
                    </w:rPr>
                    <w:t>短路电流（</w:t>
                  </w:r>
                  <w:r>
                    <w:rPr>
                      <w:rFonts w:hint="eastAsia" w:ascii="Times New Roman" w:hAnsi="Times New Roman" w:cs="Times New Roman"/>
                      <w:color w:val="auto"/>
                      <w:kern w:val="0"/>
                      <w:sz w:val="21"/>
                      <w:szCs w:val="21"/>
                      <w:vertAlign w:val="baseline"/>
                      <w:lang w:val="en-US" w:eastAsia="zh-CN"/>
                    </w:rPr>
                    <w:t>Isc</w:t>
                  </w:r>
                  <w:r>
                    <w:rPr>
                      <w:rFonts w:hint="eastAsia" w:ascii="Times New Roman" w:hAnsi="Times New Roman" w:cs="Times New Roman"/>
                      <w:color w:val="auto"/>
                      <w:kern w:val="0"/>
                      <w:sz w:val="21"/>
                      <w:szCs w:val="21"/>
                      <w:vertAlign w:val="baseline"/>
                      <w:lang w:eastAsia="zh-CN"/>
                    </w:rPr>
                    <w:t>）</w:t>
                  </w:r>
                </w:p>
              </w:tc>
              <w:tc>
                <w:tcPr>
                  <w:tcW w:w="1050" w:type="pct"/>
                  <w:noWrap w:val="0"/>
                  <w:vAlign w:val="center"/>
                </w:tcPr>
                <w:p w14:paraId="04CDCBC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13.95</w:t>
                  </w:r>
                  <w:r>
                    <w:rPr>
                      <w:rFonts w:hint="eastAsia" w:ascii="Times New Roman" w:hAnsi="Times New Roman" w:cs="Times New Roman"/>
                      <w:color w:val="auto"/>
                      <w:kern w:val="0"/>
                      <w:sz w:val="21"/>
                      <w:szCs w:val="21"/>
                      <w:vertAlign w:val="baseline"/>
                      <w:lang w:val="en-US" w:eastAsia="zh-CN"/>
                    </w:rPr>
                    <w:t>A</w:t>
                  </w:r>
                </w:p>
              </w:tc>
              <w:tc>
                <w:tcPr>
                  <w:tcW w:w="1433" w:type="pct"/>
                  <w:noWrap w:val="0"/>
                  <w:vAlign w:val="center"/>
                </w:tcPr>
                <w:p w14:paraId="7809B44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工作电流</w:t>
                  </w:r>
                  <w:r>
                    <w:rPr>
                      <w:rFonts w:hint="eastAsia" w:cs="Times New Roman"/>
                      <w:color w:val="auto"/>
                      <w:kern w:val="0"/>
                      <w:sz w:val="21"/>
                      <w:szCs w:val="21"/>
                      <w:vertAlign w:val="baseline"/>
                      <w:lang w:eastAsia="zh-CN"/>
                    </w:rPr>
                    <w:t>（</w:t>
                  </w:r>
                  <w:r>
                    <w:rPr>
                      <w:rFonts w:hint="default" w:ascii="Times New Roman" w:hAnsi="Times New Roman" w:cs="Times New Roman"/>
                      <w:color w:val="auto"/>
                      <w:kern w:val="0"/>
                      <w:sz w:val="21"/>
                      <w:szCs w:val="21"/>
                      <w:vertAlign w:val="baseline"/>
                      <w:lang w:eastAsia="zh-CN"/>
                    </w:rPr>
                    <w:t>Imp</w:t>
                  </w:r>
                  <w:r>
                    <w:rPr>
                      <w:rFonts w:hint="eastAsia" w:cs="Times New Roman"/>
                      <w:color w:val="auto"/>
                      <w:kern w:val="0"/>
                      <w:sz w:val="21"/>
                      <w:szCs w:val="21"/>
                      <w:vertAlign w:val="baseline"/>
                      <w:lang w:eastAsia="zh-CN"/>
                    </w:rPr>
                    <w:t>）</w:t>
                  </w:r>
                </w:p>
              </w:tc>
              <w:tc>
                <w:tcPr>
                  <w:tcW w:w="1254" w:type="pct"/>
                  <w:noWrap w:val="0"/>
                  <w:vAlign w:val="center"/>
                </w:tcPr>
                <w:p w14:paraId="775C68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13.33</w:t>
                  </w:r>
                  <w:r>
                    <w:rPr>
                      <w:rFonts w:hint="eastAsia" w:ascii="Times New Roman" w:hAnsi="Times New Roman" w:cs="Times New Roman"/>
                      <w:color w:val="auto"/>
                      <w:kern w:val="0"/>
                      <w:sz w:val="21"/>
                      <w:szCs w:val="21"/>
                      <w:vertAlign w:val="baseline"/>
                      <w:lang w:val="en-US" w:eastAsia="zh-CN"/>
                    </w:rPr>
                    <w:t>A</w:t>
                  </w:r>
                </w:p>
              </w:tc>
            </w:tr>
            <w:tr w14:paraId="7831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0CDB373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开路电压温度系数</w:t>
                  </w:r>
                </w:p>
              </w:tc>
              <w:tc>
                <w:tcPr>
                  <w:tcW w:w="1050" w:type="pct"/>
                  <w:noWrap w:val="0"/>
                  <w:vAlign w:val="center"/>
                </w:tcPr>
                <w:p w14:paraId="2F9836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-0.25</w:t>
                  </w:r>
                  <w:r>
                    <w:rPr>
                      <w:rFonts w:hint="eastAsia" w:ascii="Times New Roman" w:hAnsi="Times New Roman" w:cs="Times New Roman"/>
                      <w:color w:val="auto"/>
                      <w:kern w:val="0"/>
                      <w:sz w:val="21"/>
                      <w:szCs w:val="21"/>
                      <w:vertAlign w:val="baseline"/>
                      <w:lang w:val="en-US" w:eastAsia="zh-CN"/>
                    </w:rPr>
                    <w:t>%/℃</w:t>
                  </w:r>
                </w:p>
              </w:tc>
              <w:tc>
                <w:tcPr>
                  <w:tcW w:w="1433" w:type="pct"/>
                  <w:noWrap w:val="0"/>
                  <w:vAlign w:val="center"/>
                </w:tcPr>
                <w:p w14:paraId="197929E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短路电流温度系数</w:t>
                  </w:r>
                </w:p>
              </w:tc>
              <w:tc>
                <w:tcPr>
                  <w:tcW w:w="1254" w:type="pct"/>
                  <w:noWrap w:val="0"/>
                  <w:vAlign w:val="center"/>
                </w:tcPr>
                <w:p w14:paraId="0A03171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+0.046</w:t>
                  </w:r>
                  <w:r>
                    <w:rPr>
                      <w:rFonts w:hint="eastAsia" w:ascii="Times New Roman" w:hAnsi="Times New Roman" w:cs="Times New Roman"/>
                      <w:color w:val="auto"/>
                      <w:kern w:val="0"/>
                      <w:sz w:val="21"/>
                      <w:szCs w:val="21"/>
                      <w:vertAlign w:val="baseline"/>
                      <w:lang w:val="en-US" w:eastAsia="zh-CN"/>
                    </w:rPr>
                    <w:t>%/℃</w:t>
                  </w:r>
                </w:p>
              </w:tc>
            </w:tr>
            <w:tr w14:paraId="3D9F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29778E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最大功率</w:t>
                  </w:r>
                  <w:r>
                    <w:rPr>
                      <w:rFonts w:hint="eastAsia" w:ascii="Times New Roman" w:hAnsi="Times New Roman" w:cs="Times New Roman"/>
                      <w:color w:val="auto"/>
                      <w:kern w:val="0"/>
                      <w:sz w:val="21"/>
                      <w:szCs w:val="21"/>
                      <w:vertAlign w:val="baseline"/>
                      <w:lang w:eastAsia="zh-CN"/>
                    </w:rPr>
                    <w:t>温度系数</w:t>
                  </w:r>
                </w:p>
              </w:tc>
              <w:tc>
                <w:tcPr>
                  <w:tcW w:w="1050" w:type="pct"/>
                  <w:noWrap w:val="0"/>
                  <w:vAlign w:val="center"/>
                </w:tcPr>
                <w:p w14:paraId="6378649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-0.29</w:t>
                  </w:r>
                  <w:r>
                    <w:rPr>
                      <w:rFonts w:hint="eastAsia" w:ascii="Times New Roman" w:hAnsi="Times New Roman" w:cs="Times New Roman"/>
                      <w:color w:val="auto"/>
                      <w:kern w:val="0"/>
                      <w:sz w:val="21"/>
                      <w:szCs w:val="21"/>
                      <w:vertAlign w:val="baseline"/>
                      <w:lang w:val="en-US" w:eastAsia="zh-CN"/>
                    </w:rPr>
                    <w:t>%/℃</w:t>
                  </w:r>
                </w:p>
              </w:tc>
              <w:tc>
                <w:tcPr>
                  <w:tcW w:w="1433" w:type="pct"/>
                  <w:noWrap w:val="0"/>
                  <w:vAlign w:val="center"/>
                </w:tcPr>
                <w:p w14:paraId="1F7B7B8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工作温度范围</w:t>
                  </w:r>
                </w:p>
              </w:tc>
              <w:tc>
                <w:tcPr>
                  <w:tcW w:w="1254" w:type="pct"/>
                  <w:noWrap w:val="0"/>
                  <w:vAlign w:val="center"/>
                </w:tcPr>
                <w:p w14:paraId="342ECAF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-40~+85</w:t>
                  </w:r>
                  <w:r>
                    <w:rPr>
                      <w:rFonts w:hint="eastAsia" w:ascii="Times New Roman" w:hAnsi="Times New Roman" w:cs="Times New Roman"/>
                      <w:color w:val="auto"/>
                      <w:kern w:val="0"/>
                      <w:sz w:val="21"/>
                      <w:szCs w:val="21"/>
                      <w:vertAlign w:val="baseline"/>
                      <w:lang w:val="en-US" w:eastAsia="zh-CN"/>
                    </w:rPr>
                    <w:t>℃</w:t>
                  </w:r>
                </w:p>
              </w:tc>
            </w:tr>
            <w:tr w14:paraId="3EF9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573F27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eastAsia="zh-CN"/>
                    </w:rPr>
                    <w:t>组件效率</w:t>
                  </w:r>
                </w:p>
              </w:tc>
              <w:tc>
                <w:tcPr>
                  <w:tcW w:w="1050" w:type="pct"/>
                  <w:noWrap w:val="0"/>
                  <w:vAlign w:val="center"/>
                </w:tcPr>
                <w:p w14:paraId="0488BFC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rPr>
                    <w:t>22.8</w:t>
                  </w:r>
                  <w:r>
                    <w:rPr>
                      <w:rFonts w:hint="eastAsia" w:ascii="Times New Roman" w:hAnsi="Times New Roman" w:cs="Times New Roman"/>
                      <w:color w:val="auto"/>
                      <w:kern w:val="0"/>
                      <w:sz w:val="21"/>
                      <w:szCs w:val="21"/>
                      <w:vertAlign w:val="baseline"/>
                      <w:lang w:val="en-US" w:eastAsia="zh-CN"/>
                    </w:rPr>
                    <w:t>%</w:t>
                  </w:r>
                </w:p>
              </w:tc>
              <w:tc>
                <w:tcPr>
                  <w:tcW w:w="1433" w:type="pct"/>
                  <w:noWrap w:val="0"/>
                  <w:vAlign w:val="center"/>
                </w:tcPr>
                <w:p w14:paraId="38DFAD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重量</w:t>
                  </w:r>
                </w:p>
              </w:tc>
              <w:tc>
                <w:tcPr>
                  <w:tcW w:w="1254" w:type="pct"/>
                  <w:noWrap w:val="0"/>
                  <w:vAlign w:val="center"/>
                </w:tcPr>
                <w:p w14:paraId="289C2EF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31.5</w:t>
                  </w:r>
                  <w:r>
                    <w:rPr>
                      <w:rFonts w:hint="eastAsia" w:ascii="Times New Roman" w:hAnsi="Times New Roman" w:cs="Times New Roman"/>
                      <w:color w:val="auto"/>
                      <w:kern w:val="0"/>
                      <w:sz w:val="21"/>
                      <w:szCs w:val="21"/>
                      <w:vertAlign w:val="baseline"/>
                      <w:lang w:val="en-US" w:eastAsia="zh-CN" w:bidi="ar-SA"/>
                    </w:rPr>
                    <w:t>kg</w:t>
                  </w:r>
                </w:p>
              </w:tc>
            </w:tr>
          </w:tbl>
          <w:p w14:paraId="5650AF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jc w:val="both"/>
              <w:textAlignment w:val="auto"/>
              <w:rPr>
                <w:rFonts w:hint="eastAsia" w:ascii="Times New Roman" w:hAnsi="Times New Roman" w:cs="Times New Roman"/>
                <w:color w:val="auto"/>
                <w:kern w:val="0"/>
                <w:sz w:val="24"/>
                <w:szCs w:val="24"/>
                <w:highlight w:val="none"/>
                <w:shd w:val="clear" w:color="auto" w:fill="auto"/>
                <w:lang w:eastAsia="zh-CN"/>
              </w:rPr>
            </w:pPr>
            <w:r>
              <w:rPr>
                <w:rFonts w:hint="eastAsia"/>
                <w:b/>
                <w:bCs/>
                <w:color w:val="auto"/>
                <w:kern w:val="0"/>
                <w:sz w:val="24"/>
                <w:lang w:val="en-US" w:eastAsia="zh-CN"/>
              </w:rPr>
              <w:t>2</w:t>
            </w:r>
            <w:r>
              <w:rPr>
                <w:rFonts w:hint="eastAsia"/>
                <w:b/>
                <w:bCs/>
                <w:color w:val="auto"/>
                <w:kern w:val="0"/>
                <w:sz w:val="24"/>
              </w:rPr>
              <w:t>、</w:t>
            </w:r>
            <w:r>
              <w:rPr>
                <w:rFonts w:hint="eastAsia"/>
                <w:b/>
                <w:bCs/>
                <w:color w:val="auto"/>
                <w:kern w:val="0"/>
                <w:sz w:val="24"/>
                <w:lang w:val="en-US" w:eastAsia="zh-CN"/>
              </w:rPr>
              <w:t>组串式逆变器+箱式变压器</w:t>
            </w:r>
          </w:p>
          <w:p w14:paraId="4B3DD46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本项目</w:t>
            </w:r>
            <w:r>
              <w:rPr>
                <w:rFonts w:hint="default"/>
                <w:color w:val="auto"/>
                <w:sz w:val="24"/>
                <w:szCs w:val="24"/>
                <w:lang w:val="en-US" w:eastAsia="zh-CN"/>
              </w:rPr>
              <w:t>中逆变器最大尺寸为</w:t>
            </w:r>
            <w:r>
              <w:rPr>
                <w:rFonts w:hint="eastAsia"/>
                <w:color w:val="auto"/>
                <w:sz w:val="24"/>
                <w:szCs w:val="24"/>
                <w:lang w:val="en-US" w:eastAsia="zh-CN"/>
              </w:rPr>
              <w:t>1134</w:t>
            </w:r>
            <w:r>
              <w:rPr>
                <w:rFonts w:hint="default"/>
                <w:color w:val="auto"/>
                <w:sz w:val="24"/>
                <w:szCs w:val="24"/>
                <w:lang w:val="en-US" w:eastAsia="zh-CN"/>
              </w:rPr>
              <w:t>mm</w:t>
            </w:r>
            <w:r>
              <w:rPr>
                <w:rFonts w:hint="eastAsia"/>
                <w:color w:val="auto"/>
                <w:sz w:val="24"/>
                <w:szCs w:val="24"/>
                <w:lang w:val="en-US" w:eastAsia="zh-CN"/>
              </w:rPr>
              <w:t>（</w:t>
            </w:r>
            <w:r>
              <w:rPr>
                <w:rFonts w:hint="default"/>
                <w:color w:val="auto"/>
                <w:sz w:val="24"/>
                <w:szCs w:val="24"/>
                <w:lang w:val="en-US" w:eastAsia="zh-CN"/>
              </w:rPr>
              <w:t>宽</w:t>
            </w:r>
            <w:r>
              <w:rPr>
                <w:rFonts w:hint="eastAsia"/>
                <w:color w:val="auto"/>
                <w:sz w:val="24"/>
                <w:szCs w:val="24"/>
                <w:lang w:val="en-US" w:eastAsia="zh-CN"/>
              </w:rPr>
              <w:t>）</w:t>
            </w:r>
            <w:r>
              <w:rPr>
                <w:rFonts w:hint="default"/>
                <w:color w:val="auto"/>
                <w:sz w:val="24"/>
                <w:szCs w:val="24"/>
                <w:lang w:val="en-US" w:eastAsia="zh-CN"/>
              </w:rPr>
              <w:t>×</w:t>
            </w:r>
            <w:r>
              <w:rPr>
                <w:rFonts w:hint="eastAsia"/>
                <w:color w:val="auto"/>
                <w:sz w:val="24"/>
                <w:szCs w:val="24"/>
                <w:lang w:val="en-US" w:eastAsia="zh-CN"/>
              </w:rPr>
              <w:t>870</w:t>
            </w:r>
            <w:r>
              <w:rPr>
                <w:rFonts w:hint="default"/>
                <w:color w:val="auto"/>
                <w:sz w:val="24"/>
                <w:szCs w:val="24"/>
                <w:lang w:val="en-US" w:eastAsia="zh-CN"/>
              </w:rPr>
              <w:t>mm</w:t>
            </w:r>
            <w:r>
              <w:rPr>
                <w:rFonts w:hint="eastAsia"/>
                <w:color w:val="auto"/>
                <w:sz w:val="24"/>
                <w:szCs w:val="24"/>
                <w:lang w:val="en-US" w:eastAsia="zh-CN"/>
              </w:rPr>
              <w:t>（</w:t>
            </w:r>
            <w:r>
              <w:rPr>
                <w:rFonts w:hint="default"/>
                <w:color w:val="auto"/>
                <w:sz w:val="24"/>
                <w:szCs w:val="24"/>
                <w:lang w:val="en-US" w:eastAsia="zh-CN"/>
              </w:rPr>
              <w:t>高</w:t>
            </w:r>
            <w:r>
              <w:rPr>
                <w:rFonts w:hint="eastAsia"/>
                <w:color w:val="auto"/>
                <w:sz w:val="24"/>
                <w:szCs w:val="24"/>
                <w:lang w:val="en-US" w:eastAsia="zh-CN"/>
              </w:rPr>
              <w:t>）</w:t>
            </w:r>
            <w:r>
              <w:rPr>
                <w:rFonts w:hint="default"/>
                <w:color w:val="auto"/>
                <w:sz w:val="24"/>
                <w:szCs w:val="24"/>
                <w:lang w:val="en-US" w:eastAsia="zh-CN"/>
              </w:rPr>
              <w:t>×36</w:t>
            </w:r>
            <w:r>
              <w:rPr>
                <w:rFonts w:hint="eastAsia"/>
                <w:color w:val="auto"/>
                <w:sz w:val="24"/>
                <w:szCs w:val="24"/>
                <w:lang w:val="en-US" w:eastAsia="zh-CN"/>
              </w:rPr>
              <w:t>1</w:t>
            </w:r>
            <w:r>
              <w:rPr>
                <w:rFonts w:hint="default"/>
                <w:color w:val="auto"/>
                <w:sz w:val="24"/>
                <w:szCs w:val="24"/>
                <w:lang w:val="en-US" w:eastAsia="zh-CN"/>
              </w:rPr>
              <w:t>mm</w:t>
            </w:r>
            <w:r>
              <w:rPr>
                <w:rFonts w:hint="eastAsia"/>
                <w:color w:val="auto"/>
                <w:sz w:val="24"/>
                <w:szCs w:val="24"/>
                <w:lang w:val="en-US" w:eastAsia="zh-CN"/>
              </w:rPr>
              <w:t>（</w:t>
            </w:r>
            <w:r>
              <w:rPr>
                <w:rFonts w:hint="default"/>
                <w:color w:val="auto"/>
                <w:sz w:val="24"/>
                <w:szCs w:val="24"/>
                <w:lang w:val="en-US" w:eastAsia="zh-CN"/>
              </w:rPr>
              <w:t>深</w:t>
            </w:r>
            <w:r>
              <w:rPr>
                <w:rFonts w:hint="eastAsia"/>
                <w:color w:val="auto"/>
                <w:sz w:val="24"/>
                <w:szCs w:val="24"/>
                <w:lang w:val="en-US" w:eastAsia="zh-CN"/>
              </w:rPr>
              <w:t>）</w:t>
            </w:r>
            <w:r>
              <w:rPr>
                <w:rFonts w:hint="default"/>
                <w:color w:val="auto"/>
                <w:sz w:val="24"/>
                <w:szCs w:val="24"/>
                <w:lang w:val="en-US" w:eastAsia="zh-CN"/>
              </w:rPr>
              <w:t>，含挂架的重量为11</w:t>
            </w:r>
            <w:r>
              <w:rPr>
                <w:rFonts w:hint="eastAsia"/>
                <w:color w:val="auto"/>
                <w:sz w:val="24"/>
                <w:szCs w:val="24"/>
                <w:lang w:val="en-US" w:eastAsia="zh-CN"/>
              </w:rPr>
              <w:t>6</w:t>
            </w:r>
            <w:r>
              <w:rPr>
                <w:rFonts w:hint="default"/>
                <w:color w:val="auto"/>
                <w:sz w:val="24"/>
                <w:szCs w:val="24"/>
                <w:lang w:val="en-US" w:eastAsia="zh-CN"/>
              </w:rPr>
              <w:t>kg。由于荷载不大，不考虑设置逆变器基础。根据现场实际情况，通过螺栓将逆变器固定在光伏支架上。本项目共设置</w:t>
            </w:r>
            <w:r>
              <w:rPr>
                <w:rFonts w:hint="eastAsia" w:cs="Times New Roman"/>
                <w:color w:val="auto"/>
                <w:sz w:val="24"/>
                <w:szCs w:val="24"/>
                <w:highlight w:val="none"/>
                <w:shd w:val="clear" w:color="auto" w:fill="auto"/>
                <w:lang w:val="en-US" w:eastAsia="zh-CN"/>
              </w:rPr>
              <w:t>141</w:t>
            </w:r>
            <w:r>
              <w:rPr>
                <w:rFonts w:hint="eastAsia" w:ascii="Times New Roman" w:hAnsi="Times New Roman" w:eastAsia="宋体" w:cs="Times New Roman"/>
                <w:color w:val="auto"/>
                <w:sz w:val="24"/>
                <w:szCs w:val="24"/>
                <w:highlight w:val="none"/>
                <w:shd w:val="clear" w:color="auto" w:fill="auto"/>
                <w:lang w:val="en-US" w:eastAsia="zh-CN"/>
              </w:rPr>
              <w:t>台</w:t>
            </w:r>
            <w:r>
              <w:rPr>
                <w:rFonts w:hint="default"/>
                <w:color w:val="auto"/>
                <w:sz w:val="24"/>
                <w:szCs w:val="24"/>
                <w:lang w:val="en-US" w:eastAsia="zh-CN"/>
              </w:rPr>
              <w:t>320kW组串式逆变器。</w:t>
            </w:r>
          </w:p>
          <w:p w14:paraId="4B3167A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项目共布设14台</w:t>
            </w:r>
            <w:r>
              <w:rPr>
                <w:rFonts w:hint="default"/>
                <w:color w:val="auto"/>
                <w:sz w:val="24"/>
                <w:szCs w:val="24"/>
                <w:lang w:val="en-US" w:eastAsia="zh-CN"/>
              </w:rPr>
              <w:t>35kV</w:t>
            </w:r>
            <w:r>
              <w:rPr>
                <w:rFonts w:hint="eastAsia"/>
                <w:color w:val="auto"/>
                <w:sz w:val="24"/>
                <w:szCs w:val="24"/>
                <w:lang w:val="en-US" w:eastAsia="zh-CN"/>
              </w:rPr>
              <w:t>箱变（</w:t>
            </w:r>
            <w:r>
              <w:rPr>
                <w:rFonts w:hint="eastAsia" w:cs="Times New Roman"/>
                <w:color w:val="auto"/>
                <w:sz w:val="24"/>
                <w:szCs w:val="24"/>
                <w:lang w:val="en-US" w:eastAsia="zh-CN"/>
              </w:rPr>
              <w:t>其中1</w:t>
            </w:r>
            <w:r>
              <w:rPr>
                <w:rFonts w:hint="default" w:ascii="Times New Roman" w:hAnsi="Times New Roman" w:eastAsia="宋体" w:cs="Times New Roman"/>
                <w:color w:val="auto"/>
                <w:sz w:val="24"/>
                <w:szCs w:val="24"/>
                <w:lang w:val="en-US" w:eastAsia="zh-CN"/>
              </w:rPr>
              <w:t>台2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00kVA箱变、</w:t>
            </w: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台3</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00kVA箱变</w:t>
            </w:r>
            <w:r>
              <w:rPr>
                <w:rFonts w:hint="eastAsia" w:cs="Times New Roman"/>
                <w:color w:val="auto"/>
                <w:sz w:val="24"/>
                <w:szCs w:val="24"/>
                <w:lang w:val="en-US" w:eastAsia="zh-CN"/>
              </w:rPr>
              <w:t>、</w:t>
            </w:r>
            <w:r>
              <w:rPr>
                <w:rFonts w:hint="eastAsia"/>
                <w:color w:val="auto"/>
                <w:kern w:val="0"/>
                <w:sz w:val="24"/>
                <w:szCs w:val="24"/>
                <w:lang w:val="en-US" w:eastAsia="zh-CN"/>
              </w:rPr>
              <w:t>1</w:t>
            </w:r>
            <w:r>
              <w:rPr>
                <w:rFonts w:hint="default" w:ascii="Times New Roman" w:hAnsi="Times New Roman" w:eastAsia="宋体" w:cs="Times New Roman"/>
                <w:color w:val="auto"/>
                <w:sz w:val="24"/>
                <w:szCs w:val="24"/>
                <w:lang w:val="en-US" w:eastAsia="zh-CN"/>
              </w:rPr>
              <w:t>台3</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00kVA箱变</w:t>
            </w:r>
            <w:r>
              <w:rPr>
                <w:rFonts w:hint="eastAsia" w:ascii="Times New Roman" w:hAnsi="Times New Roman" w:eastAsia="宋体" w:cs="Times New Roman"/>
                <w:color w:val="auto"/>
                <w:sz w:val="24"/>
                <w:szCs w:val="24"/>
                <w:lang w:val="en-US" w:eastAsia="zh-CN"/>
              </w:rPr>
              <w:t>、</w:t>
            </w:r>
            <w:r>
              <w:rPr>
                <w:rFonts w:hint="eastAsia"/>
                <w:color w:val="auto"/>
                <w:kern w:val="0"/>
                <w:sz w:val="24"/>
                <w:szCs w:val="24"/>
                <w:lang w:val="en-US" w:eastAsia="zh-CN"/>
              </w:rPr>
              <w:t>1</w:t>
            </w:r>
            <w:r>
              <w:rPr>
                <w:rFonts w:hint="default" w:ascii="Times New Roman" w:hAnsi="Times New Roman" w:eastAsia="宋体" w:cs="Times New Roman"/>
                <w:color w:val="auto"/>
                <w:sz w:val="24"/>
                <w:szCs w:val="24"/>
                <w:lang w:val="en-US" w:eastAsia="zh-CN"/>
              </w:rPr>
              <w:t>台3</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00kVA箱变</w:t>
            </w:r>
            <w:r>
              <w:rPr>
                <w:rFonts w:hint="eastAsia"/>
                <w:color w:val="auto"/>
                <w:sz w:val="24"/>
                <w:szCs w:val="24"/>
                <w:lang w:val="en-US" w:eastAsia="zh-CN"/>
              </w:rPr>
              <w:t>），</w:t>
            </w:r>
            <w:r>
              <w:rPr>
                <w:rFonts w:hint="default"/>
                <w:color w:val="auto"/>
                <w:sz w:val="24"/>
                <w:szCs w:val="24"/>
                <w:lang w:val="en-US" w:eastAsia="zh-CN"/>
              </w:rPr>
              <w:t>35kV</w:t>
            </w:r>
            <w:r>
              <w:rPr>
                <w:rFonts w:hint="eastAsia"/>
                <w:color w:val="auto"/>
                <w:sz w:val="24"/>
                <w:szCs w:val="24"/>
                <w:lang w:val="en-US" w:eastAsia="zh-CN"/>
              </w:rPr>
              <w:t>箱变</w:t>
            </w:r>
            <w:r>
              <w:rPr>
                <w:rFonts w:hint="eastAsia" w:ascii="Times New Roman" w:hAnsi="Times New Roman" w:eastAsia="宋体" w:cs="Times New Roman"/>
                <w:color w:val="auto"/>
                <w:kern w:val="2"/>
                <w:sz w:val="24"/>
                <w:szCs w:val="24"/>
                <w:lang w:val="en-US" w:eastAsia="zh-CN" w:bidi="ar-SA"/>
              </w:rPr>
              <w:t>就近采用混凝土基础安装于方阵中部区域</w:t>
            </w:r>
            <w:r>
              <w:rPr>
                <w:rFonts w:hint="eastAsia"/>
                <w:color w:val="auto"/>
                <w:sz w:val="24"/>
                <w:szCs w:val="24"/>
                <w:lang w:val="en-US" w:eastAsia="zh-CN"/>
              </w:rPr>
              <w:t>，基础按天然地基上的浅基础进行设计，采用箱形基础。</w:t>
            </w:r>
          </w:p>
          <w:p w14:paraId="2B23DDAF">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kern w:val="0"/>
                <w:sz w:val="24"/>
                <w:lang w:val="en-US"/>
              </w:rPr>
            </w:pPr>
            <w:r>
              <w:rPr>
                <w:rFonts w:hint="eastAsia" w:cs="Times New Roman"/>
                <w:b/>
                <w:bCs/>
                <w:color w:val="auto"/>
                <w:kern w:val="0"/>
                <w:sz w:val="24"/>
                <w:szCs w:val="24"/>
                <w:lang w:val="en-US" w:eastAsia="zh-CN"/>
              </w:rPr>
              <w:t>3、围栏</w:t>
            </w:r>
          </w:p>
          <w:p w14:paraId="4E0DB04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val="en-US" w:eastAsia="zh-CN"/>
              </w:rPr>
            </w:pPr>
            <w:r>
              <w:rPr>
                <w:rFonts w:hint="eastAsia"/>
                <w:color w:val="auto"/>
                <w:sz w:val="24"/>
                <w:szCs w:val="24"/>
                <w:lang w:val="en-US" w:eastAsia="zh-CN"/>
              </w:rPr>
              <w:t>光伏电站外缘设置</w:t>
            </w:r>
            <w:r>
              <w:rPr>
                <w:rFonts w:hint="default"/>
                <w:color w:val="auto"/>
                <w:sz w:val="24"/>
                <w:szCs w:val="24"/>
                <w:lang w:val="en-US" w:eastAsia="zh-CN"/>
              </w:rPr>
              <w:t>1.8m高包塑铁丝围栏，围栏内设置4.5m宽的防火隔离带，围栏总长度21.7km</w:t>
            </w:r>
            <w:r>
              <w:rPr>
                <w:rFonts w:hint="eastAsia"/>
                <w:color w:val="auto"/>
                <w:sz w:val="24"/>
                <w:szCs w:val="24"/>
                <w:lang w:val="en-US" w:eastAsia="zh-CN"/>
              </w:rPr>
              <w:t>。</w:t>
            </w:r>
          </w:p>
          <w:p w14:paraId="674992C1">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lang w:val="en-US"/>
              </w:rPr>
            </w:pPr>
            <w:r>
              <w:rPr>
                <w:rFonts w:hint="eastAsia"/>
                <w:b/>
                <w:bCs/>
                <w:color w:val="auto"/>
                <w:kern w:val="0"/>
                <w:sz w:val="24"/>
                <w:highlight w:val="none"/>
                <w:shd w:val="clear" w:color="auto" w:fill="auto"/>
                <w:lang w:val="en-US" w:eastAsia="zh-CN"/>
              </w:rPr>
              <w:t>（二）</w:t>
            </w:r>
            <w:r>
              <w:rPr>
                <w:rFonts w:hint="eastAsia" w:eastAsia="宋体" w:cs="Times New Roman"/>
                <w:b/>
                <w:bCs/>
                <w:color w:val="auto"/>
                <w:kern w:val="0"/>
                <w:sz w:val="24"/>
                <w:szCs w:val="24"/>
                <w:highlight w:val="none"/>
                <w:shd w:val="clear" w:color="auto" w:fill="auto"/>
                <w:lang w:val="en-US" w:eastAsia="zh-CN"/>
              </w:rPr>
              <w:t>集电线路区</w:t>
            </w:r>
          </w:p>
          <w:p w14:paraId="391D374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场区内采用电缆串接各箱变，在场区外电缆统一上塔，本次评价不含</w:t>
            </w:r>
            <w:r>
              <w:rPr>
                <w:rFonts w:hint="default" w:ascii="Times New Roman" w:hAnsi="Times New Roman" w:cs="Times New Roman"/>
                <w:color w:val="auto"/>
                <w:sz w:val="24"/>
                <w:szCs w:val="24"/>
                <w:lang w:val="en-US" w:eastAsia="zh-CN"/>
              </w:rPr>
              <w:t>35kV</w:t>
            </w:r>
            <w:r>
              <w:rPr>
                <w:rFonts w:hint="eastAsia" w:ascii="Times New Roman" w:hAnsi="Times New Roman" w:cs="Times New Roman"/>
                <w:color w:val="auto"/>
                <w:sz w:val="24"/>
                <w:szCs w:val="24"/>
                <w:lang w:val="en-US" w:eastAsia="zh-CN"/>
              </w:rPr>
              <w:t>集电线路。</w:t>
            </w:r>
            <w:r>
              <w:rPr>
                <w:rFonts w:hint="eastAsia"/>
                <w:color w:val="auto"/>
                <w:sz w:val="24"/>
                <w:szCs w:val="24"/>
                <w:lang w:val="en-US" w:eastAsia="zh-CN"/>
              </w:rPr>
              <w:t>每26块电池组件之间采用组件自带电缆串联成1个组串，每串采用2根型号为</w:t>
            </w:r>
            <w:r>
              <w:rPr>
                <w:rFonts w:hint="default" w:ascii="Times New Roman" w:hAnsi="Times New Roman" w:eastAsia="宋体" w:cs="Times New Roman"/>
                <w:color w:val="auto"/>
                <w:kern w:val="0"/>
                <w:sz w:val="24"/>
                <w:szCs w:val="24"/>
                <w:lang w:val="en-US" w:eastAsia="zh-CN" w:bidi="ar"/>
              </w:rPr>
              <w:t>H1Z2Z2-K-1×6mm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，1500V耐压</w:t>
            </w:r>
            <w:r>
              <w:rPr>
                <w:rFonts w:hint="eastAsia"/>
                <w:color w:val="auto"/>
                <w:sz w:val="24"/>
                <w:szCs w:val="24"/>
                <w:lang w:val="en-US" w:eastAsia="zh-CN"/>
              </w:rPr>
              <w:t>的光伏电缆接入逆变器，</w:t>
            </w:r>
            <w:r>
              <w:rPr>
                <w:rFonts w:hint="default" w:ascii="鏂板畫浣?" w:hAnsi="鏂板畫浣?" w:eastAsia="鏂板畫浣?" w:cs="鏂板畫浣?"/>
                <w:color w:val="auto"/>
                <w:kern w:val="0"/>
                <w:sz w:val="24"/>
                <w:szCs w:val="24"/>
                <w:lang w:val="en-US" w:eastAsia="zh-CN" w:bidi="ar"/>
              </w:rPr>
              <w:t>电缆敷设方式为槽盒敷设，</w:t>
            </w:r>
            <w:r>
              <w:rPr>
                <w:rFonts w:hint="eastAsia"/>
                <w:color w:val="auto"/>
                <w:sz w:val="24"/>
                <w:szCs w:val="24"/>
                <w:lang w:val="en-US" w:eastAsia="zh-CN"/>
              </w:rPr>
              <w:t>该电缆长413.93km；逆变器出线电缆推荐选用ZC-YJLHV22-1.8/3-3×240mm</w:t>
            </w:r>
            <w:r>
              <w:rPr>
                <w:rFonts w:hint="eastAsia"/>
                <w:color w:val="auto"/>
                <w:sz w:val="24"/>
                <w:szCs w:val="24"/>
                <w:vertAlign w:val="superscript"/>
                <w:lang w:val="en-US" w:eastAsia="zh-CN"/>
              </w:rPr>
              <w:t>2</w:t>
            </w:r>
            <w:r>
              <w:rPr>
                <w:rFonts w:hint="eastAsia" w:ascii="宋体" w:hAnsi="宋体" w:eastAsia="宋体" w:cs="宋体"/>
                <w:color w:val="auto"/>
                <w:kern w:val="0"/>
                <w:sz w:val="24"/>
                <w:szCs w:val="24"/>
                <w:lang w:val="en-US" w:eastAsia="zh-CN" w:bidi="ar"/>
              </w:rPr>
              <w:t>低压电力电缆</w:t>
            </w:r>
            <w:r>
              <w:rPr>
                <w:rFonts w:hint="eastAsia"/>
                <w:color w:val="auto"/>
                <w:sz w:val="24"/>
                <w:szCs w:val="24"/>
                <w:lang w:val="en-US" w:eastAsia="zh-CN"/>
              </w:rPr>
              <w:t>长31.02km；</w:t>
            </w:r>
            <w:r>
              <w:rPr>
                <w:rFonts w:hint="default" w:ascii="Times New Roman" w:hAnsi="Times New Roman" w:eastAsia="宋体" w:cs="Times New Roman"/>
                <w:color w:val="auto"/>
                <w:kern w:val="0"/>
                <w:sz w:val="24"/>
                <w:szCs w:val="24"/>
                <w:lang w:val="en-US" w:eastAsia="zh-CN" w:bidi="ar"/>
              </w:rPr>
              <w:t>ZC-YJV22-0.6/1kV-4x4</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1kV</w:t>
            </w:r>
            <w:r>
              <w:rPr>
                <w:rFonts w:hint="eastAsia" w:ascii="宋体" w:hAnsi="宋体" w:eastAsia="宋体" w:cs="宋体"/>
                <w:color w:val="auto"/>
                <w:kern w:val="0"/>
                <w:sz w:val="24"/>
                <w:szCs w:val="24"/>
                <w:lang w:val="en-US" w:eastAsia="zh-CN" w:bidi="ar"/>
              </w:rPr>
              <w:t>动力电缆</w:t>
            </w:r>
            <w:r>
              <w:rPr>
                <w:rFonts w:hint="eastAsia"/>
                <w:color w:val="auto"/>
                <w:sz w:val="24"/>
                <w:szCs w:val="24"/>
                <w:lang w:val="en-US" w:eastAsia="zh-CN"/>
              </w:rPr>
              <w:t>长0.5km；</w:t>
            </w:r>
            <w:r>
              <w:rPr>
                <w:rFonts w:hint="default" w:ascii="Times New Roman" w:hAnsi="Times New Roman" w:eastAsia="宋体" w:cs="Times New Roman"/>
                <w:color w:val="auto"/>
                <w:kern w:val="0"/>
                <w:sz w:val="24"/>
                <w:szCs w:val="24"/>
                <w:lang w:val="en-US" w:eastAsia="zh-CN" w:bidi="ar"/>
              </w:rPr>
              <w:t>ZC-YJV22-1.8/3kV-3x16</w:t>
            </w:r>
            <w:r>
              <w:rPr>
                <w:rFonts w:hint="eastAsia" w:ascii="宋体" w:hAnsi="宋体" w:eastAsia="宋体" w:cs="宋体"/>
                <w:color w:val="auto"/>
                <w:kern w:val="0"/>
                <w:sz w:val="24"/>
                <w:szCs w:val="24"/>
                <w:lang w:val="en-US" w:eastAsia="zh-CN" w:bidi="ar"/>
              </w:rPr>
              <w:t>低压电力电缆</w:t>
            </w:r>
            <w:r>
              <w:rPr>
                <w:rFonts w:hint="eastAsia"/>
                <w:color w:val="auto"/>
                <w:sz w:val="24"/>
                <w:szCs w:val="24"/>
                <w:lang w:val="en-US" w:eastAsia="zh-CN"/>
              </w:rPr>
              <w:t>长0.5km。</w:t>
            </w:r>
          </w:p>
          <w:p w14:paraId="30277AF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b/>
                <w:bCs/>
                <w:color w:val="auto"/>
                <w:kern w:val="0"/>
                <w:sz w:val="24"/>
                <w:szCs w:val="24"/>
                <w:lang w:val="en-US" w:eastAsia="zh-CN"/>
              </w:rPr>
              <w:t>（三）</w:t>
            </w:r>
            <w:r>
              <w:rPr>
                <w:rFonts w:hint="eastAsia" w:cs="Times New Roman"/>
                <w:b/>
                <w:bCs/>
                <w:color w:val="auto"/>
                <w:kern w:val="0"/>
                <w:sz w:val="24"/>
                <w:szCs w:val="24"/>
                <w:highlight w:val="none"/>
                <w:shd w:val="clear" w:color="auto" w:fill="auto"/>
                <w:lang w:val="en-US" w:eastAsia="zh-CN"/>
              </w:rPr>
              <w:t>光伏组件表面清洁</w:t>
            </w:r>
          </w:p>
          <w:p w14:paraId="553889D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电池组件表面很容易积尘，影响发电效率。必须对电池组件表面进行清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，保证电池组件的发电效率。</w:t>
            </w:r>
          </w:p>
          <w:p w14:paraId="1DDCF0E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光伏阵列的电池组件表面清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可分为定期清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和不定期清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w:t>
            </w:r>
          </w:p>
          <w:p w14:paraId="3AF2ED6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①</w:t>
            </w:r>
            <w:r>
              <w:rPr>
                <w:rFonts w:hint="eastAsia" w:ascii="Times New Roman" w:hAnsi="Times New Roman" w:eastAsia="宋体" w:cs="Times New Roman"/>
                <w:color w:val="auto"/>
                <w:kern w:val="0"/>
                <w:sz w:val="24"/>
                <w:szCs w:val="24"/>
                <w:highlight w:val="none"/>
                <w:shd w:val="clear" w:color="auto" w:fill="auto"/>
                <w:lang w:eastAsia="zh-CN"/>
              </w:rPr>
              <w:t>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时间</w:t>
            </w:r>
          </w:p>
          <w:p w14:paraId="5F7051D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一般每</w:t>
            </w:r>
            <w:r>
              <w:rPr>
                <w:rFonts w:hint="eastAsia" w:cs="Times New Roman"/>
                <w:color w:val="auto"/>
                <w:kern w:val="0"/>
                <w:sz w:val="24"/>
                <w:szCs w:val="24"/>
                <w:highlight w:val="none"/>
                <w:shd w:val="clear" w:color="auto" w:fill="auto"/>
                <w:lang w:val="en-US" w:eastAsia="zh-CN"/>
              </w:rPr>
              <w:t>三</w:t>
            </w:r>
            <w:r>
              <w:rPr>
                <w:rFonts w:hint="eastAsia" w:ascii="Times New Roman" w:hAnsi="Times New Roman" w:eastAsia="宋体" w:cs="Times New Roman"/>
                <w:color w:val="auto"/>
                <w:kern w:val="0"/>
                <w:sz w:val="24"/>
                <w:szCs w:val="24"/>
                <w:highlight w:val="none"/>
                <w:shd w:val="clear" w:color="auto" w:fill="auto"/>
                <w:lang w:eastAsia="zh-CN"/>
              </w:rPr>
              <w:t>个月进行1次，制定清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路线，分片区依次清洁，每次清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约10天完成，清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时间安排在日出前或日落后。</w:t>
            </w:r>
          </w:p>
          <w:p w14:paraId="04E88ED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不定期清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分为恶劣气候后的清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和季节性清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。恶劣气候分为大风、雨雪后的清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，每次大风天气后应及时清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，雨雪后应及时巡查、对落在电池组件表面的泥点和积雪应予及时清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；季节性清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主要是对</w:t>
            </w:r>
            <w:r>
              <w:rPr>
                <w:rFonts w:hint="eastAsia" w:cs="Times New Roman"/>
                <w:color w:val="auto"/>
                <w:kern w:val="0"/>
                <w:sz w:val="24"/>
                <w:szCs w:val="24"/>
                <w:highlight w:val="none"/>
                <w:shd w:val="clear" w:color="auto" w:fill="auto"/>
                <w:lang w:val="en-US" w:eastAsia="zh-CN"/>
              </w:rPr>
              <w:t>鸟类</w:t>
            </w:r>
            <w:r>
              <w:rPr>
                <w:rFonts w:hint="eastAsia" w:ascii="Times New Roman" w:hAnsi="Times New Roman" w:eastAsia="宋体" w:cs="Times New Roman"/>
                <w:color w:val="auto"/>
                <w:kern w:val="0"/>
                <w:sz w:val="24"/>
                <w:szCs w:val="24"/>
                <w:highlight w:val="none"/>
                <w:shd w:val="clear" w:color="auto" w:fill="auto"/>
                <w:lang w:eastAsia="zh-CN"/>
              </w:rPr>
              <w:t>粪便的清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，应每天巡视，一旦发现电池组件被污染就应及时清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w:t>
            </w:r>
          </w:p>
          <w:p w14:paraId="1A48869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②</w:t>
            </w:r>
            <w:r>
              <w:rPr>
                <w:rFonts w:hint="eastAsia" w:ascii="Times New Roman" w:hAnsi="Times New Roman" w:eastAsia="宋体" w:cs="Times New Roman"/>
                <w:color w:val="auto"/>
                <w:kern w:val="0"/>
                <w:sz w:val="24"/>
                <w:szCs w:val="24"/>
                <w:highlight w:val="none"/>
                <w:shd w:val="clear" w:color="auto" w:fill="auto"/>
                <w:lang w:eastAsia="zh-CN"/>
              </w:rPr>
              <w:t>日常维护</w:t>
            </w:r>
          </w:p>
          <w:p w14:paraId="12399B9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主要是每日巡查电池组件的清洁程度。不符合要求的应及时清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，确保</w:t>
            </w:r>
            <w:r>
              <w:rPr>
                <w:rFonts w:hint="eastAsia" w:cs="Times New Roman"/>
                <w:color w:val="auto"/>
                <w:kern w:val="0"/>
                <w:sz w:val="24"/>
                <w:szCs w:val="24"/>
                <w:highlight w:val="none"/>
                <w:shd w:val="clear" w:color="auto" w:fill="auto"/>
                <w:lang w:eastAsia="zh-CN"/>
              </w:rPr>
              <w:t>电池</w:t>
            </w:r>
            <w:r>
              <w:rPr>
                <w:rFonts w:hint="eastAsia" w:ascii="Times New Roman" w:hAnsi="Times New Roman" w:eastAsia="宋体" w:cs="Times New Roman"/>
                <w:color w:val="auto"/>
                <w:kern w:val="0"/>
                <w:sz w:val="24"/>
                <w:szCs w:val="24"/>
                <w:highlight w:val="none"/>
                <w:shd w:val="clear" w:color="auto" w:fill="auto"/>
                <w:lang w:eastAsia="zh-CN"/>
              </w:rPr>
              <w:t>组件的清洁。</w:t>
            </w:r>
          </w:p>
          <w:p w14:paraId="4068666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③</w:t>
            </w:r>
            <w:r>
              <w:rPr>
                <w:rFonts w:hint="eastAsia" w:ascii="Times New Roman" w:hAnsi="Times New Roman" w:eastAsia="宋体" w:cs="Times New Roman"/>
                <w:color w:val="auto"/>
                <w:kern w:val="0"/>
                <w:sz w:val="24"/>
                <w:szCs w:val="24"/>
                <w:highlight w:val="none"/>
                <w:shd w:val="clear" w:color="auto" w:fill="auto"/>
                <w:lang w:eastAsia="zh-CN"/>
              </w:rPr>
              <w:t>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水源</w:t>
            </w:r>
          </w:p>
          <w:p w14:paraId="3BDFB3C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考虑采用运水车运送至各电池组件处。</w:t>
            </w:r>
          </w:p>
          <w:p w14:paraId="239D306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④</w:t>
            </w:r>
            <w:r>
              <w:rPr>
                <w:rFonts w:hint="eastAsia" w:ascii="Times New Roman" w:hAnsi="Times New Roman" w:eastAsia="宋体" w:cs="Times New Roman"/>
                <w:color w:val="auto"/>
                <w:kern w:val="0"/>
                <w:sz w:val="24"/>
                <w:szCs w:val="24"/>
                <w:highlight w:val="none"/>
                <w:shd w:val="clear" w:color="auto" w:fill="auto"/>
                <w:lang w:eastAsia="zh-CN"/>
              </w:rPr>
              <w:t>电池组件清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方案</w:t>
            </w:r>
          </w:p>
          <w:p w14:paraId="5B9D7DF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太阳能电池表面是高强度钢化玻璃，易于清洁。在雨季的时候，降雨冲刷太阳能电池组件表面达到自然清洁的目的；在旱季的时候，为保证太阳能电池组件的正常工作，可通过人工擦拭，减少灰尘、杂物等对</w:t>
            </w:r>
            <w:r>
              <w:rPr>
                <w:rFonts w:hint="eastAsia" w:cs="Times New Roman"/>
                <w:color w:val="auto"/>
                <w:kern w:val="0"/>
                <w:sz w:val="24"/>
                <w:szCs w:val="24"/>
                <w:highlight w:val="none"/>
                <w:shd w:val="clear" w:color="auto" w:fill="auto"/>
                <w:lang w:eastAsia="zh-CN"/>
              </w:rPr>
              <w:t>太阳能</w:t>
            </w:r>
            <w:r>
              <w:rPr>
                <w:rFonts w:hint="eastAsia" w:ascii="Times New Roman" w:hAnsi="Times New Roman" w:eastAsia="宋体" w:cs="Times New Roman"/>
                <w:color w:val="auto"/>
                <w:kern w:val="0"/>
                <w:sz w:val="24"/>
                <w:szCs w:val="24"/>
                <w:highlight w:val="none"/>
                <w:shd w:val="clear" w:color="auto" w:fill="auto"/>
                <w:lang w:eastAsia="zh-CN"/>
              </w:rPr>
              <w:t>电池组件发电的影响。</w:t>
            </w:r>
            <w:r>
              <w:rPr>
                <w:rFonts w:hint="eastAsia" w:cs="Times New Roman"/>
                <w:color w:val="auto"/>
                <w:kern w:val="0"/>
                <w:sz w:val="24"/>
                <w:szCs w:val="24"/>
                <w:highlight w:val="none"/>
                <w:shd w:val="clear" w:color="auto" w:fill="auto"/>
                <w:lang w:val="en-US" w:eastAsia="zh-CN"/>
              </w:rPr>
              <w:t>清洁</w:t>
            </w:r>
            <w:r>
              <w:rPr>
                <w:rFonts w:hint="eastAsia" w:ascii="Times New Roman" w:hAnsi="Times New Roman" w:eastAsia="宋体" w:cs="Times New Roman"/>
                <w:color w:val="auto"/>
                <w:kern w:val="0"/>
                <w:sz w:val="24"/>
                <w:szCs w:val="24"/>
                <w:highlight w:val="none"/>
                <w:shd w:val="clear" w:color="auto" w:fill="auto"/>
                <w:lang w:val="en-US" w:eastAsia="zh-CN"/>
              </w:rPr>
              <w:t>周期根据气候条件情况确定，</w:t>
            </w:r>
            <w:r>
              <w:rPr>
                <w:rFonts w:hint="eastAsia" w:cs="Times New Roman"/>
                <w:color w:val="auto"/>
                <w:kern w:val="0"/>
                <w:sz w:val="24"/>
                <w:szCs w:val="24"/>
                <w:highlight w:val="none"/>
                <w:shd w:val="clear" w:color="auto" w:fill="auto"/>
                <w:lang w:val="en-US" w:eastAsia="zh-CN"/>
              </w:rPr>
              <w:t>恶劣</w:t>
            </w:r>
            <w:r>
              <w:rPr>
                <w:rFonts w:hint="eastAsia" w:ascii="Times New Roman" w:hAnsi="Times New Roman" w:eastAsia="宋体" w:cs="Times New Roman"/>
                <w:color w:val="auto"/>
                <w:kern w:val="0"/>
                <w:sz w:val="24"/>
                <w:szCs w:val="24"/>
                <w:highlight w:val="none"/>
                <w:shd w:val="clear" w:color="auto" w:fill="auto"/>
                <w:lang w:val="en-US" w:eastAsia="zh-CN"/>
              </w:rPr>
              <w:t>天气情况下可适当缩短</w:t>
            </w:r>
            <w:r>
              <w:rPr>
                <w:rFonts w:hint="eastAsia" w:cs="Times New Roman"/>
                <w:color w:val="auto"/>
                <w:kern w:val="0"/>
                <w:sz w:val="24"/>
                <w:szCs w:val="24"/>
                <w:highlight w:val="none"/>
                <w:shd w:val="clear" w:color="auto" w:fill="auto"/>
                <w:lang w:val="en-US" w:eastAsia="zh-CN"/>
              </w:rPr>
              <w:t>清洁</w:t>
            </w:r>
            <w:r>
              <w:rPr>
                <w:rFonts w:hint="eastAsia" w:ascii="Times New Roman" w:hAnsi="Times New Roman" w:eastAsia="宋体" w:cs="Times New Roman"/>
                <w:color w:val="auto"/>
                <w:kern w:val="0"/>
                <w:sz w:val="24"/>
                <w:szCs w:val="24"/>
                <w:highlight w:val="none"/>
                <w:shd w:val="clear" w:color="auto" w:fill="auto"/>
                <w:lang w:val="en-US" w:eastAsia="zh-CN"/>
              </w:rPr>
              <w:t>周期。</w:t>
            </w:r>
          </w:p>
          <w:p w14:paraId="06F8D20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kern w:val="0"/>
                <w:sz w:val="24"/>
                <w:szCs w:val="24"/>
                <w:highlight w:val="none"/>
                <w:shd w:val="clear" w:color="auto" w:fill="auto"/>
                <w:lang w:eastAsia="zh-CN"/>
              </w:rPr>
            </w:pPr>
            <w:r>
              <w:rPr>
                <w:rFonts w:hint="eastAsia" w:ascii="Times New Roman" w:hAnsi="Times New Roman" w:eastAsia="宋体" w:cs="Times New Roman"/>
                <w:b/>
                <w:bCs/>
                <w:color w:val="auto"/>
                <w:kern w:val="0"/>
                <w:sz w:val="24"/>
                <w:szCs w:val="24"/>
                <w:highlight w:val="none"/>
                <w:shd w:val="clear" w:color="auto" w:fill="auto"/>
                <w:lang w:eastAsia="zh-CN"/>
              </w:rPr>
              <w:t>（</w:t>
            </w:r>
            <w:r>
              <w:rPr>
                <w:rFonts w:hint="eastAsia" w:cs="Times New Roman"/>
                <w:b/>
                <w:bCs/>
                <w:color w:val="auto"/>
                <w:kern w:val="0"/>
                <w:sz w:val="24"/>
                <w:szCs w:val="24"/>
                <w:highlight w:val="none"/>
                <w:shd w:val="clear" w:color="auto" w:fill="auto"/>
                <w:lang w:val="en-US" w:eastAsia="zh-CN"/>
              </w:rPr>
              <w:t>四</w:t>
            </w:r>
            <w:r>
              <w:rPr>
                <w:rFonts w:hint="eastAsia" w:ascii="Times New Roman" w:hAnsi="Times New Roman" w:eastAsia="宋体" w:cs="Times New Roman"/>
                <w:b/>
                <w:bCs/>
                <w:color w:val="auto"/>
                <w:kern w:val="0"/>
                <w:sz w:val="24"/>
                <w:szCs w:val="24"/>
                <w:highlight w:val="none"/>
                <w:shd w:val="clear" w:color="auto" w:fill="auto"/>
                <w:lang w:eastAsia="zh-CN"/>
              </w:rPr>
              <w:t>）光伏发电量</w:t>
            </w:r>
          </w:p>
          <w:p w14:paraId="168CB57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eastAsia="zh-CN"/>
              </w:rPr>
              <w:t>本项目规划容量</w:t>
            </w:r>
            <w:r>
              <w:rPr>
                <w:rFonts w:hint="eastAsia" w:cs="Times New Roman"/>
                <w:color w:val="auto"/>
                <w:kern w:val="0"/>
                <w:sz w:val="24"/>
                <w:szCs w:val="24"/>
                <w:highlight w:val="none"/>
                <w:shd w:val="clear" w:color="auto" w:fill="auto"/>
                <w:lang w:val="en-US" w:eastAsia="zh-CN"/>
              </w:rPr>
              <w:t>45</w:t>
            </w:r>
            <w:r>
              <w:rPr>
                <w:rFonts w:hint="eastAsia" w:ascii="Times New Roman" w:hAnsi="Times New Roman" w:eastAsia="宋体" w:cs="Times New Roman"/>
                <w:color w:val="auto"/>
                <w:kern w:val="0"/>
                <w:sz w:val="24"/>
                <w:szCs w:val="24"/>
                <w:highlight w:val="none"/>
                <w:shd w:val="clear" w:color="auto" w:fill="auto"/>
                <w:lang w:eastAsia="zh-CN"/>
              </w:rPr>
              <w:t>MW，</w:t>
            </w:r>
            <w:r>
              <w:rPr>
                <w:rFonts w:hint="default" w:ascii="Times New Roman" w:hAnsi="Times New Roman" w:eastAsia="宋体" w:cs="Times New Roman"/>
                <w:color w:val="auto"/>
                <w:kern w:val="0"/>
                <w:sz w:val="24"/>
                <w:szCs w:val="24"/>
                <w:lang w:val="en-US" w:eastAsia="zh-CN" w:bidi="ar"/>
              </w:rPr>
              <w:t>项目采用</w:t>
            </w:r>
            <w:r>
              <w:rPr>
                <w:rFonts w:hint="eastAsia" w:cs="Times New Roman"/>
                <w:color w:val="auto"/>
                <w:kern w:val="0"/>
                <w:sz w:val="24"/>
                <w:szCs w:val="24"/>
                <w:lang w:val="en-US" w:eastAsia="zh-CN" w:bidi="ar"/>
              </w:rPr>
              <w:t>590</w:t>
            </w:r>
            <w:r>
              <w:rPr>
                <w:rFonts w:hint="default" w:ascii="Times New Roman" w:hAnsi="Times New Roman" w:eastAsia="宋体" w:cs="Times New Roman"/>
                <w:color w:val="auto"/>
                <w:sz w:val="24"/>
                <w:szCs w:val="24"/>
                <w:lang w:val="en-US" w:eastAsia="zh-CN"/>
              </w:rPr>
              <w:t>Wp</w:t>
            </w:r>
            <w:r>
              <w:rPr>
                <w:rFonts w:hint="default" w:ascii="Times New Roman" w:hAnsi="Times New Roman" w:eastAsia="宋体" w:cs="Times New Roman"/>
                <w:color w:val="auto"/>
                <w:kern w:val="0"/>
                <w:sz w:val="24"/>
                <w:szCs w:val="24"/>
                <w:lang w:val="en-US" w:eastAsia="zh-CN" w:bidi="ar"/>
              </w:rPr>
              <w:t>单晶双面双玻组件，组件首年衰减按照</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%，后续25年运行期内每年衰减按照0.4%，</w:t>
            </w:r>
            <w:r>
              <w:rPr>
                <w:rFonts w:hint="eastAsia" w:ascii="Times New Roman" w:hAnsi="Times New Roman" w:eastAsia="宋体" w:cs="Times New Roman"/>
                <w:color w:val="auto"/>
                <w:kern w:val="0"/>
                <w:sz w:val="24"/>
                <w:szCs w:val="24"/>
                <w:lang w:val="en-US" w:eastAsia="zh-CN" w:bidi="ar"/>
              </w:rPr>
              <w:t>则</w:t>
            </w:r>
            <w:r>
              <w:rPr>
                <w:rFonts w:hint="eastAsia" w:ascii="Times New Roman" w:hAnsi="Times New Roman" w:eastAsia="宋体" w:cs="Times New Roman"/>
                <w:color w:val="auto"/>
                <w:kern w:val="0"/>
                <w:sz w:val="24"/>
                <w:szCs w:val="24"/>
                <w:highlight w:val="none"/>
                <w:shd w:val="clear" w:color="auto" w:fill="auto"/>
                <w:lang w:eastAsia="zh-CN"/>
              </w:rPr>
              <w:t>本光伏电站</w:t>
            </w:r>
            <w:r>
              <w:rPr>
                <w:rFonts w:hint="eastAsia" w:cs="Times New Roman"/>
                <w:color w:val="auto"/>
                <w:kern w:val="0"/>
                <w:sz w:val="24"/>
                <w:szCs w:val="24"/>
                <w:highlight w:val="none"/>
                <w:shd w:val="clear" w:color="auto" w:fill="auto"/>
                <w:lang w:val="en-US" w:eastAsia="zh-CN"/>
              </w:rPr>
              <w:t>运行期25年内的总</w:t>
            </w:r>
            <w:r>
              <w:rPr>
                <w:rFonts w:hint="eastAsia" w:ascii="Times New Roman" w:hAnsi="Times New Roman" w:eastAsia="宋体" w:cs="Times New Roman"/>
                <w:color w:val="auto"/>
                <w:kern w:val="0"/>
                <w:sz w:val="24"/>
                <w:szCs w:val="24"/>
                <w:highlight w:val="none"/>
                <w:shd w:val="clear" w:color="auto" w:fill="auto"/>
                <w:lang w:eastAsia="zh-CN"/>
              </w:rPr>
              <w:t>上网电量</w:t>
            </w:r>
            <w:r>
              <w:rPr>
                <w:rFonts w:hint="eastAsia" w:cs="Times New Roman"/>
                <w:color w:val="auto"/>
                <w:kern w:val="0"/>
                <w:sz w:val="24"/>
                <w:szCs w:val="24"/>
                <w:highlight w:val="none"/>
                <w:shd w:val="clear" w:color="auto" w:fill="auto"/>
                <w:lang w:val="en-US" w:eastAsia="zh-CN"/>
              </w:rPr>
              <w:t>为1912190.6M</w:t>
            </w:r>
            <w:r>
              <w:rPr>
                <w:rFonts w:hint="eastAsia" w:ascii="Times New Roman" w:hAnsi="Times New Roman" w:eastAsia="宋体" w:cs="Times New Roman"/>
                <w:color w:val="auto"/>
                <w:kern w:val="0"/>
                <w:sz w:val="24"/>
                <w:szCs w:val="24"/>
                <w:highlight w:val="none"/>
                <w:shd w:val="clear" w:color="auto" w:fill="auto"/>
                <w:lang w:eastAsia="zh-CN"/>
              </w:rPr>
              <w:t>W</w:t>
            </w:r>
            <w:r>
              <w:rPr>
                <w:rFonts w:hint="default"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eastAsia="zh-CN"/>
              </w:rPr>
              <w:t>h</w:t>
            </w:r>
            <w:r>
              <w:rPr>
                <w:rFonts w:hint="eastAsia" w:cs="Times New Roman"/>
                <w:color w:val="auto"/>
                <w:kern w:val="0"/>
                <w:sz w:val="24"/>
                <w:szCs w:val="24"/>
                <w:highlight w:val="none"/>
                <w:shd w:val="clear" w:color="auto" w:fill="auto"/>
                <w:lang w:val="en-US" w:eastAsia="zh-CN"/>
              </w:rPr>
              <w:t>，年均上网电量约为76487.6MW•h，折合成可利用小时数约为1325h。</w:t>
            </w:r>
          </w:p>
          <w:p w14:paraId="30ECC6AE">
            <w:pPr>
              <w:keepNext w:val="0"/>
              <w:keepLines w:val="0"/>
              <w:suppressLineNumbers w:val="0"/>
              <w:shd w:val="clear"/>
              <w:spacing w:before="0" w:beforeAutospacing="0" w:after="0" w:afterAutospacing="0" w:line="360" w:lineRule="auto"/>
              <w:ind w:left="0" w:right="0"/>
              <w:rPr>
                <w:rFonts w:hint="default"/>
                <w:b/>
                <w:color w:val="auto"/>
                <w:kern w:val="0"/>
                <w:szCs w:val="21"/>
                <w:highlight w:val="none"/>
                <w:shd w:val="clear" w:color="auto" w:fill="auto"/>
              </w:rPr>
            </w:pPr>
            <w:r>
              <w:rPr>
                <w:rFonts w:hint="eastAsia"/>
                <w:b/>
                <w:color w:val="auto"/>
                <w:sz w:val="24"/>
                <w:highlight w:val="none"/>
                <w:shd w:val="clear" w:color="auto" w:fill="auto"/>
                <w:lang w:val="en-US" w:eastAsia="zh-CN"/>
              </w:rPr>
              <w:t>三</w:t>
            </w:r>
            <w:r>
              <w:rPr>
                <w:rFonts w:hint="eastAsia"/>
                <w:b/>
                <w:color w:val="auto"/>
                <w:sz w:val="24"/>
                <w:highlight w:val="none"/>
                <w:shd w:val="clear" w:color="auto" w:fill="auto"/>
              </w:rPr>
              <w:t>、</w:t>
            </w:r>
            <w:r>
              <w:rPr>
                <w:rFonts w:hint="eastAsia"/>
                <w:b/>
                <w:bCs/>
                <w:color w:val="auto"/>
                <w:sz w:val="24"/>
                <w:highlight w:val="none"/>
                <w:shd w:val="clear" w:color="auto" w:fill="auto"/>
              </w:rPr>
              <w:t>项</w:t>
            </w:r>
            <w:r>
              <w:rPr>
                <w:rFonts w:hint="default"/>
                <w:b/>
                <w:bCs/>
                <w:color w:val="auto"/>
                <w:sz w:val="24"/>
                <w:highlight w:val="none"/>
                <w:shd w:val="clear" w:color="auto" w:fill="auto"/>
              </w:rPr>
              <w:t>目</w:t>
            </w:r>
            <w:r>
              <w:rPr>
                <w:rFonts w:hint="eastAsia"/>
                <w:b/>
                <w:bCs/>
                <w:color w:val="auto"/>
                <w:sz w:val="24"/>
                <w:highlight w:val="none"/>
                <w:shd w:val="clear" w:color="auto" w:fill="auto"/>
              </w:rPr>
              <w:t>主</w:t>
            </w:r>
            <w:r>
              <w:rPr>
                <w:rFonts w:hint="default"/>
                <w:b/>
                <w:bCs/>
                <w:color w:val="auto"/>
                <w:sz w:val="24"/>
                <w:highlight w:val="none"/>
                <w:shd w:val="clear" w:color="auto" w:fill="auto"/>
              </w:rPr>
              <w:t>要电气设备汇总表</w:t>
            </w:r>
          </w:p>
          <w:p w14:paraId="15DB29C7">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default"/>
                <w:b/>
                <w:color w:val="auto"/>
                <w:kern w:val="0"/>
                <w:szCs w:val="21"/>
                <w:highlight w:val="none"/>
                <w:shd w:val="clear" w:color="auto" w:fill="auto"/>
              </w:rPr>
              <w:t>表2-</w:t>
            </w:r>
            <w:r>
              <w:rPr>
                <w:rFonts w:hint="eastAsia"/>
                <w:b/>
                <w:color w:val="auto"/>
                <w:kern w:val="0"/>
                <w:szCs w:val="21"/>
                <w:highlight w:val="none"/>
                <w:shd w:val="clear" w:color="auto" w:fill="auto"/>
                <w:lang w:val="en-US" w:eastAsia="zh-CN"/>
              </w:rPr>
              <w:t>3</w:t>
            </w:r>
            <w:r>
              <w:rPr>
                <w:rFonts w:hint="default"/>
                <w:b/>
                <w:color w:val="auto"/>
                <w:kern w:val="0"/>
                <w:szCs w:val="21"/>
                <w:highlight w:val="none"/>
                <w:shd w:val="clear" w:color="auto" w:fill="auto"/>
              </w:rPr>
              <w:t xml:space="preserve"> </w:t>
            </w:r>
            <w:r>
              <w:rPr>
                <w:rFonts w:hint="eastAsia"/>
                <w:b/>
                <w:color w:val="auto"/>
                <w:kern w:val="0"/>
                <w:szCs w:val="21"/>
                <w:highlight w:val="none"/>
                <w:shd w:val="clear" w:color="auto" w:fill="auto"/>
              </w:rPr>
              <w:t xml:space="preserve"> 项目主要电气设备材料汇总表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180"/>
              <w:gridCol w:w="2966"/>
              <w:gridCol w:w="681"/>
              <w:gridCol w:w="1012"/>
            </w:tblGrid>
            <w:tr w14:paraId="4F8A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57" w:type="pct"/>
                  <w:vAlign w:val="center"/>
                </w:tcPr>
                <w:p w14:paraId="6587C80A">
                  <w:pPr>
                    <w:keepNext w:val="0"/>
                    <w:keepLines w:val="0"/>
                    <w:suppressLineNumbers w:val="0"/>
                    <w:bidi w:val="0"/>
                    <w:spacing w:before="0" w:beforeAutospacing="0" w:after="0" w:afterAutospacing="0"/>
                    <w:ind w:left="0" w:right="0"/>
                    <w:jc w:val="center"/>
                    <w:rPr>
                      <w:rFonts w:hint="default"/>
                      <w:b/>
                      <w:bCs/>
                      <w:color w:val="auto"/>
                      <w:sz w:val="21"/>
                      <w:szCs w:val="21"/>
                    </w:rPr>
                  </w:pPr>
                  <w:bookmarkStart w:id="18" w:name="_Hlk73561412"/>
                  <w:r>
                    <w:rPr>
                      <w:rFonts w:hint="eastAsia"/>
                      <w:b/>
                      <w:bCs/>
                      <w:color w:val="auto"/>
                      <w:sz w:val="21"/>
                      <w:szCs w:val="21"/>
                    </w:rPr>
                    <w:t>序号</w:t>
                  </w:r>
                </w:p>
              </w:tc>
              <w:tc>
                <w:tcPr>
                  <w:tcW w:w="1447" w:type="pct"/>
                  <w:vAlign w:val="center"/>
                </w:tcPr>
                <w:p w14:paraId="1EB3B65A">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名称</w:t>
                  </w:r>
                </w:p>
              </w:tc>
              <w:tc>
                <w:tcPr>
                  <w:tcW w:w="1969" w:type="pct"/>
                  <w:vAlign w:val="center"/>
                </w:tcPr>
                <w:p w14:paraId="5F8CEF5F">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型号及规格</w:t>
                  </w:r>
                </w:p>
              </w:tc>
              <w:tc>
                <w:tcPr>
                  <w:tcW w:w="452" w:type="pct"/>
                  <w:vAlign w:val="center"/>
                </w:tcPr>
                <w:p w14:paraId="1BAD75DF">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单位</w:t>
                  </w:r>
                </w:p>
              </w:tc>
              <w:tc>
                <w:tcPr>
                  <w:tcW w:w="672" w:type="pct"/>
                  <w:vAlign w:val="center"/>
                </w:tcPr>
                <w:p w14:paraId="5465856F">
                  <w:pPr>
                    <w:keepNext w:val="0"/>
                    <w:keepLines w:val="0"/>
                    <w:suppressLineNumbers w:val="0"/>
                    <w:bidi w:val="0"/>
                    <w:spacing w:before="0" w:beforeAutospacing="0" w:after="0" w:afterAutospacing="0"/>
                    <w:ind w:left="0" w:right="0"/>
                    <w:jc w:val="center"/>
                    <w:rPr>
                      <w:rFonts w:hint="default"/>
                      <w:b/>
                      <w:bCs/>
                      <w:color w:val="auto"/>
                      <w:sz w:val="21"/>
                      <w:szCs w:val="21"/>
                    </w:rPr>
                  </w:pPr>
                  <w:r>
                    <w:rPr>
                      <w:rFonts w:hint="eastAsia"/>
                      <w:b/>
                      <w:bCs/>
                      <w:color w:val="auto"/>
                      <w:sz w:val="21"/>
                      <w:szCs w:val="21"/>
                    </w:rPr>
                    <w:t>数量</w:t>
                  </w:r>
                </w:p>
              </w:tc>
            </w:tr>
            <w:tr w14:paraId="1A58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14:paraId="1A44F10B">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b/>
                      <w:bCs/>
                      <w:color w:val="auto"/>
                      <w:sz w:val="21"/>
                      <w:szCs w:val="21"/>
                      <w:lang w:val="en-US" w:eastAsia="zh-CN"/>
                    </w:rPr>
                    <w:t>第一部分</w:t>
                  </w:r>
                  <w:r>
                    <w:rPr>
                      <w:rFonts w:hint="default"/>
                      <w:b/>
                      <w:bCs/>
                      <w:color w:val="auto"/>
                      <w:sz w:val="21"/>
                      <w:szCs w:val="21"/>
                    </w:rPr>
                    <w:t>、</w:t>
                  </w:r>
                  <w:r>
                    <w:rPr>
                      <w:rFonts w:hint="eastAsia"/>
                      <w:b/>
                      <w:bCs/>
                      <w:color w:val="auto"/>
                      <w:sz w:val="21"/>
                      <w:szCs w:val="21"/>
                      <w:lang w:val="en-US" w:eastAsia="zh-CN"/>
                    </w:rPr>
                    <w:t>设备及安装工程</w:t>
                  </w:r>
                </w:p>
              </w:tc>
            </w:tr>
            <w:tr w14:paraId="3B04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33D11FD1">
                  <w:pPr>
                    <w:keepNext w:val="0"/>
                    <w:keepLines w:val="0"/>
                    <w:suppressLineNumbers w:val="0"/>
                    <w:bidi w:val="0"/>
                    <w:spacing w:before="0" w:beforeAutospacing="0" w:after="0" w:afterAutospacing="0"/>
                    <w:ind w:left="0" w:right="0"/>
                    <w:jc w:val="center"/>
                    <w:rPr>
                      <w:rFonts w:hint="eastAsia"/>
                      <w:b/>
                      <w:bCs/>
                      <w:color w:val="auto"/>
                      <w:sz w:val="21"/>
                      <w:szCs w:val="21"/>
                      <w:lang w:val="en-US" w:eastAsia="zh-CN"/>
                    </w:rPr>
                  </w:pPr>
                  <w:r>
                    <w:rPr>
                      <w:rFonts w:hint="eastAsia"/>
                      <w:b/>
                      <w:bCs/>
                      <w:color w:val="auto"/>
                      <w:sz w:val="21"/>
                      <w:szCs w:val="21"/>
                      <w:lang w:val="en-US" w:eastAsia="zh-CN"/>
                    </w:rPr>
                    <w:t>一</w:t>
                  </w:r>
                </w:p>
              </w:tc>
              <w:tc>
                <w:tcPr>
                  <w:tcW w:w="3417" w:type="pct"/>
                  <w:gridSpan w:val="2"/>
                  <w:vAlign w:val="center"/>
                </w:tcPr>
                <w:p w14:paraId="78F6B0C7">
                  <w:pPr>
                    <w:keepNext w:val="0"/>
                    <w:keepLines w:val="0"/>
                    <w:suppressLineNumbers w:val="0"/>
                    <w:bidi w:val="0"/>
                    <w:spacing w:before="0" w:beforeAutospacing="0" w:after="0" w:afterAutospacing="0"/>
                    <w:ind w:left="0" w:right="0"/>
                    <w:jc w:val="center"/>
                    <w:rPr>
                      <w:rFonts w:hint="default"/>
                      <w:b/>
                      <w:bCs/>
                      <w:color w:val="auto"/>
                      <w:sz w:val="21"/>
                      <w:szCs w:val="21"/>
                      <w:lang w:val="en-US" w:eastAsia="zh-CN"/>
                    </w:rPr>
                  </w:pPr>
                  <w:r>
                    <w:rPr>
                      <w:rFonts w:hint="eastAsia"/>
                      <w:b/>
                      <w:bCs/>
                      <w:color w:val="auto"/>
                      <w:sz w:val="21"/>
                      <w:szCs w:val="21"/>
                      <w:lang w:val="en-US" w:eastAsia="zh-CN"/>
                    </w:rPr>
                    <w:t>发电设备及安装工程</w:t>
                  </w:r>
                </w:p>
              </w:tc>
              <w:tc>
                <w:tcPr>
                  <w:tcW w:w="452" w:type="pct"/>
                  <w:vAlign w:val="center"/>
                </w:tcPr>
                <w:p w14:paraId="0AB9DF25">
                  <w:pPr>
                    <w:keepNext w:val="0"/>
                    <w:keepLines w:val="0"/>
                    <w:suppressLineNumbers w:val="0"/>
                    <w:bidi w:val="0"/>
                    <w:spacing w:before="0" w:beforeAutospacing="0" w:after="0" w:afterAutospacing="0"/>
                    <w:ind w:left="0" w:right="0"/>
                    <w:jc w:val="center"/>
                    <w:rPr>
                      <w:rFonts w:hint="default"/>
                      <w:color w:val="auto"/>
                      <w:sz w:val="21"/>
                      <w:szCs w:val="21"/>
                    </w:rPr>
                  </w:pPr>
                </w:p>
              </w:tc>
              <w:tc>
                <w:tcPr>
                  <w:tcW w:w="672" w:type="pct"/>
                  <w:vAlign w:val="center"/>
                </w:tcPr>
                <w:p w14:paraId="06CB9C56">
                  <w:pPr>
                    <w:keepNext w:val="0"/>
                    <w:keepLines w:val="0"/>
                    <w:suppressLineNumbers w:val="0"/>
                    <w:bidi w:val="0"/>
                    <w:spacing w:before="0" w:beforeAutospacing="0" w:after="0" w:afterAutospacing="0"/>
                    <w:ind w:left="0" w:right="0"/>
                    <w:jc w:val="center"/>
                    <w:rPr>
                      <w:rFonts w:hint="default"/>
                      <w:color w:val="auto"/>
                      <w:sz w:val="21"/>
                      <w:szCs w:val="21"/>
                    </w:rPr>
                  </w:pPr>
                </w:p>
              </w:tc>
            </w:tr>
            <w:tr w14:paraId="7AEA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788FF08E">
                  <w:pPr>
                    <w:keepNext w:val="0"/>
                    <w:keepLines w:val="0"/>
                    <w:suppressLineNumbers w:val="0"/>
                    <w:bidi w:val="0"/>
                    <w:spacing w:before="0" w:beforeAutospacing="0" w:after="0" w:afterAutospacing="0"/>
                    <w:ind w:left="0" w:right="0"/>
                    <w:jc w:val="center"/>
                    <w:rPr>
                      <w:rFonts w:hint="default"/>
                      <w:color w:val="auto"/>
                      <w:sz w:val="21"/>
                      <w:szCs w:val="21"/>
                    </w:rPr>
                  </w:pPr>
                  <w:r>
                    <w:rPr>
                      <w:rFonts w:hint="eastAsia"/>
                      <w:color w:val="auto"/>
                      <w:sz w:val="21"/>
                      <w:szCs w:val="21"/>
                    </w:rPr>
                    <w:t>1</w:t>
                  </w:r>
                </w:p>
              </w:tc>
              <w:tc>
                <w:tcPr>
                  <w:tcW w:w="1447" w:type="pct"/>
                  <w:vAlign w:val="center"/>
                </w:tcPr>
                <w:p w14:paraId="30CEF434">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光伏发电设备及安装</w:t>
                  </w:r>
                </w:p>
              </w:tc>
              <w:tc>
                <w:tcPr>
                  <w:tcW w:w="1969" w:type="pct"/>
                  <w:vAlign w:val="center"/>
                </w:tcPr>
                <w:p w14:paraId="4D28D4CC">
                  <w:pPr>
                    <w:keepNext w:val="0"/>
                    <w:keepLines w:val="0"/>
                    <w:suppressLineNumbers w:val="0"/>
                    <w:bidi w:val="0"/>
                    <w:spacing w:before="0" w:beforeAutospacing="0" w:after="0" w:afterAutospacing="0"/>
                    <w:ind w:left="0" w:right="0"/>
                    <w:jc w:val="center"/>
                    <w:rPr>
                      <w:rFonts w:hint="eastAsia"/>
                      <w:color w:val="auto"/>
                      <w:sz w:val="21"/>
                      <w:szCs w:val="21"/>
                      <w:lang w:eastAsia="zh-CN"/>
                    </w:rPr>
                  </w:pPr>
                </w:p>
              </w:tc>
              <w:tc>
                <w:tcPr>
                  <w:tcW w:w="452" w:type="pct"/>
                  <w:vAlign w:val="center"/>
                </w:tcPr>
                <w:p w14:paraId="4BFA0DA3">
                  <w:pPr>
                    <w:keepNext w:val="0"/>
                    <w:keepLines w:val="0"/>
                    <w:suppressLineNumbers w:val="0"/>
                    <w:bidi w:val="0"/>
                    <w:spacing w:before="0" w:beforeAutospacing="0" w:after="0" w:afterAutospacing="0"/>
                    <w:ind w:left="0" w:right="0"/>
                    <w:jc w:val="center"/>
                    <w:rPr>
                      <w:rFonts w:hint="default"/>
                      <w:color w:val="auto"/>
                      <w:sz w:val="21"/>
                      <w:szCs w:val="21"/>
                    </w:rPr>
                  </w:pPr>
                </w:p>
              </w:tc>
              <w:tc>
                <w:tcPr>
                  <w:tcW w:w="672" w:type="pct"/>
                  <w:vAlign w:val="center"/>
                </w:tcPr>
                <w:p w14:paraId="54FCEDF0">
                  <w:pPr>
                    <w:keepNext w:val="0"/>
                    <w:keepLines w:val="0"/>
                    <w:suppressLineNumbers w:val="0"/>
                    <w:bidi w:val="0"/>
                    <w:spacing w:before="0" w:beforeAutospacing="0" w:after="0" w:afterAutospacing="0"/>
                    <w:ind w:left="0" w:right="0"/>
                    <w:jc w:val="center"/>
                    <w:rPr>
                      <w:rFonts w:hint="default"/>
                      <w:color w:val="auto"/>
                      <w:sz w:val="21"/>
                      <w:szCs w:val="21"/>
                      <w:lang w:val="en-US"/>
                    </w:rPr>
                  </w:pPr>
                </w:p>
              </w:tc>
            </w:tr>
            <w:tr w14:paraId="4573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520600AF">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1.1</w:t>
                  </w:r>
                </w:p>
              </w:tc>
              <w:tc>
                <w:tcPr>
                  <w:tcW w:w="1447" w:type="pct"/>
                  <w:vAlign w:val="center"/>
                </w:tcPr>
                <w:p w14:paraId="0BB3C5E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光伏电池组件</w:t>
                  </w:r>
                </w:p>
              </w:tc>
              <w:tc>
                <w:tcPr>
                  <w:tcW w:w="1969" w:type="pct"/>
                  <w:vAlign w:val="center"/>
                </w:tcPr>
                <w:p w14:paraId="7DB4C971">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单晶590Wp高效组件</w:t>
                  </w:r>
                </w:p>
              </w:tc>
              <w:tc>
                <w:tcPr>
                  <w:tcW w:w="452" w:type="pct"/>
                  <w:vAlign w:val="center"/>
                </w:tcPr>
                <w:p w14:paraId="3DA1389B">
                  <w:pPr>
                    <w:keepNext w:val="0"/>
                    <w:keepLines w:val="0"/>
                    <w:suppressLineNumbers w:val="0"/>
                    <w:bidi w:val="0"/>
                    <w:spacing w:before="0" w:beforeAutospacing="0" w:after="0" w:afterAutospacing="0"/>
                    <w:ind w:left="0" w:right="0"/>
                    <w:jc w:val="center"/>
                    <w:rPr>
                      <w:rFonts w:hint="eastAsia"/>
                      <w:color w:val="auto"/>
                      <w:sz w:val="21"/>
                      <w:szCs w:val="21"/>
                    </w:rPr>
                  </w:pPr>
                  <w:r>
                    <w:rPr>
                      <w:rFonts w:hint="eastAsia"/>
                      <w:color w:val="auto"/>
                      <w:sz w:val="21"/>
                      <w:szCs w:val="21"/>
                    </w:rPr>
                    <w:t>块</w:t>
                  </w:r>
                </w:p>
              </w:tc>
              <w:tc>
                <w:tcPr>
                  <w:tcW w:w="672" w:type="pct"/>
                  <w:vAlign w:val="center"/>
                </w:tcPr>
                <w:p w14:paraId="7F655F3A">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sz w:val="21"/>
                      <w:szCs w:val="21"/>
                      <w:lang w:val="en-US" w:eastAsia="zh-CN"/>
                    </w:rPr>
                    <w:t>97838</w:t>
                  </w:r>
                </w:p>
              </w:tc>
            </w:tr>
            <w:tr w14:paraId="6FF3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4EE0B2A">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1.2</w:t>
                  </w:r>
                </w:p>
              </w:tc>
              <w:tc>
                <w:tcPr>
                  <w:tcW w:w="1447" w:type="pct"/>
                  <w:vAlign w:val="center"/>
                </w:tcPr>
                <w:p w14:paraId="3AAE9548">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固定支架</w:t>
                  </w:r>
                </w:p>
              </w:tc>
              <w:tc>
                <w:tcPr>
                  <w:tcW w:w="1969" w:type="pct"/>
                  <w:vAlign w:val="center"/>
                </w:tcPr>
                <w:p w14:paraId="3E3B9114">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Q</w:t>
                  </w:r>
                  <w:r>
                    <w:rPr>
                      <w:rFonts w:hint="eastAsia"/>
                      <w:color w:val="auto"/>
                      <w:sz w:val="21"/>
                      <w:szCs w:val="21"/>
                      <w:lang w:val="en-US" w:eastAsia="zh-CN"/>
                    </w:rPr>
                    <w:t>355</w:t>
                  </w:r>
                  <w:r>
                    <w:rPr>
                      <w:rFonts w:hint="default"/>
                      <w:color w:val="auto"/>
                      <w:sz w:val="21"/>
                      <w:szCs w:val="21"/>
                      <w:lang w:val="en-US" w:eastAsia="zh-CN"/>
                    </w:rPr>
                    <w:t>B</w:t>
                  </w:r>
                </w:p>
              </w:tc>
              <w:tc>
                <w:tcPr>
                  <w:tcW w:w="452" w:type="pct"/>
                  <w:vAlign w:val="center"/>
                </w:tcPr>
                <w:p w14:paraId="0F5115A2">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t</w:t>
                  </w:r>
                </w:p>
              </w:tc>
              <w:tc>
                <w:tcPr>
                  <w:tcW w:w="672" w:type="pct"/>
                  <w:vAlign w:val="center"/>
                </w:tcPr>
                <w:p w14:paraId="4857E764">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1806.40</w:t>
                  </w:r>
                </w:p>
              </w:tc>
            </w:tr>
            <w:tr w14:paraId="64D9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0CEA9F13">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1.3</w:t>
                  </w:r>
                </w:p>
              </w:tc>
              <w:tc>
                <w:tcPr>
                  <w:tcW w:w="1447" w:type="pct"/>
                  <w:vAlign w:val="center"/>
                </w:tcPr>
                <w:p w14:paraId="4EB94E0F">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固定支架</w:t>
                  </w:r>
                </w:p>
              </w:tc>
              <w:tc>
                <w:tcPr>
                  <w:tcW w:w="1969" w:type="pct"/>
                  <w:vAlign w:val="center"/>
                </w:tcPr>
                <w:p w14:paraId="2FDB398E">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default"/>
                      <w:color w:val="auto"/>
                      <w:sz w:val="21"/>
                      <w:szCs w:val="21"/>
                      <w:lang w:val="en-US" w:eastAsia="zh-CN"/>
                    </w:rPr>
                    <w:t>Q</w:t>
                  </w:r>
                  <w:r>
                    <w:rPr>
                      <w:rFonts w:hint="eastAsia"/>
                      <w:color w:val="auto"/>
                      <w:sz w:val="21"/>
                      <w:szCs w:val="21"/>
                      <w:lang w:val="en-US" w:eastAsia="zh-CN"/>
                    </w:rPr>
                    <w:t>235</w:t>
                  </w:r>
                  <w:r>
                    <w:rPr>
                      <w:rFonts w:hint="default"/>
                      <w:color w:val="auto"/>
                      <w:sz w:val="21"/>
                      <w:szCs w:val="21"/>
                      <w:lang w:val="en-US" w:eastAsia="zh-CN"/>
                    </w:rPr>
                    <w:t>B</w:t>
                  </w:r>
                </w:p>
              </w:tc>
              <w:tc>
                <w:tcPr>
                  <w:tcW w:w="452" w:type="pct"/>
                  <w:vAlign w:val="center"/>
                </w:tcPr>
                <w:p w14:paraId="54A379E6">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t</w:t>
                  </w:r>
                </w:p>
              </w:tc>
              <w:tc>
                <w:tcPr>
                  <w:tcW w:w="672" w:type="pct"/>
                  <w:vAlign w:val="center"/>
                </w:tcPr>
                <w:p w14:paraId="088B19E1">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451.60</w:t>
                  </w:r>
                </w:p>
              </w:tc>
            </w:tr>
            <w:tr w14:paraId="711E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19D25FC">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2</w:t>
                  </w:r>
                </w:p>
              </w:tc>
              <w:tc>
                <w:tcPr>
                  <w:tcW w:w="1447" w:type="pct"/>
                  <w:vAlign w:val="center"/>
                </w:tcPr>
                <w:p w14:paraId="0E0B296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汇流及变配电设备及安装</w:t>
                  </w:r>
                </w:p>
              </w:tc>
              <w:tc>
                <w:tcPr>
                  <w:tcW w:w="1969" w:type="pct"/>
                  <w:vAlign w:val="center"/>
                </w:tcPr>
                <w:p w14:paraId="53FE5B77">
                  <w:pPr>
                    <w:keepNext w:val="0"/>
                    <w:keepLines w:val="0"/>
                    <w:suppressLineNumbers w:val="0"/>
                    <w:bidi w:val="0"/>
                    <w:spacing w:before="0" w:beforeAutospacing="0" w:after="0" w:afterAutospacing="0"/>
                    <w:ind w:left="0" w:right="0"/>
                    <w:jc w:val="center"/>
                    <w:rPr>
                      <w:rFonts w:hint="default"/>
                      <w:color w:val="auto"/>
                      <w:sz w:val="21"/>
                      <w:szCs w:val="21"/>
                    </w:rPr>
                  </w:pPr>
                </w:p>
              </w:tc>
              <w:tc>
                <w:tcPr>
                  <w:tcW w:w="452" w:type="pct"/>
                  <w:vAlign w:val="center"/>
                </w:tcPr>
                <w:p w14:paraId="13EEC3CC">
                  <w:pPr>
                    <w:keepNext w:val="0"/>
                    <w:keepLines w:val="0"/>
                    <w:suppressLineNumbers w:val="0"/>
                    <w:bidi w:val="0"/>
                    <w:spacing w:before="0" w:beforeAutospacing="0" w:after="0" w:afterAutospacing="0"/>
                    <w:ind w:left="0" w:right="0"/>
                    <w:jc w:val="center"/>
                    <w:rPr>
                      <w:rFonts w:hint="default"/>
                      <w:color w:val="auto"/>
                      <w:sz w:val="21"/>
                      <w:szCs w:val="21"/>
                    </w:rPr>
                  </w:pPr>
                </w:p>
              </w:tc>
              <w:tc>
                <w:tcPr>
                  <w:tcW w:w="672" w:type="pct"/>
                  <w:vAlign w:val="center"/>
                </w:tcPr>
                <w:p w14:paraId="1455C0FB">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r>
            <w:tr w14:paraId="6DB0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2FE5971">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2.1</w:t>
                  </w:r>
                </w:p>
              </w:tc>
              <w:tc>
                <w:tcPr>
                  <w:tcW w:w="1447" w:type="pct"/>
                  <w:shd w:val="clear" w:color="auto" w:fill="auto"/>
                  <w:vAlign w:val="center"/>
                </w:tcPr>
                <w:p w14:paraId="4E10E089">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组串式逆变器</w:t>
                  </w:r>
                </w:p>
              </w:tc>
              <w:tc>
                <w:tcPr>
                  <w:tcW w:w="1969" w:type="pct"/>
                  <w:shd w:val="clear" w:color="auto" w:fill="auto"/>
                  <w:vAlign w:val="center"/>
                </w:tcPr>
                <w:p w14:paraId="02083862">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320kW</w:t>
                  </w:r>
                </w:p>
              </w:tc>
              <w:tc>
                <w:tcPr>
                  <w:tcW w:w="452" w:type="pct"/>
                  <w:shd w:val="clear" w:color="auto" w:fill="auto"/>
                  <w:vAlign w:val="center"/>
                </w:tcPr>
                <w:p w14:paraId="74EA8476">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台</w:t>
                  </w:r>
                </w:p>
              </w:tc>
              <w:tc>
                <w:tcPr>
                  <w:tcW w:w="672" w:type="pct"/>
                  <w:shd w:val="clear" w:color="auto" w:fill="auto"/>
                  <w:vAlign w:val="center"/>
                </w:tcPr>
                <w:p w14:paraId="0B767B3C">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1</w:t>
                  </w:r>
                  <w:r>
                    <w:rPr>
                      <w:rFonts w:hint="eastAsia" w:ascii="Times New Roman" w:hAnsi="Times New Roman" w:cs="Times New Roman"/>
                      <w:color w:val="auto"/>
                      <w:kern w:val="2"/>
                      <w:sz w:val="21"/>
                      <w:szCs w:val="21"/>
                      <w:lang w:val="en-US" w:eastAsia="zh-CN" w:bidi="ar-SA"/>
                    </w:rPr>
                    <w:t>41</w:t>
                  </w:r>
                </w:p>
              </w:tc>
            </w:tr>
            <w:tr w14:paraId="6A02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6F2ABED">
                  <w:pPr>
                    <w:keepNext w:val="0"/>
                    <w:keepLines w:val="0"/>
                    <w:suppressLineNumbers w:val="0"/>
                    <w:bidi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2.2</w:t>
                  </w:r>
                </w:p>
              </w:tc>
              <w:tc>
                <w:tcPr>
                  <w:tcW w:w="1447" w:type="pct"/>
                  <w:shd w:val="clear" w:color="auto" w:fill="auto"/>
                  <w:vAlign w:val="center"/>
                </w:tcPr>
                <w:p w14:paraId="28CB208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箱式变压器</w:t>
                  </w:r>
                </w:p>
              </w:tc>
              <w:tc>
                <w:tcPr>
                  <w:tcW w:w="1969" w:type="pct"/>
                  <w:shd w:val="clear" w:color="auto" w:fill="auto"/>
                  <w:vAlign w:val="center"/>
                </w:tcPr>
                <w:p w14:paraId="24C153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2600kVA</w:t>
                  </w:r>
                  <w:r>
                    <w:rPr>
                      <w:rFonts w:hint="eastAsia" w:ascii="宋体" w:hAnsi="宋体" w:eastAsia="宋体" w:cs="宋体"/>
                      <w:color w:val="auto"/>
                      <w:kern w:val="0"/>
                      <w:sz w:val="21"/>
                      <w:szCs w:val="21"/>
                      <w:lang w:val="en-US" w:eastAsia="zh-CN" w:bidi="ar"/>
                    </w:rPr>
                    <w:t>油浸式箱变，华变，高压侧断路器</w:t>
                  </w:r>
                </w:p>
              </w:tc>
              <w:tc>
                <w:tcPr>
                  <w:tcW w:w="452" w:type="pct"/>
                  <w:shd w:val="clear" w:color="auto" w:fill="auto"/>
                  <w:vAlign w:val="center"/>
                </w:tcPr>
                <w:p w14:paraId="68D27B0A">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44A93F6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r>
            <w:tr w14:paraId="7D46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51424646">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2.3</w:t>
                  </w:r>
                </w:p>
              </w:tc>
              <w:tc>
                <w:tcPr>
                  <w:tcW w:w="1447" w:type="pct"/>
                  <w:shd w:val="clear" w:color="auto" w:fill="auto"/>
                  <w:vAlign w:val="center"/>
                </w:tcPr>
                <w:p w14:paraId="33024F1B">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箱式变压器</w:t>
                  </w:r>
                </w:p>
              </w:tc>
              <w:tc>
                <w:tcPr>
                  <w:tcW w:w="1969" w:type="pct"/>
                  <w:shd w:val="clear" w:color="auto" w:fill="auto"/>
                  <w:vAlign w:val="center"/>
                </w:tcPr>
                <w:p w14:paraId="775C705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3200kVA油浸式箱变，华变，高压侧断路器</w:t>
                  </w:r>
                </w:p>
              </w:tc>
              <w:tc>
                <w:tcPr>
                  <w:tcW w:w="452" w:type="pct"/>
                  <w:shd w:val="clear" w:color="auto" w:fill="auto"/>
                  <w:vAlign w:val="center"/>
                </w:tcPr>
                <w:p w14:paraId="7FC5782D">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702D2172">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11</w:t>
                  </w:r>
                </w:p>
              </w:tc>
            </w:tr>
            <w:tr w14:paraId="5AA0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7CE612F4">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2.4</w:t>
                  </w:r>
                </w:p>
              </w:tc>
              <w:tc>
                <w:tcPr>
                  <w:tcW w:w="1447" w:type="pct"/>
                  <w:shd w:val="clear" w:color="auto" w:fill="auto"/>
                  <w:vAlign w:val="center"/>
                </w:tcPr>
                <w:p w14:paraId="4727DC6C">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箱式变压器</w:t>
                  </w:r>
                </w:p>
              </w:tc>
              <w:tc>
                <w:tcPr>
                  <w:tcW w:w="1969" w:type="pct"/>
                  <w:shd w:val="clear" w:color="auto" w:fill="auto"/>
                  <w:vAlign w:val="center"/>
                </w:tcPr>
                <w:p w14:paraId="32A849D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r>
                    <w:rPr>
                      <w:rFonts w:hint="eastAsia" w:cs="Times New Roman"/>
                      <w:color w:val="auto"/>
                      <w:kern w:val="0"/>
                      <w:sz w:val="21"/>
                      <w:szCs w:val="21"/>
                      <w:lang w:val="en-US" w:eastAsia="zh-CN" w:bidi="ar"/>
                    </w:rPr>
                    <w:t>6</w:t>
                  </w:r>
                  <w:r>
                    <w:rPr>
                      <w:rFonts w:hint="default" w:ascii="Times New Roman" w:hAnsi="Times New Roman" w:eastAsia="宋体" w:cs="Times New Roman"/>
                      <w:color w:val="auto"/>
                      <w:kern w:val="0"/>
                      <w:sz w:val="21"/>
                      <w:szCs w:val="21"/>
                      <w:lang w:val="en-US" w:eastAsia="zh-CN" w:bidi="ar"/>
                    </w:rPr>
                    <w:t>00kVA油浸式箱变，华变，高压侧断路器</w:t>
                  </w:r>
                </w:p>
              </w:tc>
              <w:tc>
                <w:tcPr>
                  <w:tcW w:w="452" w:type="pct"/>
                  <w:shd w:val="clear" w:color="auto" w:fill="auto"/>
                  <w:vAlign w:val="center"/>
                </w:tcPr>
                <w:p w14:paraId="0A98A9D9">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28F75AAA">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w:t>
                  </w:r>
                </w:p>
              </w:tc>
            </w:tr>
            <w:tr w14:paraId="4EF5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24845C6D">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2.5</w:t>
                  </w:r>
                </w:p>
              </w:tc>
              <w:tc>
                <w:tcPr>
                  <w:tcW w:w="1447" w:type="pct"/>
                  <w:shd w:val="clear" w:color="auto" w:fill="auto"/>
                  <w:vAlign w:val="center"/>
                </w:tcPr>
                <w:p w14:paraId="0AB53557">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箱式变压器</w:t>
                  </w:r>
                </w:p>
              </w:tc>
              <w:tc>
                <w:tcPr>
                  <w:tcW w:w="1969" w:type="pct"/>
                  <w:shd w:val="clear" w:color="auto" w:fill="auto"/>
                  <w:vAlign w:val="center"/>
                </w:tcPr>
                <w:p w14:paraId="50A7589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r>
                    <w:rPr>
                      <w:rFonts w:hint="eastAsia"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val="en-US" w:eastAsia="zh-CN" w:bidi="ar"/>
                    </w:rPr>
                    <w:t>00kVA油浸式箱变，华变，高压侧断路器</w:t>
                  </w:r>
                </w:p>
              </w:tc>
              <w:tc>
                <w:tcPr>
                  <w:tcW w:w="452" w:type="pct"/>
                  <w:shd w:val="clear" w:color="auto" w:fill="auto"/>
                  <w:vAlign w:val="center"/>
                </w:tcPr>
                <w:p w14:paraId="28360428">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672" w:type="pct"/>
                  <w:shd w:val="clear" w:color="auto" w:fill="auto"/>
                  <w:vAlign w:val="center"/>
                </w:tcPr>
                <w:p w14:paraId="0EF23EBC">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w:t>
                  </w:r>
                </w:p>
              </w:tc>
            </w:tr>
            <w:tr w14:paraId="7560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43E6FA3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w:t>
                  </w:r>
                </w:p>
              </w:tc>
              <w:tc>
                <w:tcPr>
                  <w:tcW w:w="1447" w:type="pct"/>
                  <w:shd w:val="clear" w:color="auto" w:fill="auto"/>
                  <w:vAlign w:val="center"/>
                </w:tcPr>
                <w:p w14:paraId="32D0CD0A">
                  <w:pPr>
                    <w:keepNext w:val="0"/>
                    <w:keepLines w:val="0"/>
                    <w:widowControl/>
                    <w:suppressLineNumbers w:val="0"/>
                    <w:spacing w:before="0" w:beforeAutospacing="0" w:after="0" w:afterAutospacing="0"/>
                    <w:ind w:left="0" w:right="0"/>
                    <w:jc w:val="center"/>
                    <w:rPr>
                      <w:rFonts w:hint="eastAsia"/>
                      <w:color w:val="auto"/>
                      <w:sz w:val="21"/>
                      <w:szCs w:val="21"/>
                      <w:lang w:val="en-US" w:eastAsia="zh-CN"/>
                    </w:rPr>
                  </w:pPr>
                  <w:r>
                    <w:rPr>
                      <w:rFonts w:hint="eastAsia" w:ascii="宋体" w:hAnsi="宋体" w:eastAsia="宋体" w:cs="宋体"/>
                      <w:color w:val="auto"/>
                      <w:kern w:val="0"/>
                      <w:sz w:val="21"/>
                      <w:szCs w:val="21"/>
                      <w:lang w:val="en-US" w:eastAsia="zh-CN" w:bidi="ar"/>
                    </w:rPr>
                    <w:t>直流光伏电缆</w:t>
                  </w:r>
                </w:p>
              </w:tc>
              <w:tc>
                <w:tcPr>
                  <w:tcW w:w="1969" w:type="pct"/>
                  <w:shd w:val="clear" w:color="auto" w:fill="auto"/>
                  <w:vAlign w:val="center"/>
                </w:tcPr>
                <w:p w14:paraId="3D299466">
                  <w:pPr>
                    <w:keepNext w:val="0"/>
                    <w:keepLines w:val="0"/>
                    <w:widowControl/>
                    <w:suppressLineNumbers w:val="0"/>
                    <w:spacing w:before="0" w:beforeAutospacing="0" w:after="0" w:afterAutospacing="0"/>
                    <w:ind w:left="0" w:right="0"/>
                    <w:jc w:val="center"/>
                    <w:rPr>
                      <w:rFonts w:hint="eastAsia"/>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H1Z2Z2-K-1x6mm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1500V</w:t>
                  </w:r>
                  <w:r>
                    <w:rPr>
                      <w:rFonts w:hint="eastAsia" w:ascii="宋体" w:hAnsi="宋体" w:eastAsia="宋体" w:cs="宋体"/>
                      <w:color w:val="auto"/>
                      <w:kern w:val="0"/>
                      <w:sz w:val="21"/>
                      <w:szCs w:val="21"/>
                      <w:lang w:val="en-US" w:eastAsia="zh-CN" w:bidi="ar"/>
                    </w:rPr>
                    <w:t>耐压</w:t>
                  </w:r>
                </w:p>
              </w:tc>
              <w:tc>
                <w:tcPr>
                  <w:tcW w:w="452" w:type="pct"/>
                  <w:shd w:val="clear" w:color="auto" w:fill="auto"/>
                  <w:vAlign w:val="center"/>
                </w:tcPr>
                <w:p w14:paraId="2363130D">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348A354E">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413.93</w:t>
                  </w:r>
                </w:p>
              </w:tc>
            </w:tr>
            <w:tr w14:paraId="5F72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61EF96CF">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w:t>
                  </w:r>
                </w:p>
              </w:tc>
              <w:tc>
                <w:tcPr>
                  <w:tcW w:w="1447" w:type="pct"/>
                  <w:shd w:val="clear" w:color="auto" w:fill="auto"/>
                  <w:vAlign w:val="center"/>
                </w:tcPr>
                <w:p w14:paraId="49A9B46F">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3kV电缆</w:t>
                  </w:r>
                </w:p>
              </w:tc>
              <w:tc>
                <w:tcPr>
                  <w:tcW w:w="1969" w:type="pct"/>
                  <w:shd w:val="clear" w:color="auto" w:fill="auto"/>
                  <w:vAlign w:val="center"/>
                </w:tcPr>
                <w:p w14:paraId="778F4989">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c>
                <w:tcPr>
                  <w:tcW w:w="452" w:type="pct"/>
                  <w:shd w:val="clear" w:color="auto" w:fill="auto"/>
                  <w:vAlign w:val="center"/>
                </w:tcPr>
                <w:p w14:paraId="2F035635">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c>
                <w:tcPr>
                  <w:tcW w:w="672" w:type="pct"/>
                  <w:shd w:val="clear" w:color="auto" w:fill="auto"/>
                  <w:vAlign w:val="center"/>
                </w:tcPr>
                <w:p w14:paraId="2658B115">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r>
            <w:tr w14:paraId="0452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4630F60D">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4.1</w:t>
                  </w:r>
                </w:p>
              </w:tc>
              <w:tc>
                <w:tcPr>
                  <w:tcW w:w="1447" w:type="pct"/>
                  <w:shd w:val="clear" w:color="auto" w:fill="auto"/>
                  <w:vAlign w:val="center"/>
                </w:tcPr>
                <w:p w14:paraId="60B15646">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低压电力电缆</w:t>
                  </w:r>
                </w:p>
              </w:tc>
              <w:tc>
                <w:tcPr>
                  <w:tcW w:w="1969" w:type="pct"/>
                  <w:shd w:val="clear" w:color="auto" w:fill="auto"/>
                  <w:vAlign w:val="center"/>
                </w:tcPr>
                <w:p w14:paraId="40C92DA7">
                  <w:pPr>
                    <w:keepNext w:val="0"/>
                    <w:keepLines w:val="0"/>
                    <w:widowControl/>
                    <w:suppressLineNumbers w:val="0"/>
                    <w:spacing w:before="0" w:beforeAutospacing="0" w:after="0" w:afterAutospacing="0"/>
                    <w:ind w:left="0" w:right="0"/>
                    <w:jc w:val="center"/>
                    <w:rPr>
                      <w:rFonts w:hint="eastAsia"/>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ZC-YJLHV22-1.8/3kV-3</w:t>
                  </w:r>
                  <w:r>
                    <w:rPr>
                      <w:rFonts w:hint="eastAsia"/>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240</w:t>
                  </w:r>
                </w:p>
              </w:tc>
              <w:tc>
                <w:tcPr>
                  <w:tcW w:w="452" w:type="pct"/>
                  <w:shd w:val="clear" w:color="auto" w:fill="auto"/>
                  <w:vAlign w:val="center"/>
                </w:tcPr>
                <w:p w14:paraId="35C37D89">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19FE6041">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31.02</w:t>
                  </w:r>
                </w:p>
              </w:tc>
            </w:tr>
            <w:tr w14:paraId="5D5C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00E65C71">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4.2</w:t>
                  </w:r>
                </w:p>
              </w:tc>
              <w:tc>
                <w:tcPr>
                  <w:tcW w:w="1447" w:type="pct"/>
                  <w:shd w:val="clear" w:color="auto" w:fill="auto"/>
                  <w:vAlign w:val="center"/>
                </w:tcPr>
                <w:p w14:paraId="3C74A88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1kV</w:t>
                  </w:r>
                  <w:r>
                    <w:rPr>
                      <w:rFonts w:hint="default" w:ascii="瀹嬩綋" w:hAnsi="瀹嬩綋" w:eastAsia="瀹嬩綋" w:cs="瀹嬩綋"/>
                      <w:color w:val="auto"/>
                      <w:kern w:val="0"/>
                      <w:sz w:val="21"/>
                      <w:szCs w:val="21"/>
                      <w:lang w:val="en-US" w:eastAsia="zh-CN" w:bidi="ar"/>
                    </w:rPr>
                    <w:t>动力电缆</w:t>
                  </w:r>
                </w:p>
              </w:tc>
              <w:tc>
                <w:tcPr>
                  <w:tcW w:w="1969" w:type="pct"/>
                  <w:shd w:val="clear" w:color="auto" w:fill="auto"/>
                  <w:vAlign w:val="center"/>
                </w:tcPr>
                <w:p w14:paraId="1B166B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ZC-YJV22-0.6/1kV-4</w:t>
                  </w:r>
                  <w:r>
                    <w:rPr>
                      <w:rFonts w:hint="eastAsia"/>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4</w:t>
                  </w:r>
                </w:p>
              </w:tc>
              <w:tc>
                <w:tcPr>
                  <w:tcW w:w="452" w:type="pct"/>
                  <w:shd w:val="clear" w:color="auto" w:fill="auto"/>
                  <w:vAlign w:val="center"/>
                </w:tcPr>
                <w:p w14:paraId="5AAB76FD">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km</w:t>
                  </w:r>
                </w:p>
              </w:tc>
              <w:tc>
                <w:tcPr>
                  <w:tcW w:w="672" w:type="pct"/>
                  <w:shd w:val="clear" w:color="auto" w:fill="auto"/>
                  <w:vAlign w:val="center"/>
                </w:tcPr>
                <w:p w14:paraId="6DA8179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0.5</w:t>
                  </w:r>
                </w:p>
              </w:tc>
            </w:tr>
            <w:tr w14:paraId="423D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2709546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4.3</w:t>
                  </w:r>
                </w:p>
              </w:tc>
              <w:tc>
                <w:tcPr>
                  <w:tcW w:w="1447" w:type="pct"/>
                  <w:shd w:val="clear" w:color="auto" w:fill="auto"/>
                  <w:vAlign w:val="center"/>
                </w:tcPr>
                <w:p w14:paraId="77DC97A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瀹嬩綋" w:hAnsi="瀹嬩綋" w:eastAsia="瀹嬩綋" w:cs="瀹嬩綋"/>
                      <w:color w:val="auto"/>
                      <w:kern w:val="0"/>
                      <w:sz w:val="21"/>
                      <w:szCs w:val="21"/>
                      <w:lang w:val="en-US" w:eastAsia="zh-CN" w:bidi="ar"/>
                    </w:rPr>
                    <w:t>低压电力电缆</w:t>
                  </w:r>
                </w:p>
              </w:tc>
              <w:tc>
                <w:tcPr>
                  <w:tcW w:w="1969" w:type="pct"/>
                  <w:shd w:val="clear" w:color="auto" w:fill="auto"/>
                  <w:vAlign w:val="center"/>
                </w:tcPr>
                <w:p w14:paraId="2C2262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ZC-YJV22-1.8/3kV-3</w:t>
                  </w:r>
                  <w:r>
                    <w:rPr>
                      <w:rFonts w:hint="eastAsia"/>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16</w:t>
                  </w:r>
                </w:p>
              </w:tc>
              <w:tc>
                <w:tcPr>
                  <w:tcW w:w="452" w:type="pct"/>
                  <w:shd w:val="clear" w:color="auto" w:fill="auto"/>
                  <w:vAlign w:val="center"/>
                </w:tcPr>
                <w:p w14:paraId="29DE75D2">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km</w:t>
                  </w:r>
                </w:p>
              </w:tc>
              <w:tc>
                <w:tcPr>
                  <w:tcW w:w="672" w:type="pct"/>
                  <w:shd w:val="clear" w:color="auto" w:fill="auto"/>
                  <w:vAlign w:val="center"/>
                </w:tcPr>
                <w:p w14:paraId="5E8F6503">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0.5</w:t>
                  </w:r>
                </w:p>
              </w:tc>
            </w:tr>
            <w:tr w14:paraId="263C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3E7167C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w:t>
                  </w:r>
                </w:p>
              </w:tc>
              <w:tc>
                <w:tcPr>
                  <w:tcW w:w="1447" w:type="pct"/>
                  <w:shd w:val="clear" w:color="auto" w:fill="auto"/>
                  <w:vAlign w:val="center"/>
                </w:tcPr>
                <w:p w14:paraId="04C77BCB">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eastAsia" w:ascii="宋体" w:hAnsi="宋体" w:eastAsia="宋体" w:cs="宋体"/>
                      <w:color w:val="auto"/>
                      <w:kern w:val="0"/>
                      <w:sz w:val="21"/>
                      <w:szCs w:val="21"/>
                      <w:lang w:val="en-US" w:eastAsia="zh-CN" w:bidi="ar"/>
                    </w:rPr>
                    <w:t>接地</w:t>
                  </w:r>
                </w:p>
              </w:tc>
              <w:tc>
                <w:tcPr>
                  <w:tcW w:w="1969" w:type="pct"/>
                  <w:shd w:val="clear" w:color="auto" w:fill="auto"/>
                  <w:vAlign w:val="center"/>
                </w:tcPr>
                <w:p w14:paraId="2C785E25">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c>
                <w:tcPr>
                  <w:tcW w:w="452" w:type="pct"/>
                  <w:shd w:val="clear" w:color="auto" w:fill="auto"/>
                  <w:vAlign w:val="center"/>
                </w:tcPr>
                <w:p w14:paraId="21A90922">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c>
                <w:tcPr>
                  <w:tcW w:w="672" w:type="pct"/>
                  <w:shd w:val="clear" w:color="auto" w:fill="auto"/>
                  <w:vAlign w:val="center"/>
                </w:tcPr>
                <w:p w14:paraId="43882869">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p>
              </w:tc>
            </w:tr>
            <w:tr w14:paraId="20A5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Align w:val="center"/>
                </w:tcPr>
                <w:p w14:paraId="427C0808">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5.1</w:t>
                  </w:r>
                </w:p>
              </w:tc>
              <w:tc>
                <w:tcPr>
                  <w:tcW w:w="1447" w:type="pct"/>
                  <w:shd w:val="clear" w:color="auto" w:fill="auto"/>
                  <w:vAlign w:val="center"/>
                </w:tcPr>
                <w:p w14:paraId="0998958A">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水平接地体</w:t>
                  </w:r>
                </w:p>
              </w:tc>
              <w:tc>
                <w:tcPr>
                  <w:tcW w:w="1969" w:type="pct"/>
                  <w:shd w:val="clear" w:color="auto" w:fill="auto"/>
                  <w:vAlign w:val="center"/>
                </w:tcPr>
                <w:p w14:paraId="6B69B7E3">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60</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6</w:t>
                  </w:r>
                  <w:r>
                    <w:rPr>
                      <w:rFonts w:hint="default" w:ascii="瀹嬩綋" w:hAnsi="瀹嬩綋" w:eastAsia="瀹嬩綋" w:cs="瀹嬩綋"/>
                      <w:color w:val="auto"/>
                      <w:kern w:val="0"/>
                      <w:sz w:val="21"/>
                      <w:szCs w:val="21"/>
                      <w:lang w:val="en-US" w:eastAsia="zh-CN" w:bidi="ar"/>
                    </w:rPr>
                    <w:t>接地扁钢</w:t>
                  </w:r>
                </w:p>
              </w:tc>
              <w:tc>
                <w:tcPr>
                  <w:tcW w:w="452" w:type="pct"/>
                  <w:shd w:val="clear" w:color="auto" w:fill="auto"/>
                  <w:vAlign w:val="center"/>
                </w:tcPr>
                <w:p w14:paraId="452E27F8">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09219095">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3</w:t>
                  </w:r>
                  <w:r>
                    <w:rPr>
                      <w:rFonts w:hint="eastAsia" w:cs="Times New Roman"/>
                      <w:color w:val="auto"/>
                      <w:kern w:val="0"/>
                      <w:sz w:val="21"/>
                      <w:szCs w:val="21"/>
                      <w:lang w:val="en-US" w:eastAsia="zh-CN" w:bidi="ar"/>
                    </w:rPr>
                    <w:t>6</w:t>
                  </w:r>
                </w:p>
              </w:tc>
            </w:tr>
            <w:tr w14:paraId="335E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461ADBED">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5.2</w:t>
                  </w:r>
                </w:p>
              </w:tc>
              <w:tc>
                <w:tcPr>
                  <w:tcW w:w="1447" w:type="pct"/>
                  <w:shd w:val="clear" w:color="auto" w:fill="auto"/>
                  <w:vAlign w:val="center"/>
                </w:tcPr>
                <w:p w14:paraId="69109DA8">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接地连接线</w:t>
                  </w:r>
                </w:p>
              </w:tc>
              <w:tc>
                <w:tcPr>
                  <w:tcW w:w="1969" w:type="pct"/>
                  <w:shd w:val="clear" w:color="auto" w:fill="auto"/>
                  <w:vAlign w:val="center"/>
                </w:tcPr>
                <w:p w14:paraId="2866EA40">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50</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5</w:t>
                  </w:r>
                  <w:r>
                    <w:rPr>
                      <w:rFonts w:hint="default" w:ascii="瀹嬩綋" w:hAnsi="瀹嬩綋" w:eastAsia="瀹嬩綋" w:cs="瀹嬩綋"/>
                      <w:color w:val="auto"/>
                      <w:kern w:val="0"/>
                      <w:sz w:val="21"/>
                      <w:szCs w:val="21"/>
                      <w:lang w:val="en-US" w:eastAsia="zh-CN" w:bidi="ar"/>
                    </w:rPr>
                    <w:t>接地扁钢</w:t>
                  </w:r>
                </w:p>
              </w:tc>
              <w:tc>
                <w:tcPr>
                  <w:tcW w:w="452" w:type="pct"/>
                  <w:shd w:val="clear" w:color="auto" w:fill="auto"/>
                  <w:vAlign w:val="center"/>
                </w:tcPr>
                <w:p w14:paraId="43CE7795">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65376D47">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s="Times New Roman"/>
                      <w:color w:val="auto"/>
                      <w:kern w:val="0"/>
                      <w:sz w:val="21"/>
                      <w:szCs w:val="21"/>
                      <w:lang w:val="en-US" w:eastAsia="zh-CN" w:bidi="ar"/>
                    </w:rPr>
                    <w:t>6</w:t>
                  </w:r>
                </w:p>
              </w:tc>
            </w:tr>
            <w:tr w14:paraId="4744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38F531BF">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5.3</w:t>
                  </w:r>
                </w:p>
              </w:tc>
              <w:tc>
                <w:tcPr>
                  <w:tcW w:w="1447" w:type="pct"/>
                  <w:shd w:val="clear" w:color="auto" w:fill="auto"/>
                  <w:vAlign w:val="center"/>
                </w:tcPr>
                <w:p w14:paraId="2629A99E">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垂直接地极</w:t>
                  </w:r>
                </w:p>
              </w:tc>
              <w:tc>
                <w:tcPr>
                  <w:tcW w:w="1969" w:type="pct"/>
                  <w:shd w:val="clear" w:color="auto" w:fill="auto"/>
                  <w:vAlign w:val="center"/>
                </w:tcPr>
                <w:p w14:paraId="16EA5E8D">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角钢</w:t>
                  </w:r>
                  <w:r>
                    <w:rPr>
                      <w:rFonts w:hint="default" w:ascii="Times New Roman" w:hAnsi="Times New Roman" w:eastAsia="宋体" w:cs="Times New Roman"/>
                      <w:color w:val="auto"/>
                      <w:kern w:val="0"/>
                      <w:sz w:val="21"/>
                      <w:szCs w:val="21"/>
                      <w:lang w:val="en-US" w:eastAsia="zh-CN" w:bidi="ar"/>
                    </w:rPr>
                    <w:t>50</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50</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5L=2500mm</w:t>
                  </w:r>
                </w:p>
              </w:tc>
              <w:tc>
                <w:tcPr>
                  <w:tcW w:w="452" w:type="pct"/>
                  <w:shd w:val="clear" w:color="auto" w:fill="auto"/>
                  <w:vAlign w:val="center"/>
                </w:tcPr>
                <w:p w14:paraId="307F4372">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根</w:t>
                  </w:r>
                </w:p>
              </w:tc>
              <w:tc>
                <w:tcPr>
                  <w:tcW w:w="672" w:type="pct"/>
                  <w:shd w:val="clear" w:color="auto" w:fill="auto"/>
                  <w:vAlign w:val="center"/>
                </w:tcPr>
                <w:p w14:paraId="7B105B22">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560</w:t>
                  </w:r>
                </w:p>
              </w:tc>
            </w:tr>
            <w:tr w14:paraId="762D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shd w:val="clear" w:color="auto" w:fill="auto"/>
                  <w:vAlign w:val="center"/>
                </w:tcPr>
                <w:p w14:paraId="4F685556">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5.4</w:t>
                  </w:r>
                </w:p>
              </w:tc>
              <w:tc>
                <w:tcPr>
                  <w:tcW w:w="1447" w:type="pct"/>
                  <w:shd w:val="clear" w:color="auto" w:fill="auto"/>
                  <w:vAlign w:val="center"/>
                </w:tcPr>
                <w:p w14:paraId="3A4A80C7">
                  <w:pPr>
                    <w:keepNext w:val="0"/>
                    <w:keepLines w:val="0"/>
                    <w:widowControl/>
                    <w:suppressLineNumbers w:val="0"/>
                    <w:spacing w:before="0" w:beforeAutospacing="0" w:after="0" w:afterAutospacing="0"/>
                    <w:ind w:left="0" w:right="0"/>
                    <w:jc w:val="center"/>
                    <w:rPr>
                      <w:rFonts w:hint="default" w:ascii="瀹嬩綋" w:hAnsi="瀹嬩綋" w:eastAsia="瀹嬩綋" w:cs="瀹嬩綋"/>
                      <w:color w:val="auto"/>
                      <w:kern w:val="0"/>
                      <w:sz w:val="21"/>
                      <w:szCs w:val="21"/>
                      <w:lang w:val="en-US" w:eastAsia="zh-CN" w:bidi="ar"/>
                    </w:rPr>
                  </w:pPr>
                  <w:r>
                    <w:rPr>
                      <w:rFonts w:hint="eastAsia" w:ascii="瀹嬩綋" w:hAnsi="瀹嬩綋" w:eastAsia="瀹嬩綋" w:cs="瀹嬩綋"/>
                      <w:color w:val="auto"/>
                      <w:kern w:val="0"/>
                      <w:sz w:val="21"/>
                      <w:szCs w:val="21"/>
                      <w:lang w:val="en-US" w:eastAsia="zh-CN" w:bidi="ar"/>
                    </w:rPr>
                    <w:t>逆变器接地线</w:t>
                  </w:r>
                </w:p>
              </w:tc>
              <w:tc>
                <w:tcPr>
                  <w:tcW w:w="1969" w:type="pct"/>
                  <w:shd w:val="clear" w:color="auto" w:fill="auto"/>
                  <w:vAlign w:val="center"/>
                </w:tcPr>
                <w:p w14:paraId="3F6165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35mm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黄绿线</w:t>
                  </w:r>
                </w:p>
              </w:tc>
              <w:tc>
                <w:tcPr>
                  <w:tcW w:w="452" w:type="pct"/>
                  <w:shd w:val="clear" w:color="auto" w:fill="auto"/>
                  <w:vAlign w:val="center"/>
                </w:tcPr>
                <w:p w14:paraId="4FEE1D11">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523BCFC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0.5</w:t>
                  </w:r>
                </w:p>
              </w:tc>
            </w:tr>
            <w:tr w14:paraId="0E05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shd w:val="clear" w:color="auto" w:fill="auto"/>
                  <w:vAlign w:val="center"/>
                </w:tcPr>
                <w:p w14:paraId="21A4F909">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5.5</w:t>
                  </w:r>
                </w:p>
              </w:tc>
              <w:tc>
                <w:tcPr>
                  <w:tcW w:w="1447" w:type="pct"/>
                  <w:shd w:val="clear" w:color="auto" w:fill="auto"/>
                  <w:vAlign w:val="center"/>
                </w:tcPr>
                <w:p w14:paraId="4D6EB0E4">
                  <w:pPr>
                    <w:keepNext w:val="0"/>
                    <w:keepLines w:val="0"/>
                    <w:widowControl/>
                    <w:suppressLineNumbers w:val="0"/>
                    <w:spacing w:before="0" w:beforeAutospacing="0" w:after="0" w:afterAutospacing="0"/>
                    <w:ind w:left="0" w:right="0"/>
                    <w:jc w:val="center"/>
                    <w:rPr>
                      <w:rFonts w:hint="default" w:ascii="瀹嬩綋" w:hAnsi="瀹嬩綋" w:eastAsia="瀹嬩綋" w:cs="瀹嬩綋"/>
                      <w:color w:val="auto"/>
                      <w:kern w:val="0"/>
                      <w:sz w:val="21"/>
                      <w:szCs w:val="21"/>
                      <w:lang w:val="en-US" w:eastAsia="zh-CN" w:bidi="ar"/>
                    </w:rPr>
                  </w:pPr>
                  <w:r>
                    <w:rPr>
                      <w:rFonts w:hint="eastAsia" w:ascii="瀹嬩綋" w:hAnsi="瀹嬩綋" w:eastAsia="瀹嬩綋" w:cs="瀹嬩綋"/>
                      <w:color w:val="auto"/>
                      <w:kern w:val="0"/>
                      <w:sz w:val="21"/>
                      <w:szCs w:val="21"/>
                      <w:lang w:val="en-US" w:eastAsia="zh-CN" w:bidi="ar"/>
                    </w:rPr>
                    <w:t>槽盒接地线</w:t>
                  </w:r>
                </w:p>
              </w:tc>
              <w:tc>
                <w:tcPr>
                  <w:tcW w:w="1969" w:type="pct"/>
                  <w:shd w:val="clear" w:color="auto" w:fill="auto"/>
                  <w:vAlign w:val="center"/>
                </w:tcPr>
                <w:p w14:paraId="0C8EB8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6mm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黄绿线</w:t>
                  </w:r>
                </w:p>
              </w:tc>
              <w:tc>
                <w:tcPr>
                  <w:tcW w:w="452" w:type="pct"/>
                  <w:shd w:val="clear" w:color="auto" w:fill="auto"/>
                  <w:vAlign w:val="center"/>
                </w:tcPr>
                <w:p w14:paraId="22FE9ADE">
                  <w:pPr>
                    <w:keepNext w:val="0"/>
                    <w:keepLines w:val="0"/>
                    <w:suppressLineNumbers w:val="0"/>
                    <w:bidi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055882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w:t>
                  </w:r>
                </w:p>
              </w:tc>
            </w:tr>
            <w:tr w14:paraId="1BC7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3C13EB46">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5.6</w:t>
                  </w:r>
                </w:p>
              </w:tc>
              <w:tc>
                <w:tcPr>
                  <w:tcW w:w="1447" w:type="pct"/>
                  <w:shd w:val="clear" w:color="auto" w:fill="auto"/>
                  <w:vAlign w:val="center"/>
                </w:tcPr>
                <w:p w14:paraId="6C3FDC2C">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瀹嬩綋" w:hAnsi="瀹嬩綋" w:eastAsia="瀹嬩綋" w:cs="瀹嬩綋"/>
                      <w:color w:val="auto"/>
                      <w:kern w:val="0"/>
                      <w:sz w:val="21"/>
                      <w:szCs w:val="21"/>
                      <w:lang w:val="en-US" w:eastAsia="zh-CN" w:bidi="ar"/>
                    </w:rPr>
                    <w:t>组件接地线</w:t>
                  </w:r>
                </w:p>
              </w:tc>
              <w:tc>
                <w:tcPr>
                  <w:tcW w:w="1969" w:type="pct"/>
                  <w:shd w:val="clear" w:color="auto" w:fill="auto"/>
                  <w:vAlign w:val="center"/>
                </w:tcPr>
                <w:p w14:paraId="5ABC6B57">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4mm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瀹嬩綋" w:hAnsi="瀹嬩綋" w:eastAsia="瀹嬩綋" w:cs="瀹嬩綋"/>
                      <w:color w:val="auto"/>
                      <w:kern w:val="0"/>
                      <w:sz w:val="21"/>
                      <w:szCs w:val="21"/>
                      <w:lang w:val="en-US" w:eastAsia="zh-CN" w:bidi="ar"/>
                    </w:rPr>
                    <w:t>黄绿线</w:t>
                  </w:r>
                </w:p>
              </w:tc>
              <w:tc>
                <w:tcPr>
                  <w:tcW w:w="452" w:type="pct"/>
                  <w:shd w:val="clear" w:color="auto" w:fill="auto"/>
                  <w:vAlign w:val="center"/>
                </w:tcPr>
                <w:p w14:paraId="021471CB">
                  <w:pPr>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km</w:t>
                  </w:r>
                </w:p>
              </w:tc>
              <w:tc>
                <w:tcPr>
                  <w:tcW w:w="672" w:type="pct"/>
                  <w:shd w:val="clear" w:color="auto" w:fill="auto"/>
                  <w:vAlign w:val="center"/>
                </w:tcPr>
                <w:p w14:paraId="19162A14">
                  <w:pPr>
                    <w:keepNext w:val="0"/>
                    <w:keepLines w:val="0"/>
                    <w:widowControl/>
                    <w:suppressLineNumbers w:val="0"/>
                    <w:spacing w:before="0" w:beforeAutospacing="0" w:after="0" w:afterAutospacing="0"/>
                    <w:ind w:left="0" w:right="0"/>
                    <w:jc w:val="center"/>
                    <w:rPr>
                      <w:rFonts w:hint="default"/>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18</w:t>
                  </w:r>
                </w:p>
              </w:tc>
            </w:tr>
            <w:bookmarkEnd w:id="18"/>
          </w:tbl>
          <w:p w14:paraId="5327DE1E">
            <w:pPr>
              <w:keepNext w:val="0"/>
              <w:keepLines w:val="0"/>
              <w:suppressLineNumbers w:val="0"/>
              <w:shd w:val="clear"/>
              <w:spacing w:before="0" w:beforeAutospacing="0" w:after="0" w:afterAutospacing="0" w:line="360" w:lineRule="auto"/>
              <w:ind w:left="0" w:right="0"/>
              <w:rPr>
                <w:rFonts w:hint="default"/>
                <w:b/>
                <w:bCs/>
                <w:color w:val="auto"/>
                <w:sz w:val="24"/>
                <w:highlight w:val="none"/>
                <w:shd w:val="clear" w:color="auto" w:fill="auto"/>
              </w:rPr>
            </w:pPr>
            <w:r>
              <w:rPr>
                <w:rFonts w:hint="eastAsia"/>
                <w:b/>
                <w:color w:val="auto"/>
                <w:sz w:val="24"/>
                <w:highlight w:val="none"/>
                <w:shd w:val="clear" w:color="auto" w:fill="auto"/>
                <w:lang w:val="en-US" w:eastAsia="zh-CN"/>
              </w:rPr>
              <w:t>四</w:t>
            </w:r>
            <w:r>
              <w:rPr>
                <w:rFonts w:hint="eastAsia"/>
                <w:b/>
                <w:color w:val="auto"/>
                <w:sz w:val="24"/>
                <w:highlight w:val="none"/>
                <w:shd w:val="clear" w:color="auto" w:fill="auto"/>
              </w:rPr>
              <w:t>、</w:t>
            </w:r>
            <w:r>
              <w:rPr>
                <w:rFonts w:hint="eastAsia"/>
                <w:b/>
                <w:bCs/>
                <w:color w:val="auto"/>
                <w:sz w:val="24"/>
                <w:highlight w:val="none"/>
                <w:shd w:val="clear" w:color="auto" w:fill="auto"/>
              </w:rPr>
              <w:t>项目占地及移民安置</w:t>
            </w:r>
          </w:p>
          <w:p w14:paraId="017FB9E4">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（1）项目占地</w:t>
            </w:r>
          </w:p>
          <w:p w14:paraId="5A9A5ACD">
            <w:pPr>
              <w:pStyle w:val="100"/>
              <w:keepNext w:val="0"/>
              <w:keepLines w:val="0"/>
              <w:suppressLineNumbers w:val="0"/>
              <w:spacing w:before="0" w:beforeAutospacing="0" w:after="0" w:afterAutospacing="0"/>
              <w:ind w:left="0" w:right="0" w:firstLine="480"/>
              <w:rPr>
                <w:rFonts w:hint="eastAsia" w:eastAsia="宋体"/>
                <w:color w:val="auto"/>
                <w:sz w:val="24"/>
                <w:szCs w:val="24"/>
                <w:highlight w:val="none"/>
                <w:shd w:val="clear" w:color="auto" w:fill="auto"/>
                <w:lang w:eastAsia="zh-CN"/>
              </w:rPr>
            </w:pPr>
            <w:r>
              <w:rPr>
                <w:rFonts w:hint="default"/>
                <w:color w:val="auto"/>
              </w:rPr>
              <w:t>项目总占地面积为54.97hm</w:t>
            </w:r>
            <w:r>
              <w:rPr>
                <w:rFonts w:hint="default"/>
                <w:color w:val="auto"/>
                <w:vertAlign w:val="superscript"/>
              </w:rPr>
              <w:t>2</w:t>
            </w:r>
            <w:r>
              <w:rPr>
                <w:rFonts w:hint="default"/>
                <w:color w:val="auto"/>
              </w:rPr>
              <w:t>，其中永久占地</w:t>
            </w:r>
            <w:r>
              <w:rPr>
                <w:rFonts w:hint="eastAsia"/>
                <w:color w:val="auto"/>
              </w:rPr>
              <w:t>0.04</w:t>
            </w:r>
            <w:r>
              <w:rPr>
                <w:rFonts w:hint="default"/>
                <w:color w:val="auto"/>
              </w:rPr>
              <w:t>hm</w:t>
            </w:r>
            <w:r>
              <w:rPr>
                <w:rFonts w:hint="default"/>
                <w:color w:val="auto"/>
                <w:vertAlign w:val="superscript"/>
              </w:rPr>
              <w:t>2</w:t>
            </w:r>
            <w:r>
              <w:rPr>
                <w:rFonts w:hint="default"/>
                <w:color w:val="auto"/>
              </w:rPr>
              <w:t>，临时占地</w:t>
            </w:r>
            <w:r>
              <w:rPr>
                <w:rFonts w:hint="eastAsia"/>
                <w:color w:val="auto"/>
              </w:rPr>
              <w:t>54.93</w:t>
            </w:r>
            <w:r>
              <w:rPr>
                <w:rFonts w:hint="default"/>
                <w:color w:val="auto"/>
              </w:rPr>
              <w:t>hm</w:t>
            </w:r>
            <w:r>
              <w:rPr>
                <w:rFonts w:hint="default"/>
                <w:color w:val="auto"/>
                <w:vertAlign w:val="superscript"/>
              </w:rPr>
              <w:t>2</w:t>
            </w:r>
            <w:r>
              <w:rPr>
                <w:rFonts w:hint="default"/>
                <w:color w:val="auto"/>
              </w:rPr>
              <w:t>。项目原始占地类型主要为林地、草地、交通运输用地，其中占用林地</w:t>
            </w:r>
            <w:r>
              <w:rPr>
                <w:rFonts w:hint="eastAsia"/>
                <w:color w:val="auto"/>
                <w:lang w:val="en-US" w:eastAsia="zh-CN"/>
              </w:rPr>
              <w:t>18.38</w:t>
            </w:r>
            <w:r>
              <w:rPr>
                <w:rFonts w:hint="default"/>
                <w:color w:val="auto"/>
              </w:rPr>
              <w:t>hm</w:t>
            </w:r>
            <w:r>
              <w:rPr>
                <w:rFonts w:hint="default"/>
                <w:color w:val="auto"/>
                <w:vertAlign w:val="superscript"/>
              </w:rPr>
              <w:t>2</w:t>
            </w:r>
            <w:r>
              <w:rPr>
                <w:rFonts w:hint="default"/>
                <w:color w:val="auto"/>
              </w:rPr>
              <w:t>，草地</w:t>
            </w:r>
            <w:r>
              <w:rPr>
                <w:rFonts w:hint="eastAsia"/>
                <w:color w:val="auto"/>
                <w:lang w:val="en-US" w:eastAsia="zh-CN"/>
              </w:rPr>
              <w:t>34.61</w:t>
            </w:r>
            <w:r>
              <w:rPr>
                <w:rFonts w:hint="default"/>
                <w:color w:val="auto"/>
              </w:rPr>
              <w:t>hm</w:t>
            </w:r>
            <w:r>
              <w:rPr>
                <w:rFonts w:hint="default"/>
                <w:color w:val="auto"/>
                <w:vertAlign w:val="superscript"/>
              </w:rPr>
              <w:t>2</w:t>
            </w:r>
            <w:r>
              <w:rPr>
                <w:rFonts w:hint="default"/>
                <w:color w:val="auto"/>
              </w:rPr>
              <w:t>，交通运输用地</w:t>
            </w:r>
            <w:r>
              <w:rPr>
                <w:rFonts w:hint="eastAsia"/>
                <w:color w:val="auto"/>
                <w:lang w:val="en-US" w:eastAsia="zh-CN"/>
              </w:rPr>
              <w:t>1.98</w:t>
            </w:r>
            <w:r>
              <w:rPr>
                <w:rFonts w:hint="default"/>
                <w:color w:val="auto"/>
              </w:rPr>
              <w:t>hm</w:t>
            </w:r>
            <w:r>
              <w:rPr>
                <w:rFonts w:hint="default"/>
                <w:color w:val="auto"/>
                <w:vertAlign w:val="superscript"/>
              </w:rPr>
              <w:t>2</w:t>
            </w:r>
            <w:r>
              <w:rPr>
                <w:rFonts w:hint="default"/>
                <w:color w:val="auto"/>
              </w:rPr>
              <w:t>。</w:t>
            </w:r>
            <w:r>
              <w:rPr>
                <w:rFonts w:hint="eastAsia"/>
                <w:color w:val="auto"/>
                <w:sz w:val="24"/>
                <w:szCs w:val="24"/>
                <w:highlight w:val="none"/>
                <w:shd w:val="clear" w:color="auto" w:fill="auto"/>
              </w:rPr>
              <w:t>各项占地指标见下表</w:t>
            </w:r>
            <w:r>
              <w:rPr>
                <w:rFonts w:hint="eastAsia"/>
                <w:color w:val="auto"/>
                <w:sz w:val="24"/>
                <w:szCs w:val="24"/>
                <w:highlight w:val="none"/>
                <w:shd w:val="clear" w:color="auto" w:fill="auto"/>
                <w:lang w:eastAsia="zh-CN"/>
              </w:rPr>
              <w:t>：</w:t>
            </w:r>
          </w:p>
          <w:p w14:paraId="64371895">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eastAsia="宋体"/>
                <w:color w:val="auto"/>
                <w:sz w:val="24"/>
                <w:highlight w:val="none"/>
                <w:shd w:val="clear" w:color="auto" w:fill="auto"/>
                <w:lang w:val="en-US" w:eastAsia="zh-CN"/>
              </w:rPr>
            </w:pPr>
            <w:r>
              <w:rPr>
                <w:rFonts w:hint="default"/>
                <w:b/>
                <w:color w:val="auto"/>
                <w:kern w:val="0"/>
                <w:szCs w:val="21"/>
                <w:highlight w:val="none"/>
                <w:shd w:val="clear" w:color="auto" w:fill="auto"/>
              </w:rPr>
              <w:t>表2-</w:t>
            </w:r>
            <w:r>
              <w:rPr>
                <w:rFonts w:hint="eastAsia"/>
                <w:b/>
                <w:color w:val="auto"/>
                <w:kern w:val="0"/>
                <w:szCs w:val="21"/>
                <w:highlight w:val="none"/>
                <w:shd w:val="clear" w:color="auto" w:fill="auto"/>
                <w:lang w:val="en-US" w:eastAsia="zh-CN"/>
              </w:rPr>
              <w:t xml:space="preserve">4  </w:t>
            </w:r>
            <w:r>
              <w:rPr>
                <w:rFonts w:hint="eastAsia"/>
                <w:b/>
                <w:color w:val="auto"/>
                <w:kern w:val="0"/>
                <w:szCs w:val="21"/>
                <w:highlight w:val="none"/>
                <w:shd w:val="clear" w:color="auto" w:fill="auto"/>
              </w:rPr>
              <w:t>项目</w:t>
            </w:r>
            <w:r>
              <w:rPr>
                <w:rFonts w:hint="default"/>
                <w:b/>
                <w:color w:val="auto"/>
                <w:kern w:val="0"/>
                <w:szCs w:val="21"/>
                <w:highlight w:val="none"/>
                <w:shd w:val="clear" w:color="auto" w:fill="auto"/>
              </w:rPr>
              <w:t>主要占地指标表</w:t>
            </w:r>
            <w:r>
              <w:rPr>
                <w:rFonts w:hint="eastAsia"/>
                <w:b/>
                <w:color w:val="auto"/>
                <w:kern w:val="0"/>
                <w:szCs w:val="21"/>
                <w:highlight w:val="none"/>
                <w:shd w:val="clear" w:color="auto" w:fill="auto"/>
                <w:lang w:val="en-US" w:eastAsia="zh-CN"/>
              </w:rPr>
              <w:t xml:space="preserve">  单位：hm</w:t>
            </w:r>
            <w:r>
              <w:rPr>
                <w:rFonts w:hint="eastAsia"/>
                <w:b/>
                <w:color w:val="auto"/>
                <w:kern w:val="0"/>
                <w:szCs w:val="21"/>
                <w:highlight w:val="none"/>
                <w:shd w:val="clear" w:color="auto" w:fill="auto"/>
                <w:vertAlign w:val="superscript"/>
                <w:lang w:val="en-US" w:eastAsia="zh-CN"/>
              </w:rPr>
              <w:t>2</w:t>
            </w:r>
          </w:p>
          <w:tbl>
            <w:tblPr>
              <w:tblStyle w:val="42"/>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777"/>
              <w:gridCol w:w="996"/>
              <w:gridCol w:w="941"/>
              <w:gridCol w:w="812"/>
              <w:gridCol w:w="1077"/>
              <w:gridCol w:w="1479"/>
              <w:gridCol w:w="1088"/>
            </w:tblGrid>
            <w:tr w14:paraId="3041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restart"/>
                  <w:shd w:val="clear" w:color="auto" w:fill="auto"/>
                  <w:vAlign w:val="center"/>
                </w:tcPr>
                <w:p w14:paraId="5D65C4A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77" w:type="pct"/>
                  <w:gridSpan w:val="2"/>
                  <w:vMerge w:val="restart"/>
                  <w:shd w:val="clear" w:color="auto" w:fill="auto"/>
                  <w:vAlign w:val="center"/>
                </w:tcPr>
                <w:p w14:paraId="2435F723">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项目组成</w:t>
                  </w:r>
                </w:p>
              </w:tc>
              <w:tc>
                <w:tcPr>
                  <w:tcW w:w="624" w:type="pct"/>
                  <w:vMerge w:val="restart"/>
                  <w:shd w:val="clear" w:color="auto" w:fill="auto"/>
                  <w:vAlign w:val="center"/>
                </w:tcPr>
                <w:p w14:paraId="2C9A7BCE">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2236" w:type="pct"/>
                  <w:gridSpan w:val="3"/>
                  <w:shd w:val="clear" w:color="auto" w:fill="auto"/>
                  <w:vAlign w:val="center"/>
                </w:tcPr>
                <w:p w14:paraId="3D8C62A8">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占地类型及面积（hm²）</w:t>
                  </w:r>
                </w:p>
              </w:tc>
              <w:tc>
                <w:tcPr>
                  <w:tcW w:w="722" w:type="pct"/>
                  <w:vMerge w:val="restart"/>
                  <w:shd w:val="clear" w:color="auto" w:fill="auto"/>
                  <w:vAlign w:val="center"/>
                </w:tcPr>
                <w:p w14:paraId="4DB1922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占地性质</w:t>
                  </w:r>
                </w:p>
              </w:tc>
            </w:tr>
            <w:tr w14:paraId="6A7A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39" w:type="pct"/>
                  <w:vMerge w:val="continue"/>
                  <w:shd w:val="clear" w:color="auto" w:fill="auto"/>
                  <w:vAlign w:val="center"/>
                </w:tcPr>
                <w:p w14:paraId="6D886C64">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1177" w:type="pct"/>
                  <w:gridSpan w:val="2"/>
                  <w:vMerge w:val="continue"/>
                  <w:shd w:val="clear" w:color="auto" w:fill="auto"/>
                  <w:vAlign w:val="center"/>
                </w:tcPr>
                <w:p w14:paraId="25B33037">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624" w:type="pct"/>
                  <w:vMerge w:val="continue"/>
                  <w:shd w:val="clear" w:color="auto" w:fill="auto"/>
                  <w:vAlign w:val="center"/>
                </w:tcPr>
                <w:p w14:paraId="45386DC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539" w:type="pct"/>
                  <w:shd w:val="clear" w:color="auto" w:fill="auto"/>
                  <w:vAlign w:val="center"/>
                </w:tcPr>
                <w:p w14:paraId="20D8CFC0">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林地</w:t>
                  </w:r>
                </w:p>
              </w:tc>
              <w:tc>
                <w:tcPr>
                  <w:tcW w:w="715" w:type="pct"/>
                  <w:shd w:val="clear" w:color="auto" w:fill="auto"/>
                  <w:vAlign w:val="center"/>
                </w:tcPr>
                <w:p w14:paraId="38A6CBC5">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草地</w:t>
                  </w:r>
                </w:p>
              </w:tc>
              <w:tc>
                <w:tcPr>
                  <w:tcW w:w="982" w:type="pct"/>
                  <w:shd w:val="clear" w:color="auto" w:fill="auto"/>
                  <w:vAlign w:val="center"/>
                </w:tcPr>
                <w:p w14:paraId="58EABC62">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交通运输用地</w:t>
                  </w:r>
                </w:p>
              </w:tc>
              <w:tc>
                <w:tcPr>
                  <w:tcW w:w="722" w:type="pct"/>
                  <w:vMerge w:val="continue"/>
                  <w:shd w:val="clear" w:color="auto" w:fill="auto"/>
                  <w:vAlign w:val="center"/>
                </w:tcPr>
                <w:p w14:paraId="4049CE3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r>
            <w:tr w14:paraId="1DC4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restart"/>
                  <w:shd w:val="clear" w:color="auto" w:fill="auto"/>
                  <w:vAlign w:val="center"/>
                </w:tcPr>
                <w:p w14:paraId="6C48DA17">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15" w:type="pct"/>
                  <w:vMerge w:val="restart"/>
                  <w:shd w:val="clear" w:color="auto" w:fill="auto"/>
                  <w:vAlign w:val="center"/>
                </w:tcPr>
                <w:p w14:paraId="41E39B58">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光伏发电系统区</w:t>
                  </w:r>
                </w:p>
              </w:tc>
              <w:tc>
                <w:tcPr>
                  <w:tcW w:w="661" w:type="pct"/>
                  <w:shd w:val="clear" w:color="auto" w:fill="auto"/>
                  <w:vAlign w:val="center"/>
                </w:tcPr>
                <w:p w14:paraId="53CB4387">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光伏板阵列</w:t>
                  </w:r>
                </w:p>
              </w:tc>
              <w:tc>
                <w:tcPr>
                  <w:tcW w:w="624" w:type="pct"/>
                  <w:shd w:val="clear" w:color="auto" w:fill="auto"/>
                  <w:vAlign w:val="center"/>
                </w:tcPr>
                <w:p w14:paraId="3861A174">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41.67 </w:t>
                  </w:r>
                </w:p>
              </w:tc>
              <w:tc>
                <w:tcPr>
                  <w:tcW w:w="539" w:type="pct"/>
                  <w:shd w:val="clear" w:color="auto" w:fill="auto"/>
                  <w:vAlign w:val="center"/>
                </w:tcPr>
                <w:p w14:paraId="147BB60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13.54</w:t>
                  </w:r>
                  <w:r>
                    <w:rPr>
                      <w:rFonts w:hint="default" w:ascii="Times New Roman" w:hAnsi="Times New Roman" w:eastAsia="宋体" w:cs="Times New Roman"/>
                      <w:color w:val="auto"/>
                      <w:sz w:val="21"/>
                      <w:szCs w:val="21"/>
                    </w:rPr>
                    <w:t xml:space="preserve"> </w:t>
                  </w:r>
                </w:p>
              </w:tc>
              <w:tc>
                <w:tcPr>
                  <w:tcW w:w="715" w:type="pct"/>
                  <w:shd w:val="clear" w:color="auto" w:fill="auto"/>
                  <w:vAlign w:val="center"/>
                </w:tcPr>
                <w:p w14:paraId="69042BE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28.05</w:t>
                  </w:r>
                </w:p>
              </w:tc>
              <w:tc>
                <w:tcPr>
                  <w:tcW w:w="982" w:type="pct"/>
                  <w:shd w:val="clear" w:color="auto" w:fill="auto"/>
                  <w:vAlign w:val="center"/>
                </w:tcPr>
                <w:p w14:paraId="1F5CB899">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0.08</w:t>
                  </w:r>
                  <w:r>
                    <w:rPr>
                      <w:rFonts w:hint="default" w:ascii="Times New Roman" w:hAnsi="Times New Roman" w:eastAsia="宋体" w:cs="Times New Roman"/>
                      <w:color w:val="auto"/>
                      <w:sz w:val="21"/>
                      <w:szCs w:val="21"/>
                    </w:rPr>
                    <w:t xml:space="preserve"> </w:t>
                  </w:r>
                </w:p>
              </w:tc>
              <w:tc>
                <w:tcPr>
                  <w:tcW w:w="722" w:type="pct"/>
                  <w:shd w:val="clear" w:color="auto" w:fill="auto"/>
                  <w:vAlign w:val="center"/>
                </w:tcPr>
                <w:p w14:paraId="4322813A">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4F3C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continue"/>
                  <w:shd w:val="clear" w:color="auto" w:fill="auto"/>
                  <w:vAlign w:val="center"/>
                </w:tcPr>
                <w:p w14:paraId="1071C2BD">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515" w:type="pct"/>
                  <w:vMerge w:val="continue"/>
                  <w:shd w:val="clear" w:color="auto" w:fill="auto"/>
                  <w:vAlign w:val="center"/>
                </w:tcPr>
                <w:p w14:paraId="774876FE">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661" w:type="pct"/>
                  <w:shd w:val="clear" w:color="auto" w:fill="auto"/>
                  <w:vAlign w:val="center"/>
                </w:tcPr>
                <w:p w14:paraId="3209E02A">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箱变</w:t>
                  </w:r>
                </w:p>
              </w:tc>
              <w:tc>
                <w:tcPr>
                  <w:tcW w:w="624" w:type="pct"/>
                  <w:shd w:val="clear" w:color="auto" w:fill="auto"/>
                  <w:vAlign w:val="center"/>
                </w:tcPr>
                <w:p w14:paraId="7D2DDB8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0.04 </w:t>
                  </w:r>
                </w:p>
              </w:tc>
              <w:tc>
                <w:tcPr>
                  <w:tcW w:w="539" w:type="pct"/>
                  <w:shd w:val="clear" w:color="auto" w:fill="auto"/>
                  <w:vAlign w:val="center"/>
                </w:tcPr>
                <w:p w14:paraId="634C5D41">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eastAsia" w:eastAsia="宋体" w:cs="Times New Roman"/>
                      <w:color w:val="auto"/>
                      <w:sz w:val="21"/>
                      <w:szCs w:val="21"/>
                      <w:lang w:val="en-US" w:eastAsia="zh-CN"/>
                    </w:rPr>
                    <w:t>3</w:t>
                  </w:r>
                  <w:r>
                    <w:rPr>
                      <w:rFonts w:hint="default" w:ascii="Times New Roman" w:hAnsi="Times New Roman" w:eastAsia="宋体" w:cs="Times New Roman"/>
                      <w:color w:val="auto"/>
                      <w:sz w:val="21"/>
                      <w:szCs w:val="21"/>
                    </w:rPr>
                    <w:t xml:space="preserve"> </w:t>
                  </w:r>
                </w:p>
              </w:tc>
              <w:tc>
                <w:tcPr>
                  <w:tcW w:w="715" w:type="pct"/>
                  <w:shd w:val="clear" w:color="auto" w:fill="auto"/>
                  <w:vAlign w:val="center"/>
                </w:tcPr>
                <w:p w14:paraId="03A266E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0.01 </w:t>
                  </w:r>
                </w:p>
              </w:tc>
              <w:tc>
                <w:tcPr>
                  <w:tcW w:w="982" w:type="pct"/>
                  <w:shd w:val="clear" w:color="auto" w:fill="auto"/>
                  <w:vAlign w:val="center"/>
                </w:tcPr>
                <w:p w14:paraId="57BB7E8C">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c>
                <w:tcPr>
                  <w:tcW w:w="722" w:type="pct"/>
                  <w:shd w:val="clear" w:color="auto" w:fill="auto"/>
                  <w:vAlign w:val="center"/>
                </w:tcPr>
                <w:p w14:paraId="4EF2AF4E">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永久占地</w:t>
                  </w:r>
                </w:p>
              </w:tc>
            </w:tr>
            <w:tr w14:paraId="6419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continue"/>
                  <w:shd w:val="clear" w:color="auto" w:fill="auto"/>
                  <w:vAlign w:val="center"/>
                </w:tcPr>
                <w:p w14:paraId="20BBA7F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515" w:type="pct"/>
                  <w:vMerge w:val="continue"/>
                  <w:shd w:val="clear" w:color="auto" w:fill="auto"/>
                  <w:vAlign w:val="center"/>
                </w:tcPr>
                <w:p w14:paraId="5A2743C9">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661" w:type="pct"/>
                  <w:shd w:val="clear" w:color="auto" w:fill="auto"/>
                  <w:vAlign w:val="center"/>
                </w:tcPr>
                <w:p w14:paraId="2F60516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防火隔离带</w:t>
                  </w:r>
                </w:p>
              </w:tc>
              <w:tc>
                <w:tcPr>
                  <w:tcW w:w="624" w:type="pct"/>
                  <w:shd w:val="clear" w:color="auto" w:fill="auto"/>
                  <w:vAlign w:val="center"/>
                </w:tcPr>
                <w:p w14:paraId="10535C51">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9.50 </w:t>
                  </w:r>
                </w:p>
              </w:tc>
              <w:tc>
                <w:tcPr>
                  <w:tcW w:w="539" w:type="pct"/>
                  <w:shd w:val="clear" w:color="auto" w:fill="auto"/>
                  <w:vAlign w:val="center"/>
                </w:tcPr>
                <w:p w14:paraId="69093F27">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4.81</w:t>
                  </w:r>
                </w:p>
              </w:tc>
              <w:tc>
                <w:tcPr>
                  <w:tcW w:w="715" w:type="pct"/>
                  <w:shd w:val="clear" w:color="auto" w:fill="auto"/>
                  <w:vAlign w:val="center"/>
                </w:tcPr>
                <w:p w14:paraId="22C8B00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2.80 </w:t>
                  </w:r>
                </w:p>
              </w:tc>
              <w:tc>
                <w:tcPr>
                  <w:tcW w:w="982" w:type="pct"/>
                  <w:shd w:val="clear" w:color="auto" w:fill="auto"/>
                  <w:vAlign w:val="center"/>
                </w:tcPr>
                <w:p w14:paraId="731D57F9">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1.89 </w:t>
                  </w:r>
                </w:p>
              </w:tc>
              <w:tc>
                <w:tcPr>
                  <w:tcW w:w="722" w:type="pct"/>
                  <w:shd w:val="clear" w:color="auto" w:fill="auto"/>
                  <w:vAlign w:val="center"/>
                </w:tcPr>
                <w:p w14:paraId="47C4CDD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34C4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vMerge w:val="continue"/>
                  <w:shd w:val="clear" w:color="auto" w:fill="auto"/>
                  <w:vAlign w:val="center"/>
                </w:tcPr>
                <w:p w14:paraId="400E98F4">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515" w:type="pct"/>
                  <w:vMerge w:val="continue"/>
                  <w:shd w:val="clear" w:color="auto" w:fill="auto"/>
                  <w:vAlign w:val="center"/>
                </w:tcPr>
                <w:p w14:paraId="0B0E9718">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661" w:type="pct"/>
                  <w:shd w:val="clear" w:color="auto" w:fill="auto"/>
                  <w:vAlign w:val="center"/>
                </w:tcPr>
                <w:p w14:paraId="49C72E03">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624" w:type="pct"/>
                  <w:shd w:val="clear" w:color="auto" w:fill="auto"/>
                  <w:vAlign w:val="center"/>
                </w:tcPr>
                <w:p w14:paraId="3677E12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51.21</w:t>
                  </w:r>
                </w:p>
              </w:tc>
              <w:tc>
                <w:tcPr>
                  <w:tcW w:w="812" w:type="dxa"/>
                  <w:shd w:val="clear" w:color="auto" w:fill="auto"/>
                  <w:vAlign w:val="bottom"/>
                </w:tcPr>
                <w:p w14:paraId="30069208">
                  <w:pPr>
                    <w:pStyle w:val="160"/>
                    <w:keepNext w:val="0"/>
                    <w:keepLines w:val="0"/>
                    <w:suppressLineNumbers w:val="0"/>
                    <w:spacing w:before="0" w:beforeAutospacing="0" w:after="0" w:afterAutospacing="0" w:line="240" w:lineRule="auto"/>
                    <w:ind w:left="0" w:right="0"/>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18.3</w:t>
                  </w:r>
                  <w:r>
                    <w:rPr>
                      <w:rFonts w:hint="eastAsia" w:eastAsia="宋体" w:cs="Times New Roman"/>
                      <w:color w:val="auto"/>
                      <w:sz w:val="21"/>
                      <w:szCs w:val="21"/>
                      <w:lang w:val="en-US" w:eastAsia="zh-CN"/>
                    </w:rPr>
                    <w:t>8</w:t>
                  </w:r>
                </w:p>
              </w:tc>
              <w:tc>
                <w:tcPr>
                  <w:tcW w:w="1077" w:type="dxa"/>
                  <w:shd w:val="clear" w:color="auto" w:fill="auto"/>
                  <w:vAlign w:val="bottom"/>
                </w:tcPr>
                <w:p w14:paraId="071CFB1A">
                  <w:pPr>
                    <w:pStyle w:val="160"/>
                    <w:keepNext w:val="0"/>
                    <w:keepLines w:val="0"/>
                    <w:suppressLineNumbers w:val="0"/>
                    <w:spacing w:before="0" w:beforeAutospacing="0" w:after="0" w:afterAutospacing="0" w:line="240" w:lineRule="auto"/>
                    <w:ind w:left="0" w:right="0"/>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30.86</w:t>
                  </w:r>
                </w:p>
              </w:tc>
              <w:tc>
                <w:tcPr>
                  <w:tcW w:w="1479" w:type="dxa"/>
                  <w:shd w:val="clear" w:color="auto" w:fill="auto"/>
                  <w:vAlign w:val="bottom"/>
                </w:tcPr>
                <w:p w14:paraId="2578CA30">
                  <w:pPr>
                    <w:pStyle w:val="160"/>
                    <w:keepNext w:val="0"/>
                    <w:keepLines w:val="0"/>
                    <w:suppressLineNumbers w:val="0"/>
                    <w:spacing w:before="0" w:beforeAutospacing="0" w:after="0" w:afterAutospacing="0" w:line="240" w:lineRule="auto"/>
                    <w:ind w:left="0" w:right="0"/>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1.99</w:t>
                  </w:r>
                </w:p>
              </w:tc>
              <w:tc>
                <w:tcPr>
                  <w:tcW w:w="722" w:type="pct"/>
                  <w:shd w:val="clear" w:color="auto" w:fill="auto"/>
                  <w:vAlign w:val="center"/>
                </w:tcPr>
                <w:p w14:paraId="25F14A83">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r>
            <w:tr w14:paraId="3BD6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shd w:val="clear" w:color="auto" w:fill="auto"/>
                  <w:vAlign w:val="center"/>
                </w:tcPr>
                <w:p w14:paraId="620ABB12">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77" w:type="pct"/>
                  <w:gridSpan w:val="2"/>
                  <w:shd w:val="clear" w:color="auto" w:fill="auto"/>
                  <w:vAlign w:val="center"/>
                </w:tcPr>
                <w:p w14:paraId="50B79C1F">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未扰动区</w:t>
                  </w:r>
                </w:p>
              </w:tc>
              <w:tc>
                <w:tcPr>
                  <w:tcW w:w="624" w:type="pct"/>
                  <w:shd w:val="clear" w:color="auto" w:fill="auto"/>
                  <w:vAlign w:val="center"/>
                </w:tcPr>
                <w:p w14:paraId="5C8CCB41">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3.51 </w:t>
                  </w:r>
                </w:p>
              </w:tc>
              <w:tc>
                <w:tcPr>
                  <w:tcW w:w="539" w:type="pct"/>
                  <w:shd w:val="clear" w:color="auto" w:fill="auto"/>
                  <w:vAlign w:val="center"/>
                </w:tcPr>
                <w:p w14:paraId="205E551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c>
                <w:tcPr>
                  <w:tcW w:w="715" w:type="pct"/>
                  <w:shd w:val="clear" w:color="auto" w:fill="auto"/>
                  <w:vAlign w:val="center"/>
                </w:tcPr>
                <w:p w14:paraId="5DF3B424">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3.50 </w:t>
                  </w:r>
                </w:p>
              </w:tc>
              <w:tc>
                <w:tcPr>
                  <w:tcW w:w="982" w:type="pct"/>
                  <w:shd w:val="clear" w:color="auto" w:fill="auto"/>
                  <w:vAlign w:val="center"/>
                </w:tcPr>
                <w:p w14:paraId="21CDE838">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0.01 </w:t>
                  </w:r>
                </w:p>
              </w:tc>
              <w:tc>
                <w:tcPr>
                  <w:tcW w:w="722" w:type="pct"/>
                  <w:shd w:val="clear" w:color="auto" w:fill="auto"/>
                  <w:vAlign w:val="center"/>
                </w:tcPr>
                <w:p w14:paraId="73526AC2">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706E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 w:type="pct"/>
                  <w:shd w:val="clear" w:color="auto" w:fill="auto"/>
                  <w:vAlign w:val="center"/>
                </w:tcPr>
                <w:p w14:paraId="0ACFC04D">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77" w:type="pct"/>
                  <w:gridSpan w:val="2"/>
                  <w:shd w:val="clear" w:color="auto" w:fill="auto"/>
                  <w:vAlign w:val="center"/>
                </w:tcPr>
                <w:p w14:paraId="5F10EEC3">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r>
                    <w:rPr>
                      <w:rFonts w:hint="eastAsia" w:ascii="Times New Roman" w:hAnsi="Times New Roman" w:eastAsia="宋体" w:cs="Times New Roman"/>
                      <w:color w:val="auto"/>
                      <w:sz w:val="21"/>
                      <w:szCs w:val="21"/>
                      <w:lang w:val="en-US" w:eastAsia="zh-CN"/>
                    </w:rPr>
                    <w:t>场地</w:t>
                  </w:r>
                  <w:r>
                    <w:rPr>
                      <w:rFonts w:hint="default" w:ascii="Times New Roman" w:hAnsi="Times New Roman" w:eastAsia="宋体" w:cs="Times New Roman"/>
                      <w:color w:val="auto"/>
                      <w:sz w:val="21"/>
                      <w:szCs w:val="21"/>
                    </w:rPr>
                    <w:t>区</w:t>
                  </w:r>
                </w:p>
              </w:tc>
              <w:tc>
                <w:tcPr>
                  <w:tcW w:w="624" w:type="pct"/>
                  <w:shd w:val="clear" w:color="auto" w:fill="auto"/>
                  <w:vAlign w:val="center"/>
                </w:tcPr>
                <w:p w14:paraId="6F2D6098">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0.25 </w:t>
                  </w:r>
                </w:p>
              </w:tc>
              <w:tc>
                <w:tcPr>
                  <w:tcW w:w="539" w:type="pct"/>
                  <w:shd w:val="clear" w:color="auto" w:fill="auto"/>
                  <w:vAlign w:val="center"/>
                </w:tcPr>
                <w:p w14:paraId="3ADF9F1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c>
                <w:tcPr>
                  <w:tcW w:w="715" w:type="pct"/>
                  <w:shd w:val="clear" w:color="auto" w:fill="auto"/>
                  <w:vAlign w:val="center"/>
                </w:tcPr>
                <w:p w14:paraId="2FE79A43">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0.25</w:t>
                  </w:r>
                </w:p>
              </w:tc>
              <w:tc>
                <w:tcPr>
                  <w:tcW w:w="982" w:type="pct"/>
                  <w:shd w:val="clear" w:color="auto" w:fill="auto"/>
                  <w:vAlign w:val="center"/>
                </w:tcPr>
                <w:p w14:paraId="57451A34">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c>
                <w:tcPr>
                  <w:tcW w:w="722" w:type="pct"/>
                  <w:shd w:val="clear" w:color="auto" w:fill="auto"/>
                  <w:vAlign w:val="center"/>
                </w:tcPr>
                <w:p w14:paraId="110B0FEA">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r>
            <w:tr w14:paraId="21F0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6" w:type="pct"/>
                  <w:gridSpan w:val="3"/>
                  <w:shd w:val="clear" w:color="auto" w:fill="auto"/>
                  <w:vAlign w:val="center"/>
                </w:tcPr>
                <w:p w14:paraId="50CED0A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624" w:type="pct"/>
                  <w:shd w:val="clear" w:color="auto" w:fill="auto"/>
                  <w:vAlign w:val="center"/>
                </w:tcPr>
                <w:p w14:paraId="62404B87">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54.97 </w:t>
                  </w:r>
                </w:p>
              </w:tc>
              <w:tc>
                <w:tcPr>
                  <w:tcW w:w="539" w:type="pct"/>
                  <w:shd w:val="clear" w:color="auto" w:fill="auto"/>
                  <w:vAlign w:val="center"/>
                </w:tcPr>
                <w:p w14:paraId="579E5F6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eastAsia="宋体" w:cs="Times New Roman"/>
                      <w:color w:val="auto"/>
                      <w:sz w:val="21"/>
                      <w:szCs w:val="21"/>
                      <w:lang w:val="en-US" w:eastAsia="zh-CN"/>
                    </w:rPr>
                    <w:t>18.3</w:t>
                  </w:r>
                  <w:r>
                    <w:rPr>
                      <w:rFonts w:hint="eastAsia" w:eastAsia="宋体" w:cs="Times New Roman"/>
                      <w:color w:val="auto"/>
                      <w:sz w:val="21"/>
                      <w:szCs w:val="21"/>
                      <w:lang w:val="en-US" w:eastAsia="zh-CN"/>
                    </w:rPr>
                    <w:t>8</w:t>
                  </w:r>
                </w:p>
              </w:tc>
              <w:tc>
                <w:tcPr>
                  <w:tcW w:w="715" w:type="pct"/>
                  <w:shd w:val="clear" w:color="auto" w:fill="auto"/>
                  <w:vAlign w:val="center"/>
                </w:tcPr>
                <w:p w14:paraId="71BF82DB">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34.61</w:t>
                  </w:r>
                </w:p>
              </w:tc>
              <w:tc>
                <w:tcPr>
                  <w:tcW w:w="982" w:type="pct"/>
                  <w:shd w:val="clear" w:color="auto" w:fill="auto"/>
                  <w:vAlign w:val="center"/>
                </w:tcPr>
                <w:p w14:paraId="74FBAE50">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1.98</w:t>
                  </w:r>
                </w:p>
              </w:tc>
              <w:tc>
                <w:tcPr>
                  <w:tcW w:w="722" w:type="pct"/>
                  <w:shd w:val="clear" w:color="auto" w:fill="auto"/>
                  <w:vAlign w:val="center"/>
                </w:tcPr>
                <w:p w14:paraId="765B26E6">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p>
              </w:tc>
            </w:tr>
            <w:tr w14:paraId="136E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shd w:val="clear" w:color="auto" w:fill="auto"/>
                  <w:vAlign w:val="center"/>
                </w:tcPr>
                <w:p w14:paraId="18A88120">
                  <w:pPr>
                    <w:pStyle w:val="16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备注：光伏板支架基础占地面积为0.18hm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，已计入光伏板阵列占地面积内，不再单独计列。</w:t>
                  </w:r>
                </w:p>
              </w:tc>
            </w:tr>
          </w:tbl>
          <w:p w14:paraId="1C767EAB">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eastAsia"/>
                <w:color w:val="auto"/>
                <w:sz w:val="24"/>
                <w:highlight w:val="none"/>
                <w:shd w:val="clear" w:color="auto" w:fill="auto"/>
              </w:rPr>
              <w:t>（2）移民安置</w:t>
            </w:r>
          </w:p>
          <w:p w14:paraId="64C43594">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eastAsia"/>
                <w:color w:val="auto"/>
                <w:sz w:val="24"/>
                <w:highlight w:val="none"/>
                <w:shd w:val="clear" w:color="auto" w:fill="auto"/>
              </w:rPr>
              <w:t>本</w:t>
            </w:r>
            <w:r>
              <w:rPr>
                <w:rFonts w:hint="eastAsia" w:ascii="宋体" w:hAnsi="宋体" w:cs="宋体"/>
                <w:color w:val="auto"/>
                <w:kern w:val="0"/>
                <w:sz w:val="24"/>
                <w:highlight w:val="none"/>
                <w:shd w:val="clear" w:color="auto" w:fill="auto"/>
                <w:lang w:bidi="ar"/>
              </w:rPr>
              <w:t>项目</w:t>
            </w:r>
            <w:r>
              <w:rPr>
                <w:rFonts w:hint="eastAsia"/>
                <w:color w:val="auto"/>
                <w:sz w:val="24"/>
                <w:highlight w:val="none"/>
                <w:shd w:val="clear" w:color="auto" w:fill="auto"/>
              </w:rPr>
              <w:t>未涉及移民搬迁。</w:t>
            </w:r>
          </w:p>
          <w:p w14:paraId="216783D9">
            <w:pPr>
              <w:keepNext w:val="0"/>
              <w:keepLines w:val="0"/>
              <w:suppressLineNumbers w:val="0"/>
              <w:shd w:val="clear"/>
              <w:spacing w:before="0" w:beforeAutospacing="0" w:after="0" w:afterAutospacing="0" w:line="360" w:lineRule="auto"/>
              <w:ind w:left="0" w:right="0"/>
              <w:rPr>
                <w:rFonts w:hint="default"/>
                <w:b/>
                <w:bCs/>
                <w:color w:val="auto"/>
                <w:sz w:val="24"/>
                <w:highlight w:val="none"/>
                <w:shd w:val="clear" w:color="auto" w:fill="auto"/>
              </w:rPr>
            </w:pPr>
            <w:r>
              <w:rPr>
                <w:rFonts w:hint="eastAsia"/>
                <w:b/>
                <w:bCs/>
                <w:color w:val="auto"/>
                <w:sz w:val="24"/>
                <w:highlight w:val="none"/>
                <w:shd w:val="clear" w:color="auto" w:fill="auto"/>
                <w:lang w:val="en-US" w:eastAsia="zh-CN"/>
              </w:rPr>
              <w:t>五</w:t>
            </w:r>
            <w:r>
              <w:rPr>
                <w:rFonts w:hint="eastAsia"/>
                <w:b/>
                <w:bCs/>
                <w:color w:val="auto"/>
                <w:sz w:val="24"/>
                <w:highlight w:val="none"/>
                <w:shd w:val="clear" w:color="auto" w:fill="auto"/>
              </w:rPr>
              <w:t>、工作制度和劳动定员</w:t>
            </w:r>
          </w:p>
          <w:p w14:paraId="52B9DB3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s="Times New Roman"/>
                <w:b w:val="0"/>
                <w:bCs w:val="0"/>
                <w:color w:val="auto"/>
                <w:kern w:val="0"/>
                <w:sz w:val="24"/>
                <w:szCs w:val="24"/>
                <w:lang w:val="en-US" w:eastAsia="zh-CN"/>
              </w:rPr>
              <w:t>本项目运维管理统筹考虑，项目升压站及生活区依托</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无新增人员</w:t>
            </w:r>
            <w:r>
              <w:rPr>
                <w:rFonts w:hint="eastAsia" w:cs="Times New Roman"/>
                <w:b w:val="0"/>
                <w:bCs w:val="0"/>
                <w:color w:val="auto"/>
                <w:kern w:val="0"/>
                <w:sz w:val="24"/>
                <w:szCs w:val="24"/>
                <w:lang w:val="en-US" w:eastAsia="zh-CN"/>
              </w:rPr>
              <w:t>，</w:t>
            </w:r>
            <w:r>
              <w:rPr>
                <w:rFonts w:hint="eastAsia"/>
                <w:color w:val="auto"/>
                <w:sz w:val="24"/>
              </w:rPr>
              <w:t>采用8小时工作制，年工作365天。</w:t>
            </w:r>
            <w:r>
              <w:rPr>
                <w:rFonts w:hint="eastAsia"/>
                <w:color w:val="auto"/>
                <w:kern w:val="0"/>
                <w:sz w:val="24"/>
              </w:rPr>
              <w:t>每天</w:t>
            </w:r>
            <w:r>
              <w:rPr>
                <w:rFonts w:hint="default"/>
                <w:color w:val="auto"/>
                <w:kern w:val="0"/>
                <w:sz w:val="24"/>
              </w:rPr>
              <w:t>定期巡检电站</w:t>
            </w:r>
            <w:r>
              <w:rPr>
                <w:rFonts w:hint="eastAsia"/>
                <w:color w:val="auto"/>
                <w:kern w:val="0"/>
                <w:sz w:val="24"/>
              </w:rPr>
              <w:t>，主要负责运行监控、日常保养、故障维修和事故报告等。</w:t>
            </w:r>
          </w:p>
        </w:tc>
      </w:tr>
      <w:tr w14:paraId="73FE8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Align w:val="center"/>
          </w:tcPr>
          <w:p w14:paraId="7464B38F">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总平面及现场布置</w:t>
            </w:r>
          </w:p>
        </w:tc>
        <w:tc>
          <w:tcPr>
            <w:tcW w:w="4551" w:type="pct"/>
            <w:vAlign w:val="center"/>
          </w:tcPr>
          <w:p w14:paraId="47193378">
            <w:pPr>
              <w:pStyle w:val="23"/>
              <w:keepNext w:val="0"/>
              <w:keepLines w:val="0"/>
              <w:suppressLineNumbers w:val="0"/>
              <w:shd w:val="clear"/>
              <w:adjustRightInd w:val="0"/>
              <w:spacing w:before="0" w:beforeAutospacing="0" w:after="0" w:afterAutospacing="0" w:line="360" w:lineRule="auto"/>
              <w:ind w:left="0" w:right="0" w:firstLine="454" w:firstLineChars="200"/>
              <w:rPr>
                <w:rFonts w:hint="default"/>
                <w:b/>
                <w:bCs/>
                <w:color w:val="auto"/>
                <w:spacing w:val="-7"/>
                <w:sz w:val="24"/>
                <w:szCs w:val="24"/>
                <w:highlight w:val="none"/>
                <w:shd w:val="clear" w:color="auto" w:fill="auto"/>
              </w:rPr>
            </w:pPr>
            <w:r>
              <w:rPr>
                <w:rFonts w:hint="default"/>
                <w:b/>
                <w:bCs/>
                <w:color w:val="auto"/>
                <w:spacing w:val="-7"/>
                <w:sz w:val="24"/>
                <w:szCs w:val="24"/>
                <w:highlight w:val="none"/>
                <w:shd w:val="clear" w:color="auto" w:fill="auto"/>
              </w:rPr>
              <w:t>1</w:t>
            </w:r>
            <w:r>
              <w:rPr>
                <w:rFonts w:hint="eastAsia"/>
                <w:b/>
                <w:bCs/>
                <w:color w:val="auto"/>
                <w:spacing w:val="-7"/>
                <w:sz w:val="24"/>
                <w:szCs w:val="24"/>
                <w:highlight w:val="none"/>
                <w:shd w:val="clear" w:color="auto" w:fill="auto"/>
              </w:rPr>
              <w:t>、项目总体布置</w:t>
            </w:r>
          </w:p>
          <w:p w14:paraId="673F551B">
            <w:pPr>
              <w:keepNext w:val="0"/>
              <w:keepLines w:val="0"/>
              <w:suppressLineNumbers w:val="0"/>
              <w:shd w:val="clear"/>
              <w:adjustRightInd w:val="0"/>
              <w:spacing w:before="0" w:beforeAutospacing="0" w:after="0" w:afterAutospacing="0" w:line="360" w:lineRule="auto"/>
              <w:ind w:left="0" w:right="0" w:firstLine="480" w:firstLineChars="200"/>
              <w:rPr>
                <w:rFonts w:hint="eastAsia"/>
                <w:color w:val="auto"/>
                <w:spacing w:val="-4"/>
                <w:sz w:val="24"/>
                <w:highlight w:val="none"/>
                <w:shd w:val="clear" w:color="auto" w:fill="auto"/>
                <w:lang w:val="zh-CN"/>
              </w:rPr>
            </w:pP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color w:val="auto"/>
                <w:spacing w:val="-4"/>
                <w:sz w:val="24"/>
                <w:lang w:val="zh-CN"/>
              </w:rPr>
              <w:t>位于</w:t>
            </w:r>
            <w:r>
              <w:rPr>
                <w:rFonts w:hint="eastAsia" w:cs="Times New Roman"/>
                <w:color w:val="auto"/>
                <w:sz w:val="24"/>
                <w:highlight w:val="none"/>
                <w:lang w:eastAsia="zh-CN"/>
              </w:rPr>
              <w:t>寻甸</w:t>
            </w:r>
            <w:r>
              <w:rPr>
                <w:rFonts w:hint="default" w:ascii="Times New Roman" w:hAnsi="Times New Roman" w:eastAsia="宋体" w:cs="Times New Roman"/>
                <w:color w:val="auto"/>
                <w:sz w:val="24"/>
                <w:highlight w:val="none"/>
                <w:lang w:eastAsia="zh-CN"/>
              </w:rPr>
              <w:t>县</w:t>
            </w:r>
            <w:r>
              <w:rPr>
                <w:rFonts w:hint="eastAsia" w:ascii="宋体" w:hAnsi="宋体" w:cs="宋体"/>
                <w:color w:val="auto"/>
                <w:kern w:val="0"/>
                <w:sz w:val="24"/>
                <w:szCs w:val="24"/>
                <w:lang w:val="en-US" w:eastAsia="zh-CN" w:bidi="ar"/>
              </w:rPr>
              <w:t>河口镇、功山镇</w:t>
            </w:r>
            <w:r>
              <w:rPr>
                <w:rFonts w:hint="eastAsia" w:cs="Times New Roman"/>
                <w:color w:val="auto"/>
                <w:sz w:val="24"/>
                <w:highlight w:val="none"/>
                <w:lang w:val="en-US" w:eastAsia="zh-CN"/>
              </w:rPr>
              <w:t>境内。</w:t>
            </w:r>
            <w:r>
              <w:rPr>
                <w:rFonts w:hint="eastAsia"/>
                <w:color w:val="auto"/>
                <w:spacing w:val="-4"/>
                <w:sz w:val="24"/>
                <w:highlight w:val="none"/>
                <w:shd w:val="clear" w:color="auto" w:fill="auto"/>
                <w:lang w:val="zh-CN"/>
              </w:rPr>
              <w:t>根据场址总体布局规划，</w:t>
            </w:r>
            <w:r>
              <w:rPr>
                <w:rFonts w:hint="eastAsia" w:cs="Times New Roman"/>
                <w:b w:val="0"/>
                <w:bCs w:val="0"/>
                <w:color w:val="auto"/>
                <w:kern w:val="0"/>
                <w:sz w:val="24"/>
                <w:szCs w:val="24"/>
                <w:highlight w:val="none"/>
                <w:shd w:val="clear" w:color="auto" w:fill="auto"/>
                <w:lang w:val="zh-CN" w:eastAsia="zh-CN"/>
              </w:rPr>
              <w:t>项目</w:t>
            </w:r>
            <w:r>
              <w:rPr>
                <w:rFonts w:hint="eastAsia" w:cs="Times New Roman"/>
                <w:b w:val="0"/>
                <w:bCs w:val="0"/>
                <w:color w:val="auto"/>
                <w:kern w:val="0"/>
                <w:sz w:val="24"/>
                <w:szCs w:val="24"/>
                <w:highlight w:val="none"/>
                <w:shd w:val="clear" w:color="auto" w:fill="auto"/>
                <w:lang w:val="en-US" w:eastAsia="zh-CN"/>
              </w:rPr>
              <w:t>共布置14</w:t>
            </w:r>
            <w:r>
              <w:rPr>
                <w:rFonts w:hint="eastAsia" w:ascii="Times New Roman" w:hAnsi="Times New Roman" w:eastAsia="宋体" w:cs="Times New Roman"/>
                <w:b w:val="0"/>
                <w:bCs w:val="0"/>
                <w:color w:val="auto"/>
                <w:kern w:val="0"/>
                <w:sz w:val="24"/>
                <w:szCs w:val="24"/>
                <w:highlight w:val="none"/>
                <w:shd w:val="clear" w:color="auto" w:fill="auto"/>
                <w:lang w:val="en-US" w:eastAsia="zh-CN"/>
              </w:rPr>
              <w:t>个光伏发电单元</w:t>
            </w:r>
            <w:r>
              <w:rPr>
                <w:rFonts w:hint="eastAsia" w:cs="Times New Roman"/>
                <w:b w:val="0"/>
                <w:bCs w:val="0"/>
                <w:color w:val="auto"/>
                <w:kern w:val="0"/>
                <w:sz w:val="24"/>
                <w:szCs w:val="24"/>
                <w:highlight w:val="none"/>
                <w:shd w:val="clear" w:color="auto" w:fill="auto"/>
                <w:lang w:val="zh-CN" w:eastAsia="zh-CN"/>
              </w:rPr>
              <w:t>，</w:t>
            </w:r>
            <w:r>
              <w:rPr>
                <w:rFonts w:hint="eastAsia" w:cs="Times New Roman"/>
                <w:b w:val="0"/>
                <w:bCs w:val="0"/>
                <w:color w:val="auto"/>
                <w:kern w:val="0"/>
                <w:sz w:val="24"/>
                <w:szCs w:val="24"/>
                <w:highlight w:val="none"/>
                <w:shd w:val="clear" w:color="auto" w:fill="auto"/>
                <w:lang w:val="en-US" w:eastAsia="zh-CN"/>
              </w:rPr>
              <w:t>BSY#1至BSY#7</w:t>
            </w:r>
            <w:r>
              <w:rPr>
                <w:rFonts w:hint="eastAsia"/>
                <w:color w:val="auto"/>
                <w:spacing w:val="-4"/>
                <w:sz w:val="24"/>
                <w:szCs w:val="24"/>
                <w:highlight w:val="none"/>
                <w:shd w:val="clear" w:color="auto" w:fill="auto"/>
                <w:lang w:val="en-US" w:eastAsia="zh-CN"/>
              </w:rPr>
              <w:t>方阵位于项目东北部，</w:t>
            </w:r>
            <w:r>
              <w:rPr>
                <w:rFonts w:hint="eastAsia" w:cs="Times New Roman"/>
                <w:b w:val="0"/>
                <w:bCs w:val="0"/>
                <w:color w:val="auto"/>
                <w:kern w:val="0"/>
                <w:sz w:val="24"/>
                <w:szCs w:val="24"/>
                <w:highlight w:val="none"/>
                <w:shd w:val="clear" w:color="auto" w:fill="auto"/>
                <w:lang w:val="en-US" w:eastAsia="zh-CN"/>
              </w:rPr>
              <w:t>BSY#8至BSY#14</w:t>
            </w:r>
            <w:r>
              <w:rPr>
                <w:rFonts w:hint="eastAsia"/>
                <w:color w:val="auto"/>
                <w:spacing w:val="-4"/>
                <w:sz w:val="24"/>
                <w:szCs w:val="24"/>
                <w:highlight w:val="none"/>
                <w:shd w:val="clear" w:color="auto" w:fill="auto"/>
                <w:lang w:val="en-US" w:eastAsia="zh-CN"/>
              </w:rPr>
              <w:t>方阵位于项目西南部</w:t>
            </w:r>
            <w:r>
              <w:rPr>
                <w:rFonts w:hint="eastAsia"/>
                <w:color w:val="auto"/>
                <w:spacing w:val="-4"/>
                <w:sz w:val="24"/>
                <w:highlight w:val="none"/>
                <w:shd w:val="clear" w:color="auto" w:fill="auto"/>
                <w:lang w:val="zh-CN"/>
              </w:rPr>
              <w:t>。</w:t>
            </w:r>
            <w:r>
              <w:rPr>
                <w:rFonts w:hint="eastAsia" w:cs="Times New Roman"/>
                <w:b w:val="0"/>
                <w:bCs w:val="0"/>
                <w:color w:val="auto"/>
                <w:kern w:val="0"/>
                <w:sz w:val="24"/>
                <w:szCs w:val="24"/>
                <w:highlight w:val="none"/>
                <w:lang w:val="zh-CN" w:eastAsia="zh-CN"/>
              </w:rPr>
              <w:t>场内检修道路引致各方阵区，箱变基础均布置于道路两侧。</w:t>
            </w:r>
            <w:r>
              <w:rPr>
                <w:rFonts w:hint="eastAsia"/>
                <w:color w:val="auto"/>
                <w:spacing w:val="-4"/>
                <w:sz w:val="24"/>
                <w:highlight w:val="none"/>
                <w:shd w:val="clear" w:color="auto" w:fill="auto"/>
                <w:lang w:val="zh-CN"/>
              </w:rPr>
              <w:t>整个光伏方阵布置充分考虑地形、建筑物、道路等基础上，各</w:t>
            </w:r>
            <w:r>
              <w:rPr>
                <w:rFonts w:hint="eastAsia"/>
                <w:color w:val="auto"/>
                <w:spacing w:val="-4"/>
                <w:sz w:val="24"/>
                <w:szCs w:val="24"/>
                <w:highlight w:val="none"/>
                <w:shd w:val="clear" w:color="auto" w:fill="auto"/>
                <w:lang w:val="en-US" w:eastAsia="zh-CN"/>
              </w:rPr>
              <w:t>方阵</w:t>
            </w:r>
            <w:r>
              <w:rPr>
                <w:rFonts w:hint="eastAsia"/>
                <w:color w:val="auto"/>
                <w:spacing w:val="-4"/>
                <w:sz w:val="24"/>
                <w:highlight w:val="none"/>
                <w:shd w:val="clear" w:color="auto" w:fill="auto"/>
                <w:lang w:val="zh-CN"/>
              </w:rPr>
              <w:t>区布置紧凑，各区块间有效贯通，同时达到节约用地、节约连接电缆、日常巡查线路简便的目的，整个布置避让了生态红线、基本农田等敏感因素。</w:t>
            </w:r>
          </w:p>
          <w:p w14:paraId="4850B353">
            <w:pPr>
              <w:keepNext w:val="0"/>
              <w:keepLines w:val="0"/>
              <w:suppressLineNumbers w:val="0"/>
              <w:shd w:val="clear"/>
              <w:adjustRightInd w:val="0"/>
              <w:spacing w:before="0" w:beforeAutospacing="0" w:after="0" w:afterAutospacing="0" w:line="360" w:lineRule="auto"/>
              <w:ind w:left="0" w:right="0" w:firstLine="464" w:firstLineChars="200"/>
              <w:rPr>
                <w:rFonts w:hint="eastAsia"/>
                <w:color w:val="auto"/>
                <w:sz w:val="24"/>
                <w:szCs w:val="24"/>
                <w:highlight w:val="none"/>
                <w:shd w:val="clear" w:color="auto" w:fill="auto"/>
              </w:rPr>
            </w:pPr>
            <w:r>
              <w:rPr>
                <w:rFonts w:hint="eastAsia"/>
                <w:color w:val="auto"/>
                <w:spacing w:val="-4"/>
                <w:sz w:val="24"/>
                <w:highlight w:val="none"/>
                <w:shd w:val="clear" w:color="auto" w:fill="auto"/>
                <w:lang w:val="zh-CN"/>
              </w:rPr>
              <w:t>项目总平面布置见附图3。</w:t>
            </w:r>
          </w:p>
          <w:p w14:paraId="5782CD08">
            <w:pPr>
              <w:pStyle w:val="23"/>
              <w:keepNext w:val="0"/>
              <w:keepLines w:val="0"/>
              <w:suppressLineNumbers w:val="0"/>
              <w:shd w:val="clear"/>
              <w:spacing w:before="0" w:beforeAutospacing="0" w:after="0" w:afterAutospacing="0" w:line="360" w:lineRule="auto"/>
              <w:ind w:left="0" w:right="0" w:firstLine="462" w:firstLineChars="200"/>
              <w:rPr>
                <w:rFonts w:hint="default"/>
                <w:b/>
                <w:bCs/>
                <w:color w:val="auto"/>
                <w:spacing w:val="-5"/>
                <w:sz w:val="24"/>
                <w:szCs w:val="24"/>
                <w:highlight w:val="none"/>
                <w:shd w:val="clear" w:color="auto" w:fill="auto"/>
              </w:rPr>
            </w:pPr>
            <w:r>
              <w:rPr>
                <w:rFonts w:hint="eastAsia"/>
                <w:b/>
                <w:bCs/>
                <w:color w:val="auto"/>
                <w:spacing w:val="-5"/>
                <w:sz w:val="24"/>
                <w:szCs w:val="24"/>
                <w:highlight w:val="none"/>
                <w:shd w:val="clear" w:color="auto" w:fill="auto"/>
              </w:rPr>
              <w:t>2、施工布置</w:t>
            </w:r>
          </w:p>
          <w:p w14:paraId="74DB7EAD">
            <w:pPr>
              <w:pStyle w:val="135"/>
              <w:keepNext w:val="0"/>
              <w:keepLines w:val="0"/>
              <w:suppressLineNumbers w:val="0"/>
              <w:shd w:val="clear"/>
              <w:spacing w:before="0" w:beforeAutospacing="0" w:after="0" w:afterAutospacing="0" w:line="360" w:lineRule="auto"/>
              <w:ind w:left="0" w:right="0"/>
              <w:rPr>
                <w:rFonts w:hint="default"/>
                <w:color w:val="auto"/>
                <w:sz w:val="24"/>
                <w:szCs w:val="24"/>
                <w:highlight w:val="none"/>
                <w:shd w:val="clear" w:color="auto" w:fill="auto"/>
              </w:rPr>
            </w:pPr>
            <w:r>
              <w:rPr>
                <w:rFonts w:hint="default"/>
                <w:color w:val="auto"/>
                <w:sz w:val="24"/>
                <w:szCs w:val="24"/>
                <w:highlight w:val="none"/>
                <w:shd w:val="clear" w:color="auto" w:fill="auto"/>
              </w:rPr>
              <w:t>（1）施工</w:t>
            </w:r>
            <w:r>
              <w:rPr>
                <w:rFonts w:hint="eastAsia"/>
                <w:color w:val="auto"/>
                <w:sz w:val="24"/>
                <w:szCs w:val="24"/>
                <w:highlight w:val="none"/>
                <w:shd w:val="clear" w:color="auto" w:fill="auto"/>
                <w:lang w:val="en-US" w:eastAsia="zh-CN"/>
              </w:rPr>
              <w:t>场</w:t>
            </w:r>
            <w:r>
              <w:rPr>
                <w:rFonts w:hint="default"/>
                <w:color w:val="auto"/>
                <w:sz w:val="24"/>
                <w:szCs w:val="24"/>
                <w:highlight w:val="none"/>
                <w:shd w:val="clear" w:color="auto" w:fill="auto"/>
              </w:rPr>
              <w:t>地</w:t>
            </w:r>
          </w:p>
          <w:p w14:paraId="73D51564">
            <w:pPr>
              <w:keepNext w:val="0"/>
              <w:keepLines w:val="0"/>
              <w:suppressLineNumbers w:val="0"/>
              <w:autoSpaceDE w:val="0"/>
              <w:autoSpaceDN w:val="0"/>
              <w:adjustRightInd w:val="0"/>
              <w:snapToGrid w:val="0"/>
              <w:spacing w:before="0" w:beforeAutospacing="0" w:after="0" w:afterAutospacing="0" w:line="360" w:lineRule="auto"/>
              <w:ind w:left="0" w:right="0" w:firstLine="480"/>
              <w:jc w:val="left"/>
              <w:rPr>
                <w:rFonts w:hint="eastAsia" w:ascii="Times New Roman" w:hAnsi="Times New Roman" w:eastAsia="宋体" w:cs="Times New Roman"/>
                <w:color w:val="auto"/>
                <w:kern w:val="0"/>
                <w:sz w:val="24"/>
                <w:szCs w:val="24"/>
              </w:rPr>
            </w:pPr>
            <w:r>
              <w:rPr>
                <w:rFonts w:hint="default" w:ascii="Times New Roman" w:hAnsi="Times New Roman" w:eastAsia="宋体" w:cs="Times New Roman"/>
                <w:color w:val="auto"/>
                <w:kern w:val="2"/>
                <w:sz w:val="24"/>
                <w:szCs w:val="24"/>
                <w:lang w:val="en-US" w:eastAsia="zh-CN" w:bidi="ar-SA"/>
              </w:rPr>
              <w:t>本项目设置</w:t>
            </w:r>
            <w:r>
              <w:rPr>
                <w:rFonts w:hint="eastAsia"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个施工</w:t>
            </w:r>
            <w:r>
              <w:rPr>
                <w:rFonts w:hint="eastAsia" w:ascii="Times New Roman" w:hAnsi="Times New Roman" w:eastAsia="宋体" w:cs="Times New Roman"/>
                <w:color w:val="auto"/>
                <w:kern w:val="2"/>
                <w:sz w:val="24"/>
                <w:szCs w:val="24"/>
                <w:lang w:val="en-US" w:eastAsia="zh-CN" w:bidi="ar-SA"/>
              </w:rPr>
              <w:t>场地</w:t>
            </w:r>
            <w:r>
              <w:rPr>
                <w:rFonts w:hint="default" w:ascii="Times New Roman" w:hAnsi="Times New Roman" w:eastAsia="宋体" w:cs="Times New Roman"/>
                <w:color w:val="auto"/>
                <w:kern w:val="2"/>
                <w:sz w:val="24"/>
                <w:szCs w:val="24"/>
                <w:lang w:val="en-US" w:eastAsia="zh-CN" w:bidi="ar-SA"/>
              </w:rPr>
              <w:t>，位于</w:t>
            </w:r>
            <w:r>
              <w:rPr>
                <w:rFonts w:hint="eastAsia"/>
                <w:color w:val="auto"/>
                <w:sz w:val="24"/>
                <w:szCs w:val="24"/>
              </w:rPr>
              <w:t>项目区东北地块南侧公路旁空地</w:t>
            </w:r>
            <w:r>
              <w:rPr>
                <w:rFonts w:hint="default"/>
                <w:color w:val="auto"/>
                <w:sz w:val="24"/>
                <w:szCs w:val="24"/>
              </w:rPr>
              <w:t>平缓区域</w:t>
            </w:r>
            <w:r>
              <w:rPr>
                <w:rFonts w:hint="eastAsia"/>
                <w:color w:val="auto"/>
                <w:sz w:val="24"/>
                <w:szCs w:val="24"/>
              </w:rPr>
              <w:t>内</w:t>
            </w:r>
            <w:r>
              <w:rPr>
                <w:rFonts w:hint="default" w:ascii="Times New Roman" w:hAnsi="Times New Roman" w:eastAsia="宋体" w:cs="Times New Roman"/>
                <w:color w:val="auto"/>
                <w:kern w:val="2"/>
                <w:sz w:val="24"/>
                <w:szCs w:val="24"/>
                <w:lang w:val="en-US" w:eastAsia="zh-CN" w:bidi="ar-SA"/>
              </w:rPr>
              <w:t>，</w:t>
            </w:r>
            <w:r>
              <w:rPr>
                <w:rFonts w:hint="eastAsia"/>
                <w:color w:val="auto"/>
                <w:sz w:val="24"/>
                <w:szCs w:val="24"/>
              </w:rPr>
              <w:t>地理位置：东经103°28′42.81″，北纬25°47′57.35″，</w:t>
            </w:r>
            <w:r>
              <w:rPr>
                <w:rFonts w:hint="default"/>
                <w:color w:val="auto"/>
                <w:sz w:val="24"/>
                <w:szCs w:val="24"/>
              </w:rPr>
              <w:t>占地面积约0.</w:t>
            </w:r>
            <w:r>
              <w:rPr>
                <w:rFonts w:hint="eastAsia"/>
                <w:color w:val="auto"/>
                <w:sz w:val="24"/>
                <w:szCs w:val="24"/>
              </w:rPr>
              <w:t>25</w:t>
            </w:r>
            <w:r>
              <w:rPr>
                <w:rFonts w:hint="default"/>
                <w:color w:val="auto"/>
                <w:sz w:val="24"/>
                <w:szCs w:val="24"/>
              </w:rPr>
              <w:t>hm</w:t>
            </w:r>
            <w:r>
              <w:rPr>
                <w:rFonts w:hint="default"/>
                <w:color w:val="auto"/>
                <w:sz w:val="24"/>
                <w:szCs w:val="24"/>
                <w:vertAlign w:val="superscript"/>
              </w:rPr>
              <w:t>2</w:t>
            </w:r>
            <w:r>
              <w:rPr>
                <w:rFonts w:hint="default"/>
                <w:color w:val="auto"/>
                <w:sz w:val="24"/>
                <w:szCs w:val="24"/>
              </w:rPr>
              <w:t>。</w:t>
            </w:r>
            <w:r>
              <w:rPr>
                <w:rFonts w:hint="eastAsia"/>
                <w:color w:val="auto"/>
                <w:sz w:val="24"/>
                <w:szCs w:val="24"/>
              </w:rPr>
              <w:t>其中</w:t>
            </w:r>
            <w:r>
              <w:rPr>
                <w:rFonts w:hint="default"/>
                <w:color w:val="auto"/>
                <w:sz w:val="24"/>
                <w:szCs w:val="24"/>
              </w:rPr>
              <w:t>材料堆放场仓库占地面积约800m</w:t>
            </w:r>
            <w:r>
              <w:rPr>
                <w:rFonts w:hint="default"/>
                <w:color w:val="auto"/>
                <w:sz w:val="24"/>
                <w:szCs w:val="24"/>
                <w:vertAlign w:val="superscript"/>
              </w:rPr>
              <w:t>2</w:t>
            </w:r>
            <w:r>
              <w:rPr>
                <w:rFonts w:hint="default"/>
                <w:color w:val="auto"/>
                <w:sz w:val="24"/>
                <w:szCs w:val="24"/>
              </w:rPr>
              <w:t>，主要作为</w:t>
            </w:r>
            <w:r>
              <w:rPr>
                <w:rFonts w:hint="default" w:ascii="Times New Roman" w:hAnsi="Times New Roman" w:eastAsia="宋体" w:cs="Times New Roman"/>
                <w:b w:val="0"/>
                <w:bCs w:val="0"/>
                <w:color w:val="auto"/>
                <w:kern w:val="0"/>
                <w:sz w:val="24"/>
                <w:szCs w:val="24"/>
                <w:highlight w:val="none"/>
              </w:rPr>
              <w:t>砂石料</w:t>
            </w:r>
            <w:r>
              <w:rPr>
                <w:rFonts w:hint="default"/>
                <w:color w:val="auto"/>
                <w:sz w:val="24"/>
                <w:szCs w:val="24"/>
              </w:rPr>
              <w:t>堆放、太阳电池组件堆放</w:t>
            </w:r>
            <w:r>
              <w:rPr>
                <w:rFonts w:hint="eastAsia"/>
                <w:color w:val="auto"/>
                <w:sz w:val="24"/>
                <w:szCs w:val="24"/>
                <w:lang w:eastAsia="zh-CN"/>
              </w:rPr>
              <w:t>。</w:t>
            </w:r>
            <w:r>
              <w:rPr>
                <w:rFonts w:hint="default"/>
                <w:color w:val="auto"/>
                <w:sz w:val="24"/>
                <w:szCs w:val="24"/>
              </w:rPr>
              <w:t>钢结构加工区</w:t>
            </w:r>
            <w:r>
              <w:rPr>
                <w:rFonts w:hint="eastAsia"/>
                <w:color w:val="auto"/>
                <w:sz w:val="24"/>
                <w:szCs w:val="24"/>
              </w:rPr>
              <w:t>占</w:t>
            </w:r>
            <w:r>
              <w:rPr>
                <w:rFonts w:hint="default"/>
                <w:color w:val="auto"/>
                <w:sz w:val="24"/>
                <w:szCs w:val="24"/>
              </w:rPr>
              <w:t>地面积约900m</w:t>
            </w:r>
            <w:r>
              <w:rPr>
                <w:rFonts w:hint="default"/>
                <w:color w:val="auto"/>
                <w:sz w:val="24"/>
                <w:szCs w:val="24"/>
                <w:vertAlign w:val="superscript"/>
              </w:rPr>
              <w:t>2</w:t>
            </w:r>
            <w:r>
              <w:rPr>
                <w:rFonts w:hint="default"/>
                <w:color w:val="auto"/>
                <w:sz w:val="24"/>
                <w:szCs w:val="24"/>
              </w:rPr>
              <w:t>，该区域作为钢结构加工</w:t>
            </w:r>
            <w:r>
              <w:rPr>
                <w:rFonts w:hint="eastAsia"/>
                <w:color w:val="auto"/>
                <w:sz w:val="24"/>
                <w:szCs w:val="24"/>
                <w:lang w:val="en-US" w:eastAsia="zh-CN"/>
              </w:rPr>
              <w:t>使用</w:t>
            </w:r>
            <w:r>
              <w:rPr>
                <w:rFonts w:hint="eastAsia"/>
                <w:color w:val="auto"/>
                <w:sz w:val="24"/>
                <w:szCs w:val="24"/>
              </w:rPr>
              <w:t>。</w:t>
            </w:r>
            <w:r>
              <w:rPr>
                <w:rFonts w:hint="default"/>
                <w:color w:val="auto"/>
                <w:sz w:val="24"/>
                <w:szCs w:val="24"/>
              </w:rPr>
              <w:t>材料加工区占地面积约800m</w:t>
            </w:r>
            <w:r>
              <w:rPr>
                <w:rFonts w:hint="default"/>
                <w:color w:val="auto"/>
                <w:sz w:val="24"/>
                <w:szCs w:val="24"/>
                <w:vertAlign w:val="superscript"/>
              </w:rPr>
              <w:t>2</w:t>
            </w:r>
            <w:r>
              <w:rPr>
                <w:rFonts w:hint="default"/>
                <w:color w:val="auto"/>
                <w:sz w:val="24"/>
                <w:szCs w:val="24"/>
              </w:rPr>
              <w:t>，主要作为钢筋等材料的加工区域</w:t>
            </w:r>
            <w:r>
              <w:rPr>
                <w:rFonts w:hint="eastAsia"/>
                <w:color w:val="auto"/>
                <w:sz w:val="24"/>
                <w:szCs w:val="24"/>
                <w:lang w:eastAsia="zh-CN"/>
              </w:rPr>
              <w:t>。</w:t>
            </w:r>
            <w:r>
              <w:rPr>
                <w:rFonts w:hint="eastAsia" w:cs="Times New Roman"/>
                <w:color w:val="auto"/>
                <w:kern w:val="2"/>
                <w:sz w:val="24"/>
                <w:szCs w:val="24"/>
                <w:highlight w:val="none"/>
                <w:shd w:val="clear" w:color="auto" w:fill="auto"/>
                <w:lang w:val="en-US" w:eastAsia="zh-CN" w:bidi="ar-SA"/>
              </w:rPr>
              <w:t>施工人员住宿租用周边民房，项目区不设置施工营地（生活区）</w:t>
            </w:r>
            <w:r>
              <w:rPr>
                <w:rFonts w:hint="eastAsia" w:ascii="Times New Roman" w:hAnsi="Times New Roman" w:eastAsia="宋体" w:cs="Times New Roman"/>
                <w:color w:val="auto"/>
                <w:kern w:val="2"/>
                <w:sz w:val="24"/>
                <w:szCs w:val="24"/>
                <w:highlight w:val="none"/>
                <w:shd w:val="clear" w:color="auto" w:fill="auto"/>
                <w:lang w:val="en-US" w:eastAsia="zh-CN" w:bidi="ar-SA"/>
              </w:rPr>
              <w:t>。</w:t>
            </w:r>
          </w:p>
          <w:p w14:paraId="07F7B66B">
            <w:pPr>
              <w:pStyle w:val="135"/>
              <w:keepNext w:val="0"/>
              <w:keepLines w:val="0"/>
              <w:suppressLineNumbers w:val="0"/>
              <w:shd w:val="clear"/>
              <w:spacing w:before="0" w:beforeAutospacing="0" w:after="0" w:afterAutospacing="0" w:line="360" w:lineRule="auto"/>
              <w:ind w:left="560" w:leftChars="0" w:right="0" w:hanging="560" w:hangingChars="200"/>
              <w:rPr>
                <w:rFonts w:hint="eastAsia" w:eastAsia="宋体"/>
                <w:color w:val="auto"/>
                <w:lang w:eastAsia="zh-CN"/>
              </w:rPr>
            </w:pPr>
            <w:r>
              <w:rPr>
                <w:rFonts w:hint="eastAsia" w:eastAsia="宋体"/>
                <w:color w:val="auto"/>
                <w:lang w:eastAsia="zh-CN"/>
              </w:rPr>
              <w:drawing>
                <wp:inline distT="0" distB="0" distL="114300" distR="114300">
                  <wp:extent cx="4785995" cy="3216275"/>
                  <wp:effectExtent l="0" t="0" r="14605" b="3175"/>
                  <wp:docPr id="2" name="图片 2" descr="172657473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6574732734"/>
                          <pic:cNvPicPr>
                            <a:picLocks noChangeAspect="1"/>
                          </pic:cNvPicPr>
                        </pic:nvPicPr>
                        <pic:blipFill>
                          <a:blip r:embed="rId11"/>
                          <a:stretch>
                            <a:fillRect/>
                          </a:stretch>
                        </pic:blipFill>
                        <pic:spPr>
                          <a:xfrm>
                            <a:off x="0" y="0"/>
                            <a:ext cx="4785995" cy="3216275"/>
                          </a:xfrm>
                          <a:prstGeom prst="rect">
                            <a:avLst/>
                          </a:prstGeom>
                        </pic:spPr>
                      </pic:pic>
                    </a:graphicData>
                  </a:graphic>
                </wp:inline>
              </w:drawing>
            </w:r>
          </w:p>
          <w:p w14:paraId="5B71C3BF">
            <w:pPr>
              <w:pStyle w:val="135"/>
              <w:keepNext w:val="0"/>
              <w:keepLines w:val="0"/>
              <w:suppressLineNumbers w:val="0"/>
              <w:shd w:val="clear"/>
              <w:spacing w:before="0" w:beforeAutospacing="0" w:after="0" w:afterAutospacing="0" w:line="360" w:lineRule="auto"/>
              <w:ind w:left="0" w:leftChars="0" w:right="0" w:firstLine="0" w:firstLineChars="0"/>
              <w:jc w:val="center"/>
              <w:rPr>
                <w:rFonts w:hint="default"/>
                <w:b/>
                <w:bCs/>
                <w:color w:val="auto"/>
                <w:sz w:val="21"/>
                <w:szCs w:val="21"/>
                <w:highlight w:val="yellow"/>
                <w:shd w:val="clear" w:color="auto" w:fill="auto"/>
              </w:rPr>
            </w:pPr>
            <w:r>
              <w:rPr>
                <w:rFonts w:hint="eastAsia"/>
                <w:b/>
                <w:bCs/>
                <w:color w:val="auto"/>
                <w:sz w:val="21"/>
                <w:szCs w:val="21"/>
              </w:rPr>
              <w:t>图</w:t>
            </w:r>
            <w:r>
              <w:rPr>
                <w:rFonts w:hint="default"/>
                <w:b/>
                <w:bCs/>
                <w:color w:val="auto"/>
                <w:sz w:val="21"/>
                <w:szCs w:val="21"/>
              </w:rPr>
              <w:fldChar w:fldCharType="begin"/>
            </w:r>
            <w:r>
              <w:rPr>
                <w:rFonts w:hint="default"/>
                <w:b/>
                <w:bCs/>
                <w:color w:val="auto"/>
                <w:sz w:val="21"/>
                <w:szCs w:val="21"/>
              </w:rPr>
              <w:instrText xml:space="preserve"> </w:instrText>
            </w:r>
            <w:r>
              <w:rPr>
                <w:rFonts w:hint="eastAsia"/>
                <w:b/>
                <w:bCs/>
                <w:color w:val="auto"/>
                <w:sz w:val="21"/>
                <w:szCs w:val="21"/>
              </w:rPr>
              <w:instrText xml:space="preserve">STYLEREF 1 \s</w:instrText>
            </w:r>
            <w:r>
              <w:rPr>
                <w:rFonts w:hint="default"/>
                <w:b/>
                <w:bCs/>
                <w:color w:val="auto"/>
                <w:sz w:val="21"/>
                <w:szCs w:val="21"/>
              </w:rPr>
              <w:instrText xml:space="preserve"> </w:instrText>
            </w:r>
            <w:r>
              <w:rPr>
                <w:rFonts w:hint="default"/>
                <w:b/>
                <w:bCs/>
                <w:color w:val="auto"/>
                <w:sz w:val="21"/>
                <w:szCs w:val="21"/>
              </w:rPr>
              <w:fldChar w:fldCharType="separate"/>
            </w:r>
            <w:r>
              <w:rPr>
                <w:rFonts w:hint="default"/>
                <w:b/>
                <w:bCs/>
                <w:color w:val="auto"/>
                <w:sz w:val="21"/>
                <w:szCs w:val="21"/>
              </w:rPr>
              <w:t>2</w:t>
            </w:r>
            <w:r>
              <w:rPr>
                <w:rFonts w:hint="default"/>
                <w:b/>
                <w:bCs/>
                <w:color w:val="auto"/>
                <w:sz w:val="21"/>
                <w:szCs w:val="21"/>
              </w:rPr>
              <w:fldChar w:fldCharType="end"/>
            </w:r>
            <w:r>
              <w:rPr>
                <w:rFonts w:hint="default"/>
                <w:b/>
                <w:bCs/>
                <w:color w:val="auto"/>
                <w:sz w:val="21"/>
                <w:szCs w:val="21"/>
              </w:rPr>
              <w:noBreakHyphen/>
            </w:r>
            <w:r>
              <w:rPr>
                <w:rFonts w:hint="eastAsia"/>
                <w:b/>
                <w:bCs/>
                <w:color w:val="auto"/>
                <w:sz w:val="21"/>
                <w:szCs w:val="21"/>
              </w:rPr>
              <w:t>1</w:t>
            </w:r>
            <w:r>
              <w:rPr>
                <w:rFonts w:hint="eastAsia"/>
                <w:b/>
                <w:bCs/>
                <w:color w:val="auto"/>
                <w:sz w:val="21"/>
                <w:szCs w:val="21"/>
                <w:lang w:val="en-US" w:eastAsia="zh-CN"/>
              </w:rPr>
              <w:t xml:space="preserve">  </w:t>
            </w:r>
            <w:r>
              <w:rPr>
                <w:rFonts w:hint="default"/>
                <w:b/>
                <w:bCs/>
                <w:color w:val="auto"/>
                <w:sz w:val="21"/>
                <w:szCs w:val="21"/>
              </w:rPr>
              <w:t>施工</w:t>
            </w:r>
            <w:r>
              <w:rPr>
                <w:rFonts w:hint="eastAsia"/>
                <w:b/>
                <w:bCs/>
                <w:color w:val="auto"/>
                <w:sz w:val="21"/>
                <w:szCs w:val="21"/>
                <w:lang w:val="en-US" w:eastAsia="zh-CN"/>
              </w:rPr>
              <w:t>场地位置</w:t>
            </w:r>
            <w:r>
              <w:rPr>
                <w:rFonts w:hint="default"/>
                <w:b/>
                <w:bCs/>
                <w:color w:val="auto"/>
                <w:sz w:val="21"/>
                <w:szCs w:val="21"/>
              </w:rPr>
              <w:t>示意图</w:t>
            </w:r>
          </w:p>
          <w:p w14:paraId="13D35316">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（2）取土场</w:t>
            </w:r>
          </w:p>
          <w:p w14:paraId="03ACE5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2"/>
                <w:sz w:val="24"/>
                <w:szCs w:val="24"/>
                <w:highlight w:val="none"/>
                <w:shd w:val="clear" w:color="auto" w:fill="auto"/>
                <w:lang w:val="en-US" w:eastAsia="zh-CN" w:bidi="ar-SA"/>
              </w:rPr>
              <w:t>根据主体设计，项目建设开挖土石方能够满足场地回填要求，项目建设不涉及取土（石）料场。</w:t>
            </w:r>
          </w:p>
          <w:p w14:paraId="374741E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2"/>
                <w:sz w:val="24"/>
                <w:szCs w:val="24"/>
                <w:highlight w:val="none"/>
                <w:shd w:val="clear" w:color="auto" w:fill="auto"/>
                <w:lang w:val="en-US" w:eastAsia="zh-CN" w:bidi="ar-SA"/>
              </w:rPr>
              <w:t>项目</w:t>
            </w:r>
            <w:r>
              <w:rPr>
                <w:rFonts w:hint="default" w:ascii="Times New Roman" w:hAnsi="Times New Roman" w:eastAsia="宋体" w:cs="Times New Roman"/>
                <w:color w:val="auto"/>
                <w:kern w:val="2"/>
                <w:sz w:val="24"/>
                <w:szCs w:val="24"/>
                <w:highlight w:val="none"/>
                <w:shd w:val="clear" w:color="auto" w:fill="auto"/>
                <w:lang w:val="en-US" w:eastAsia="zh-CN" w:bidi="ar-SA"/>
              </w:rPr>
              <w:t>施工过程中所需</w:t>
            </w:r>
            <w:r>
              <w:rPr>
                <w:rFonts w:hint="eastAsia" w:ascii="Times New Roman" w:hAnsi="Times New Roman" w:eastAsia="宋体" w:cs="Times New Roman"/>
                <w:color w:val="auto"/>
                <w:kern w:val="2"/>
                <w:sz w:val="24"/>
                <w:szCs w:val="24"/>
                <w:highlight w:val="none"/>
                <w:shd w:val="clear" w:color="auto" w:fill="auto"/>
                <w:lang w:val="en-US" w:eastAsia="zh-CN" w:bidi="ar-SA"/>
              </w:rPr>
              <w:t>砂石料</w:t>
            </w:r>
            <w:r>
              <w:rPr>
                <w:rFonts w:hint="default" w:ascii="Times New Roman" w:hAnsi="Times New Roman" w:eastAsia="宋体" w:cs="Times New Roman"/>
                <w:color w:val="auto"/>
                <w:kern w:val="2"/>
                <w:sz w:val="24"/>
                <w:szCs w:val="24"/>
                <w:highlight w:val="none"/>
                <w:shd w:val="clear" w:color="auto" w:fill="auto"/>
                <w:lang w:val="en-US" w:eastAsia="zh-CN" w:bidi="ar-SA"/>
              </w:rPr>
              <w:t>等从周边合法</w:t>
            </w:r>
            <w:r>
              <w:rPr>
                <w:rFonts w:hint="eastAsia" w:ascii="Times New Roman" w:hAnsi="Times New Roman" w:eastAsia="宋体" w:cs="Times New Roman"/>
                <w:color w:val="auto"/>
                <w:kern w:val="2"/>
                <w:sz w:val="24"/>
                <w:szCs w:val="24"/>
                <w:highlight w:val="none"/>
                <w:shd w:val="clear" w:color="auto" w:fill="auto"/>
                <w:lang w:val="en-US" w:eastAsia="zh-CN" w:bidi="ar-SA"/>
              </w:rPr>
              <w:t>市场</w:t>
            </w:r>
            <w:r>
              <w:rPr>
                <w:rFonts w:hint="default" w:ascii="Times New Roman" w:hAnsi="Times New Roman" w:eastAsia="宋体" w:cs="Times New Roman"/>
                <w:color w:val="auto"/>
                <w:kern w:val="2"/>
                <w:sz w:val="24"/>
                <w:szCs w:val="24"/>
                <w:highlight w:val="none"/>
                <w:shd w:val="clear" w:color="auto" w:fill="auto"/>
                <w:lang w:val="en-US" w:eastAsia="zh-CN" w:bidi="ar-SA"/>
              </w:rPr>
              <w:t>购买使用，不设置砂石料场及砂石料加工系统</w:t>
            </w:r>
            <w:r>
              <w:rPr>
                <w:rFonts w:hint="eastAsia" w:ascii="Times New Roman" w:hAnsi="Times New Roman" w:eastAsia="宋体" w:cs="Times New Roman"/>
                <w:color w:val="auto"/>
                <w:kern w:val="2"/>
                <w:sz w:val="24"/>
                <w:szCs w:val="24"/>
                <w:highlight w:val="none"/>
                <w:shd w:val="clear" w:color="auto" w:fill="auto"/>
                <w:lang w:val="en-US" w:eastAsia="zh-CN" w:bidi="ar-SA"/>
              </w:rPr>
              <w:t>。</w:t>
            </w:r>
          </w:p>
          <w:p w14:paraId="6FDD8EAD">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2"/>
                <w:sz w:val="24"/>
                <w:szCs w:val="24"/>
                <w:highlight w:val="none"/>
                <w:shd w:val="clear" w:color="auto" w:fill="auto"/>
                <w:lang w:val="en-US" w:eastAsia="zh-CN" w:bidi="ar-SA"/>
              </w:rPr>
              <w:t>（3）弃土场</w:t>
            </w:r>
          </w:p>
          <w:p w14:paraId="4E8C1FE7">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olor w:val="auto"/>
              </w:rPr>
              <w:t>本工程土石方全部用于自身回填利用，不产生弃渣，不</w:t>
            </w:r>
            <w:r>
              <w:rPr>
                <w:rFonts w:hint="eastAsia" w:ascii="Times New Roman" w:hAnsi="Times New Roman" w:eastAsia="宋体" w:cs="Times New Roman"/>
                <w:color w:val="auto"/>
                <w:kern w:val="2"/>
                <w:sz w:val="24"/>
                <w:szCs w:val="24"/>
                <w:highlight w:val="none"/>
                <w:shd w:val="clear" w:color="auto" w:fill="auto"/>
                <w:lang w:val="en-US" w:eastAsia="zh-CN" w:bidi="ar-SA"/>
              </w:rPr>
              <w:t>设置</w:t>
            </w:r>
            <w:r>
              <w:rPr>
                <w:rFonts w:hint="eastAsia"/>
                <w:color w:val="auto"/>
              </w:rPr>
              <w:t>弃渣场。</w:t>
            </w:r>
          </w:p>
          <w:p w14:paraId="0CC1301A">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eastAsia" w:ascii="Times New Roman" w:hAnsi="Times New Roman" w:eastAsia="宋体" w:cs="Times New Roman"/>
                <w:color w:val="auto"/>
                <w:kern w:val="2"/>
                <w:sz w:val="24"/>
                <w:szCs w:val="24"/>
                <w:highlight w:val="none"/>
                <w:shd w:val="clear" w:color="auto" w:fill="auto"/>
                <w:lang w:val="en-US" w:eastAsia="zh-CN" w:bidi="ar-SA"/>
              </w:rPr>
              <w:t>4</w:t>
            </w: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eastAsia" w:ascii="Times New Roman" w:hAnsi="Times New Roman" w:eastAsia="宋体" w:cs="Times New Roman"/>
                <w:color w:val="auto"/>
                <w:kern w:val="2"/>
                <w:sz w:val="24"/>
                <w:szCs w:val="24"/>
                <w:highlight w:val="none"/>
                <w:shd w:val="clear" w:color="auto" w:fill="auto"/>
                <w:lang w:val="en-US" w:eastAsia="zh-CN" w:bidi="ar-SA"/>
              </w:rPr>
              <w:t>临时</w:t>
            </w:r>
            <w:r>
              <w:rPr>
                <w:rFonts w:hint="default" w:ascii="Times New Roman" w:hAnsi="Times New Roman" w:eastAsia="宋体" w:cs="Times New Roman"/>
                <w:color w:val="auto"/>
                <w:kern w:val="2"/>
                <w:sz w:val="24"/>
                <w:szCs w:val="24"/>
                <w:highlight w:val="none"/>
                <w:shd w:val="clear" w:color="auto" w:fill="auto"/>
                <w:lang w:val="en-US" w:eastAsia="zh-CN" w:bidi="ar-SA"/>
              </w:rPr>
              <w:t>表土堆场</w:t>
            </w:r>
          </w:p>
          <w:p w14:paraId="17707274">
            <w:pPr>
              <w:pStyle w:val="100"/>
              <w:keepNext w:val="0"/>
              <w:keepLines w:val="0"/>
              <w:suppressLineNumbers w:val="0"/>
              <w:spacing w:before="0" w:beforeAutospacing="0" w:after="0" w:afterAutospacing="0"/>
              <w:ind w:left="0" w:right="0" w:firstLine="480"/>
              <w:rPr>
                <w:rFonts w:hint="default"/>
                <w:color w:val="auto"/>
                <w:highlight w:val="none"/>
                <w:shd w:val="clear" w:color="auto" w:fill="auto"/>
                <w:lang w:val="zh-CN"/>
              </w:rPr>
            </w:pPr>
            <w:r>
              <w:rPr>
                <w:rFonts w:hint="default"/>
                <w:color w:val="auto"/>
              </w:rPr>
              <w:t>项目区原地貌主要为草地、林地和交通运输用地，</w:t>
            </w:r>
            <w:r>
              <w:rPr>
                <w:rFonts w:hint="eastAsia"/>
                <w:color w:val="auto"/>
              </w:rPr>
              <w:t>工程建设不进行大开挖扰动，土建开挖仅分布于光伏支架基础、箱变基础，开挖量较小，施工结束后就地平整回填，不进行表土剥离，</w:t>
            </w:r>
            <w:r>
              <w:rPr>
                <w:rFonts w:hint="default" w:ascii="Times New Roman" w:hAnsi="Times New Roman" w:eastAsia="宋体" w:cs="Times New Roman"/>
                <w:color w:val="auto"/>
                <w:kern w:val="2"/>
                <w:sz w:val="24"/>
                <w:szCs w:val="24"/>
                <w:highlight w:val="none"/>
                <w:shd w:val="clear" w:color="auto" w:fill="auto"/>
                <w:lang w:val="en-US" w:eastAsia="zh-CN" w:bidi="ar-SA"/>
              </w:rPr>
              <w:t>不设置</w:t>
            </w:r>
            <w:r>
              <w:rPr>
                <w:rFonts w:hint="eastAsia"/>
                <w:color w:val="auto"/>
              </w:rPr>
              <w:t>表土堆场。</w:t>
            </w:r>
          </w:p>
        </w:tc>
      </w:tr>
      <w:tr w14:paraId="6D4AD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Align w:val="center"/>
          </w:tcPr>
          <w:p w14:paraId="42041BCB">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施工方案</w:t>
            </w:r>
          </w:p>
        </w:tc>
        <w:tc>
          <w:tcPr>
            <w:tcW w:w="4551" w:type="pct"/>
            <w:vAlign w:val="center"/>
          </w:tcPr>
          <w:p w14:paraId="1D32BE4A">
            <w:pPr>
              <w:keepNext w:val="0"/>
              <w:keepLines w:val="0"/>
              <w:widowControl/>
              <w:suppressLineNumbers w:val="0"/>
              <w:shd w:val="clear"/>
              <w:spacing w:before="0" w:beforeAutospacing="0" w:after="0" w:afterAutospacing="0" w:line="360" w:lineRule="auto"/>
              <w:ind w:left="0" w:right="0" w:firstLine="482" w:firstLineChars="200"/>
              <w:jc w:val="left"/>
              <w:rPr>
                <w:rFonts w:hint="default"/>
                <w:color w:val="auto"/>
                <w:sz w:val="24"/>
                <w:highlight w:val="none"/>
                <w:shd w:val="clear" w:color="auto" w:fill="auto"/>
              </w:rPr>
            </w:pPr>
            <w:r>
              <w:rPr>
                <w:rFonts w:hint="default"/>
                <w:b/>
                <w:bCs/>
                <w:color w:val="auto"/>
                <w:kern w:val="0"/>
                <w:sz w:val="24"/>
                <w:highlight w:val="none"/>
                <w:shd w:val="clear" w:color="auto" w:fill="auto"/>
                <w:lang w:bidi="ar"/>
              </w:rPr>
              <w:t>1、施工工艺流程简述及产污节点</w:t>
            </w:r>
          </w:p>
          <w:p w14:paraId="6B8B237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本项目主体工程主要包括：光伏阵列基础及支架安装、逆变器安装、箱式变压器基础及安装</w:t>
            </w:r>
            <w:r>
              <w:rPr>
                <w:rFonts w:hint="eastAsia" w:cs="Times New Roman"/>
                <w:color w:val="auto"/>
                <w:kern w:val="0"/>
                <w:sz w:val="24"/>
                <w:lang w:val="en-US" w:eastAsia="zh-CN"/>
              </w:rPr>
              <w:t>、埋地电缆</w:t>
            </w:r>
            <w:r>
              <w:rPr>
                <w:rFonts w:hint="eastAsia" w:ascii="Times New Roman" w:hAnsi="Times New Roman" w:eastAsia="宋体" w:cs="Times New Roman"/>
                <w:color w:val="auto"/>
                <w:kern w:val="0"/>
                <w:sz w:val="24"/>
                <w:lang w:val="en-US" w:eastAsia="zh-CN"/>
              </w:rPr>
              <w:t>敷设等。</w:t>
            </w:r>
          </w:p>
          <w:p w14:paraId="40C0598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val="en-US"/>
              </w:rPr>
            </w:pPr>
            <w:r>
              <w:rPr>
                <w:rFonts w:hint="eastAsia"/>
                <w:color w:val="auto"/>
                <w:kern w:val="0"/>
                <w:sz w:val="24"/>
              </w:rPr>
              <w:t>（1）</w:t>
            </w:r>
            <w:r>
              <w:rPr>
                <w:rFonts w:hint="eastAsia"/>
                <w:color w:val="auto"/>
                <w:kern w:val="0"/>
                <w:sz w:val="24"/>
                <w:lang w:val="en-US" w:eastAsia="zh-CN"/>
              </w:rPr>
              <w:t>光伏阵列基础施工及组件安装</w:t>
            </w:r>
          </w:p>
          <w:p w14:paraId="39417C8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kern w:val="0"/>
                <w:sz w:val="24"/>
                <w:lang w:val="en-US" w:eastAsia="zh-CN"/>
              </w:rPr>
            </w:pPr>
            <w:r>
              <w:rPr>
                <w:rFonts w:hint="eastAsia"/>
                <w:color w:val="auto"/>
                <w:kern w:val="0"/>
                <w:sz w:val="24"/>
                <w:lang w:val="en-US" w:eastAsia="zh-CN"/>
              </w:rPr>
              <w:t>①光伏阵列基础施工</w:t>
            </w:r>
          </w:p>
          <w:p w14:paraId="167FC7B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光伏阵列基础采用钻孔灌注桩形式，混凝土灌注桩基础施工包括钻孔、钢筋笼制作与安装、混凝土浇筑。</w:t>
            </w:r>
          </w:p>
          <w:p w14:paraId="4345DD07">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ascii="Times New Roman" w:hAnsi="Times New Roman" w:eastAsia="宋体" w:cs="Times New Roman"/>
                <w:color w:val="auto"/>
                <w:kern w:val="0"/>
                <w:sz w:val="24"/>
                <w:szCs w:val="24"/>
                <w:lang w:val="en-US" w:eastAsia="zh-CN" w:bidi="ar-SA"/>
              </w:rPr>
              <w:t>②</w:t>
            </w:r>
            <w:r>
              <w:rPr>
                <w:rFonts w:hint="eastAsia"/>
                <w:color w:val="auto"/>
                <w:kern w:val="0"/>
                <w:sz w:val="24"/>
                <w:lang w:val="en-US" w:eastAsia="zh-CN"/>
              </w:rPr>
              <w:t>光伏组件安装</w:t>
            </w:r>
          </w:p>
          <w:p w14:paraId="59170D32">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eastAsia="zh-CN"/>
              </w:rPr>
              <w:t>本项目</w:t>
            </w:r>
            <w:r>
              <w:rPr>
                <w:rFonts w:hint="default"/>
                <w:color w:val="auto"/>
                <w:kern w:val="0"/>
                <w:sz w:val="24"/>
              </w:rPr>
              <w:t>光伏组件全部采用固定式安装，待光伏组件支架基础验收合格后，进行光伏组件的安装，光伏组件的安装分为两部分：支架安装、光伏组件安装。</w:t>
            </w:r>
          </w:p>
          <w:p w14:paraId="147221D1">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光伏阵列支架表面应平整，固定光伏组件的支架面必须调整在同一平面；各组件</w:t>
            </w:r>
            <w:r>
              <w:rPr>
                <w:rFonts w:hint="eastAsia"/>
                <w:color w:val="auto"/>
                <w:kern w:val="0"/>
                <w:sz w:val="24"/>
                <w:lang w:eastAsia="zh-CN"/>
              </w:rPr>
              <w:t>应</w:t>
            </w:r>
            <w:r>
              <w:rPr>
                <w:rFonts w:hint="default"/>
                <w:color w:val="auto"/>
                <w:kern w:val="0"/>
                <w:sz w:val="24"/>
              </w:rPr>
              <w:t>整齐并成一直线。光伏组件支架安装工艺流程：安装立柱→安装横梁→调整支架倾角→安装檩条→支架整体调整→支架螺栓紧固→电池组件就位。</w:t>
            </w:r>
          </w:p>
          <w:p w14:paraId="72F13104">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安装光伏组件前，应根据组件参数对每个光伏组件进行检查测试，其参数值应符合产品出厂指标。一般测试项目有：开路电压、短路电流。按电流分档相关要求，将同批次工作参数接近的组件在同一子方阵内；将额定工作电流相等或相接近的组件进行</w:t>
            </w:r>
            <w:r>
              <w:rPr>
                <w:rFonts w:hint="eastAsia"/>
                <w:color w:val="auto"/>
                <w:kern w:val="0"/>
                <w:sz w:val="24"/>
                <w:lang w:eastAsia="zh-CN"/>
              </w:rPr>
              <w:t>串联</w:t>
            </w:r>
            <w:r>
              <w:rPr>
                <w:rFonts w:hint="default"/>
                <w:color w:val="auto"/>
                <w:kern w:val="0"/>
                <w:sz w:val="24"/>
              </w:rPr>
              <w:t>。</w:t>
            </w:r>
          </w:p>
          <w:p w14:paraId="3C20921E">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安装光伏组件时，应轻拿轻放，防止硬物刮伤和撞击表面玻璃。组件在支架上的安装位置及接线盒排列方式应符合施工设计规定。组件固定面与支架表面不吻合时，应用铁垫片垫平后方可紧固连接螺丝，严禁用紧拧连接螺丝的方法使其吻合，固定螺栓应加防松垫片并拧紧。</w:t>
            </w:r>
          </w:p>
          <w:p w14:paraId="3B3F3A1D">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kern w:val="0"/>
                <w:sz w:val="24"/>
              </w:rPr>
            </w:pPr>
            <w:r>
              <w:rPr>
                <w:rFonts w:hint="default"/>
                <w:color w:val="auto"/>
                <w:kern w:val="0"/>
                <w:sz w:val="24"/>
              </w:rPr>
              <w:t>光伏组件电缆连接采取串接方式，插接要紧固，引出线应预留一定的余量。</w:t>
            </w:r>
          </w:p>
          <w:p w14:paraId="0D751F3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val="en-US"/>
              </w:rPr>
            </w:pPr>
            <w:r>
              <w:rPr>
                <w:rFonts w:hint="eastAsia"/>
                <w:color w:val="auto"/>
                <w:kern w:val="0"/>
                <w:sz w:val="24"/>
                <w:lang w:val="en-US" w:eastAsia="zh-CN"/>
              </w:rPr>
              <w:t>（2）集电线路施工</w:t>
            </w:r>
          </w:p>
          <w:p w14:paraId="62414101">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本工程光伏</w:t>
            </w:r>
            <w:r>
              <w:rPr>
                <w:rFonts w:hint="eastAsia" w:cs="Times New Roman"/>
                <w:color w:val="auto"/>
                <w:kern w:val="0"/>
                <w:sz w:val="24"/>
                <w:szCs w:val="24"/>
                <w:lang w:val="en-US" w:eastAsia="zh-CN" w:bidi="ar-SA"/>
              </w:rPr>
              <w:t>场区</w:t>
            </w:r>
            <w:r>
              <w:rPr>
                <w:rFonts w:hint="eastAsia" w:ascii="Times New Roman" w:hAnsi="Times New Roman" w:eastAsia="宋体" w:cs="Times New Roman"/>
                <w:color w:val="auto"/>
                <w:kern w:val="0"/>
                <w:sz w:val="24"/>
                <w:szCs w:val="24"/>
                <w:lang w:val="en-US" w:eastAsia="zh-CN" w:bidi="ar-SA"/>
              </w:rPr>
              <w:t>集电线路采用</w:t>
            </w:r>
            <w:r>
              <w:rPr>
                <w:rFonts w:hint="default" w:ascii="鏂板畫浣?" w:hAnsi="鏂板畫浣?" w:eastAsia="鏂板畫浣?" w:cs="鏂板畫浣?"/>
                <w:color w:val="auto"/>
                <w:kern w:val="0"/>
                <w:sz w:val="24"/>
                <w:szCs w:val="24"/>
                <w:lang w:val="en-US" w:eastAsia="zh-CN" w:bidi="ar"/>
              </w:rPr>
              <w:t>电缆槽盒敷设，</w:t>
            </w:r>
            <w:r>
              <w:rPr>
                <w:rFonts w:hint="eastAsia" w:ascii="鏂板畫浣?" w:hAnsi="鏂板畫浣?" w:eastAsia="鏂板畫浣?" w:cs="鏂板畫浣?"/>
                <w:color w:val="auto"/>
                <w:kern w:val="0"/>
                <w:sz w:val="24"/>
                <w:szCs w:val="24"/>
                <w:lang w:val="en-US" w:eastAsia="zh-CN" w:bidi="ar"/>
              </w:rPr>
              <w:t>本次评价集电线路部分包括</w:t>
            </w:r>
            <w:r>
              <w:rPr>
                <w:rFonts w:hint="eastAsia"/>
                <w:color w:val="auto"/>
                <w:sz w:val="24"/>
                <w:szCs w:val="24"/>
                <w:lang w:val="en-US" w:eastAsia="zh-CN"/>
              </w:rPr>
              <w:t>电池组件之间</w:t>
            </w:r>
            <w:r>
              <w:rPr>
                <w:rFonts w:hint="default" w:ascii="Times New Roman" w:hAnsi="Times New Roman" w:eastAsia="宋体" w:cs="Times New Roman"/>
                <w:color w:val="auto"/>
                <w:kern w:val="0"/>
                <w:sz w:val="24"/>
                <w:szCs w:val="24"/>
                <w:lang w:val="en-US" w:eastAsia="zh-CN" w:bidi="ar"/>
              </w:rPr>
              <w:t>1500V耐压</w:t>
            </w:r>
            <w:r>
              <w:rPr>
                <w:rFonts w:hint="eastAsia"/>
                <w:color w:val="auto"/>
                <w:sz w:val="24"/>
                <w:szCs w:val="24"/>
                <w:lang w:val="en-US" w:eastAsia="zh-CN"/>
              </w:rPr>
              <w:t>的光伏电缆和逆变器出线电缆。</w:t>
            </w:r>
            <w:r>
              <w:rPr>
                <w:rFonts w:hint="default" w:eastAsia="宋体"/>
                <w:b/>
                <w:bCs/>
                <w:color w:val="auto"/>
                <w:sz w:val="24"/>
                <w:szCs w:val="24"/>
                <w:lang w:val="en-US" w:eastAsia="zh-CN"/>
              </w:rPr>
              <w:t>35kV</w:t>
            </w:r>
            <w:r>
              <w:rPr>
                <w:rFonts w:hint="eastAsia"/>
                <w:b/>
                <w:bCs/>
                <w:color w:val="auto"/>
                <w:sz w:val="24"/>
                <w:szCs w:val="24"/>
                <w:lang w:val="en-US" w:eastAsia="zh-CN"/>
              </w:rPr>
              <w:t>集电线路按照</w:t>
            </w:r>
            <w:r>
              <w:rPr>
                <w:rFonts w:hint="eastAsia" w:eastAsia="宋体"/>
                <w:b/>
                <w:bCs/>
                <w:color w:val="auto"/>
                <w:sz w:val="24"/>
                <w:szCs w:val="24"/>
                <w:lang w:val="en-US" w:eastAsia="zh-CN"/>
              </w:rPr>
              <w:t>送出</w:t>
            </w:r>
            <w:r>
              <w:rPr>
                <w:rFonts w:hint="default" w:eastAsia="宋体"/>
                <w:b/>
                <w:bCs/>
                <w:color w:val="auto"/>
                <w:sz w:val="24"/>
                <w:szCs w:val="24"/>
                <w:lang w:val="en-US" w:eastAsia="zh-CN"/>
              </w:rPr>
              <w:t>线路</w:t>
            </w:r>
            <w:r>
              <w:rPr>
                <w:rFonts w:hint="eastAsia" w:eastAsia="宋体"/>
                <w:b/>
                <w:bCs/>
                <w:color w:val="auto"/>
                <w:sz w:val="24"/>
                <w:szCs w:val="24"/>
                <w:lang w:val="en-US" w:eastAsia="zh-CN"/>
              </w:rPr>
              <w:t>单独进行核准，</w:t>
            </w:r>
            <w:r>
              <w:rPr>
                <w:rFonts w:hint="eastAsia" w:eastAsia="宋体"/>
                <w:b/>
                <w:bCs/>
                <w:color w:val="auto"/>
                <w:sz w:val="24"/>
                <w:szCs w:val="24"/>
              </w:rPr>
              <w:t>本次评价不包含</w:t>
            </w:r>
            <w:r>
              <w:rPr>
                <w:rFonts w:hint="eastAsia" w:eastAsia="宋体"/>
                <w:b/>
                <w:bCs/>
                <w:color w:val="auto"/>
                <w:sz w:val="24"/>
                <w:szCs w:val="24"/>
                <w:lang w:val="en-US" w:eastAsia="zh-CN"/>
              </w:rPr>
              <w:t>35kV</w:t>
            </w:r>
            <w:r>
              <w:rPr>
                <w:rFonts w:hint="eastAsia"/>
                <w:b/>
                <w:bCs/>
                <w:color w:val="auto"/>
                <w:sz w:val="24"/>
                <w:szCs w:val="24"/>
              </w:rPr>
              <w:t>送出线路工程内容</w:t>
            </w:r>
            <w:r>
              <w:rPr>
                <w:rFonts w:hint="eastAsia" w:ascii="Times New Roman" w:hAnsi="Times New Roman" w:eastAsia="宋体" w:cs="Times New Roman"/>
                <w:color w:val="auto"/>
                <w:kern w:val="0"/>
                <w:sz w:val="24"/>
                <w:szCs w:val="24"/>
                <w:lang w:val="en-US" w:eastAsia="zh-CN" w:bidi="ar-SA"/>
              </w:rPr>
              <w:t>。</w:t>
            </w:r>
          </w:p>
          <w:p w14:paraId="09774B4B">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施工工序：画线定位</w:t>
            </w:r>
            <w:r>
              <w:rPr>
                <w:rFonts w:hint="default"/>
                <w:color w:val="auto"/>
                <w:kern w:val="0"/>
                <w:sz w:val="24"/>
              </w:rPr>
              <w:t>→</w:t>
            </w:r>
            <w:r>
              <w:rPr>
                <w:rFonts w:hint="eastAsia"/>
                <w:color w:val="auto"/>
                <w:kern w:val="0"/>
                <w:sz w:val="24"/>
                <w:lang w:val="en-US" w:eastAsia="zh-CN"/>
              </w:rPr>
              <w:t>槽盒吊件安装</w:t>
            </w:r>
            <w:r>
              <w:rPr>
                <w:rFonts w:hint="default"/>
                <w:color w:val="auto"/>
                <w:kern w:val="0"/>
                <w:sz w:val="24"/>
              </w:rPr>
              <w:t>→</w:t>
            </w:r>
            <w:r>
              <w:rPr>
                <w:rFonts w:hint="eastAsia"/>
                <w:color w:val="auto"/>
                <w:kern w:val="0"/>
                <w:sz w:val="24"/>
                <w:lang w:val="en-US" w:eastAsia="zh-CN"/>
              </w:rPr>
              <w:t>槽盒接地保护</w:t>
            </w:r>
            <w:r>
              <w:rPr>
                <w:rFonts w:hint="default"/>
                <w:color w:val="auto"/>
                <w:kern w:val="0"/>
                <w:sz w:val="24"/>
              </w:rPr>
              <w:t>→</w:t>
            </w:r>
            <w:r>
              <w:rPr>
                <w:rFonts w:hint="eastAsia"/>
                <w:color w:val="auto"/>
                <w:kern w:val="0"/>
                <w:sz w:val="24"/>
                <w:lang w:val="en-US" w:eastAsia="zh-CN"/>
              </w:rPr>
              <w:t>槽盒调直。</w:t>
            </w:r>
          </w:p>
          <w:p w14:paraId="4FE98D4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①画线定位</w:t>
            </w:r>
          </w:p>
          <w:p w14:paraId="5B9BF94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根据设计图或施工方案，从槽盒始端至终端（先干线后支线）弹出水平或垂直线，按弹好的线和规定的间距确定支吊架固定胀栓的具体位置并打眼。</w:t>
            </w:r>
          </w:p>
          <w:p w14:paraId="6D2F54A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②吊架安装</w:t>
            </w:r>
          </w:p>
          <w:p w14:paraId="79B8AC7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吊架所用钢材应平直，无扭曲。下料后长短偏差应在5mm范围内，切口处无卷边、毛刺。安装完成后横担下面露出的吊杆丝扣长度应一致。拉螺丝固定后，其头部偏斜值不应大于2mm。垂直安装的支架间距不大于 2m。在进出接线盒、箱，拐角、转弯处和变形缝、膨胀节两端及丁字接头的三端500m以内应设支持点。</w:t>
            </w:r>
          </w:p>
          <w:p w14:paraId="33877E8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③槽盒安装</w:t>
            </w:r>
          </w:p>
          <w:p w14:paraId="13691F3B">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val="en-US" w:eastAsia="zh-CN"/>
              </w:rPr>
            </w:pPr>
            <w:r>
              <w:rPr>
                <w:rFonts w:hint="eastAsia"/>
                <w:color w:val="auto"/>
                <w:kern w:val="0"/>
                <w:sz w:val="24"/>
                <w:lang w:val="en-US" w:eastAsia="zh-CN"/>
              </w:rPr>
              <w:t>槽盒安装接口应平整，接缝处应紧密平直，连接板两端不少于2个有防松螺帽或防松垫圈的连接固定螺栓，螺母置于槽盒外侧。盖装上后应平直，无翘角，出线口的位置准确。</w:t>
            </w:r>
          </w:p>
          <w:p w14:paraId="577AE694">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kern w:val="0"/>
                <w:sz w:val="24"/>
                <w:lang w:val="en-US" w:eastAsia="zh-CN"/>
              </w:rPr>
              <w:t>④槽盒与盒、箱等连接时，进线和出线口等处应采用抱脚或翻边连接，并用螺丝紧固，末端应加装封堵。</w:t>
            </w:r>
          </w:p>
          <w:p w14:paraId="35234F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lang w:val="en-US"/>
              </w:rPr>
            </w:pPr>
            <w:r>
              <w:rPr>
                <w:rFonts w:hint="eastAsia"/>
                <w:color w:val="auto"/>
                <w:kern w:val="0"/>
                <w:sz w:val="24"/>
                <w:lang w:val="en-US" w:eastAsia="zh-CN"/>
              </w:rPr>
              <w:t>（3）建筑工程主要施工工艺</w:t>
            </w:r>
          </w:p>
          <w:p w14:paraId="543411B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①</w:t>
            </w:r>
            <w:r>
              <w:rPr>
                <w:rFonts w:hint="eastAsia"/>
                <w:color w:val="auto"/>
                <w:kern w:val="0"/>
                <w:sz w:val="24"/>
              </w:rPr>
              <w:t>土石方工程</w:t>
            </w:r>
          </w:p>
          <w:p w14:paraId="0860F2E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本项目接地、电池方阵区的场地平整等都涉及土石方的开挖。土方开挖可采用挖掘机直接开挖，集电线路采用人工开挖或者小挖机进行开挖，道路修建时候避免进行大规模的开挖，在坡度大的区域进行人工施工；当遇到孤石地段时，可用机械破碎后再采用挖掘机开挖。</w:t>
            </w:r>
          </w:p>
          <w:p w14:paraId="1B8005B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②</w:t>
            </w:r>
            <w:r>
              <w:rPr>
                <w:rFonts w:hint="eastAsia"/>
                <w:color w:val="auto"/>
                <w:kern w:val="0"/>
                <w:sz w:val="24"/>
              </w:rPr>
              <w:t>混凝土工程</w:t>
            </w:r>
          </w:p>
          <w:p w14:paraId="3F16898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lang w:eastAsia="zh-CN"/>
              </w:rPr>
            </w:pPr>
            <w:r>
              <w:rPr>
                <w:rFonts w:hint="eastAsia"/>
                <w:color w:val="auto"/>
                <w:kern w:val="0"/>
                <w:sz w:val="24"/>
              </w:rPr>
              <w:t>光伏阵列</w:t>
            </w:r>
            <w:r>
              <w:rPr>
                <w:rFonts w:hint="eastAsia"/>
                <w:color w:val="auto"/>
                <w:kern w:val="0"/>
                <w:sz w:val="24"/>
                <w:lang w:eastAsia="zh-CN"/>
              </w:rPr>
              <w:t>支架</w:t>
            </w:r>
            <w:r>
              <w:rPr>
                <w:rFonts w:hint="eastAsia"/>
                <w:color w:val="auto"/>
                <w:kern w:val="0"/>
                <w:sz w:val="24"/>
              </w:rPr>
              <w:t>采用混凝土灌注桩基础，混凝土灌注桩基础桩基采用直径为300mm</w:t>
            </w:r>
            <w:r>
              <w:rPr>
                <w:rFonts w:hint="eastAsia"/>
                <w:color w:val="auto"/>
                <w:kern w:val="0"/>
                <w:sz w:val="24"/>
                <w:lang w:eastAsia="zh-CN"/>
              </w:rPr>
              <w:t>。</w:t>
            </w:r>
          </w:p>
          <w:p w14:paraId="31E95CE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val="en-US" w:eastAsia="zh-CN"/>
              </w:rPr>
              <w:t>（4）</w:t>
            </w:r>
            <w:r>
              <w:rPr>
                <w:rFonts w:hint="eastAsia"/>
                <w:color w:val="auto"/>
                <w:kern w:val="0"/>
                <w:sz w:val="24"/>
              </w:rPr>
              <w:t>设备安装</w:t>
            </w:r>
          </w:p>
          <w:p w14:paraId="0585E46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val="en-US" w:eastAsia="zh-CN"/>
              </w:rPr>
              <w:t>组串式逆变器安装在光伏支架上接入箱变，再由地埋集电</w:t>
            </w:r>
            <w:r>
              <w:rPr>
                <w:rFonts w:hint="eastAsia"/>
                <w:color w:val="auto"/>
                <w:kern w:val="0"/>
                <w:sz w:val="24"/>
              </w:rPr>
              <w:t>线路</w:t>
            </w:r>
            <w:r>
              <w:rPr>
                <w:rFonts w:hint="eastAsia"/>
                <w:color w:val="auto"/>
                <w:kern w:val="0"/>
                <w:sz w:val="24"/>
                <w:lang w:val="en-US" w:eastAsia="zh-CN"/>
              </w:rPr>
              <w:t>接箱变</w:t>
            </w:r>
            <w:r>
              <w:rPr>
                <w:rFonts w:hint="eastAsia"/>
                <w:color w:val="auto"/>
                <w:kern w:val="0"/>
                <w:sz w:val="24"/>
              </w:rPr>
              <w:t>。</w:t>
            </w:r>
            <w:r>
              <w:rPr>
                <w:rFonts w:hint="eastAsia"/>
                <w:color w:val="auto"/>
                <w:kern w:val="0"/>
                <w:sz w:val="24"/>
                <w:lang w:val="en-US" w:eastAsia="zh-CN"/>
              </w:rPr>
              <w:t>根据现场实际情况，通过螺栓将逆变器固定在光伏支架上。</w:t>
            </w:r>
            <w:r>
              <w:rPr>
                <w:rFonts w:hint="eastAsia"/>
                <w:color w:val="auto"/>
                <w:kern w:val="0"/>
                <w:sz w:val="24"/>
              </w:rPr>
              <w:t>采用抱箍将横梁安装于立柱上，设备通过螺栓固定于横梁上，安装位置由电气专业确定。</w:t>
            </w:r>
          </w:p>
          <w:p w14:paraId="6DB77627">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2、</w:t>
            </w:r>
            <w:r>
              <w:rPr>
                <w:rFonts w:hint="default"/>
                <w:b/>
                <w:bCs/>
                <w:color w:val="auto"/>
                <w:kern w:val="0"/>
                <w:sz w:val="24"/>
                <w:highlight w:val="none"/>
                <w:shd w:val="clear" w:color="auto" w:fill="auto"/>
              </w:rPr>
              <w:t>施工组织</w:t>
            </w:r>
          </w:p>
          <w:p w14:paraId="5B83C6A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eastAsia="宋体"/>
                <w:color w:val="auto"/>
                <w:sz w:val="24"/>
                <w:szCs w:val="24"/>
                <w:highlight w:val="none"/>
                <w:shd w:val="clear" w:color="auto" w:fill="auto"/>
                <w:lang w:val="en-US" w:eastAsia="zh-CN"/>
              </w:rPr>
            </w:pPr>
            <w:r>
              <w:rPr>
                <w:rFonts w:hint="default"/>
                <w:color w:val="auto"/>
                <w:kern w:val="0"/>
                <w:sz w:val="24"/>
                <w:szCs w:val="24"/>
                <w:highlight w:val="none"/>
                <w:shd w:val="clear" w:color="auto" w:fill="auto"/>
              </w:rPr>
              <w:t>（1）</w:t>
            </w:r>
            <w:r>
              <w:rPr>
                <w:rFonts w:hint="eastAsia"/>
                <w:color w:val="auto"/>
                <w:kern w:val="0"/>
                <w:sz w:val="24"/>
                <w:szCs w:val="24"/>
                <w:highlight w:val="none"/>
                <w:shd w:val="clear" w:color="auto" w:fill="auto"/>
                <w:lang w:val="en-US" w:eastAsia="zh-CN"/>
              </w:rPr>
              <w:t>施工交通</w:t>
            </w:r>
          </w:p>
          <w:p w14:paraId="25904134">
            <w:pPr>
              <w:pStyle w:val="112"/>
              <w:keepNext w:val="0"/>
              <w:keepLines w:val="0"/>
              <w:suppressLineNumbers w:val="0"/>
              <w:shd w:val="clear"/>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t>对外交通运输拟采用公路运输，主要线路为：昆明－寻甸县－白石岩光伏电站各地块，总里程约137km。公路交通线路具体条件如下：</w:t>
            </w:r>
          </w:p>
          <w:p w14:paraId="0FD7DDC0">
            <w:pPr>
              <w:pStyle w:val="112"/>
              <w:keepNext w:val="0"/>
              <w:keepLines w:val="0"/>
              <w:suppressLineNumbers w:val="0"/>
              <w:shd w:val="clear"/>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t>1）昆明市～寻甸县，嵩昆高速、银昆高速，里程约90km，满足运输要求；</w:t>
            </w:r>
          </w:p>
          <w:p w14:paraId="0A62A367">
            <w:pPr>
              <w:pStyle w:val="112"/>
              <w:keepNext w:val="0"/>
              <w:keepLines w:val="0"/>
              <w:suppressLineNumbers w:val="0"/>
              <w:shd w:val="clear"/>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t>2）寻甸县～场址各主线道路起点，S258寻白线，里程约47km，满足运输要求。</w:t>
            </w:r>
          </w:p>
          <w:p w14:paraId="58A169D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lang w:eastAsia="zh-CN"/>
              </w:rPr>
              <w:t>（</w:t>
            </w:r>
            <w:r>
              <w:rPr>
                <w:rFonts w:hint="eastAsia"/>
                <w:color w:val="auto"/>
                <w:kern w:val="0"/>
                <w:sz w:val="24"/>
                <w:szCs w:val="24"/>
                <w:highlight w:val="none"/>
                <w:shd w:val="clear" w:color="auto" w:fill="auto"/>
                <w:lang w:val="en-US" w:eastAsia="zh-CN"/>
              </w:rPr>
              <w:t>2</w:t>
            </w:r>
            <w:r>
              <w:rPr>
                <w:rFonts w:hint="eastAsia"/>
                <w:color w:val="auto"/>
                <w:kern w:val="0"/>
                <w:sz w:val="24"/>
                <w:szCs w:val="24"/>
                <w:highlight w:val="none"/>
                <w:shd w:val="clear" w:color="auto" w:fill="auto"/>
                <w:lang w:eastAsia="zh-CN"/>
              </w:rPr>
              <w:t>）</w:t>
            </w:r>
            <w:r>
              <w:rPr>
                <w:rFonts w:hint="eastAsia"/>
                <w:color w:val="auto"/>
                <w:kern w:val="0"/>
                <w:sz w:val="24"/>
                <w:szCs w:val="24"/>
                <w:highlight w:val="none"/>
                <w:shd w:val="clear" w:color="auto" w:fill="auto"/>
              </w:rPr>
              <w:t>施工场地布置</w:t>
            </w:r>
          </w:p>
          <w:p w14:paraId="187339AF">
            <w:pPr>
              <w:pStyle w:val="140"/>
              <w:keepNext w:val="0"/>
              <w:keepLines w:val="0"/>
              <w:suppressLineNumbers w:val="0"/>
              <w:shd w:val="clear"/>
              <w:spacing w:before="0" w:beforeAutospacing="0" w:after="0" w:afterAutospacing="0" w:line="360" w:lineRule="auto"/>
              <w:ind w:left="0" w:right="0" w:firstLine="480"/>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color w:val="auto"/>
                <w:sz w:val="24"/>
                <w:szCs w:val="24"/>
                <w:lang w:val="en-US" w:eastAsia="zh-CN"/>
              </w:rPr>
              <w:t>项目区</w:t>
            </w:r>
            <w:r>
              <w:rPr>
                <w:rFonts w:hint="default"/>
                <w:color w:val="auto"/>
                <w:sz w:val="24"/>
                <w:szCs w:val="24"/>
              </w:rPr>
              <w:t>共布置</w:t>
            </w:r>
            <w:r>
              <w:rPr>
                <w:rFonts w:hint="eastAsia"/>
                <w:color w:val="auto"/>
                <w:sz w:val="24"/>
                <w:szCs w:val="24"/>
              </w:rPr>
              <w:t>1</w:t>
            </w:r>
            <w:r>
              <w:rPr>
                <w:rFonts w:hint="default"/>
                <w:color w:val="auto"/>
                <w:sz w:val="24"/>
                <w:szCs w:val="24"/>
              </w:rPr>
              <w:t>个施工场地，占地面积约</w:t>
            </w:r>
            <w:r>
              <w:rPr>
                <w:rFonts w:hint="eastAsia"/>
                <w:color w:val="auto"/>
                <w:sz w:val="24"/>
                <w:szCs w:val="24"/>
              </w:rPr>
              <w:t>0.25</w:t>
            </w:r>
            <w:r>
              <w:rPr>
                <w:rFonts w:hint="default"/>
                <w:color w:val="auto"/>
                <w:sz w:val="24"/>
                <w:szCs w:val="24"/>
              </w:rPr>
              <w:t>hm</w:t>
            </w:r>
            <w:r>
              <w:rPr>
                <w:rFonts w:hint="default"/>
                <w:color w:val="auto"/>
                <w:sz w:val="24"/>
                <w:szCs w:val="24"/>
                <w:vertAlign w:val="superscript"/>
              </w:rPr>
              <w:t>2</w:t>
            </w:r>
            <w:r>
              <w:rPr>
                <w:rFonts w:hint="eastAsia"/>
                <w:color w:val="auto"/>
                <w:sz w:val="24"/>
                <w:szCs w:val="24"/>
              </w:rPr>
              <w:t>，布设在项目区东北地块南侧公路旁空地</w:t>
            </w:r>
            <w:r>
              <w:rPr>
                <w:rFonts w:hint="default"/>
                <w:color w:val="auto"/>
                <w:sz w:val="24"/>
                <w:szCs w:val="24"/>
              </w:rPr>
              <w:t>平缓区域</w:t>
            </w:r>
            <w:r>
              <w:rPr>
                <w:rFonts w:hint="eastAsia"/>
                <w:color w:val="auto"/>
                <w:sz w:val="24"/>
                <w:szCs w:val="24"/>
              </w:rPr>
              <w:t>内</w:t>
            </w:r>
            <w:r>
              <w:rPr>
                <w:rFonts w:hint="eastAsia"/>
                <w:color w:val="auto"/>
                <w:sz w:val="24"/>
                <w:szCs w:val="24"/>
                <w:lang w:eastAsia="zh-CN"/>
              </w:rPr>
              <w:t>，</w:t>
            </w:r>
            <w:r>
              <w:rPr>
                <w:rFonts w:hint="default"/>
                <w:color w:val="auto"/>
                <w:sz w:val="24"/>
                <w:szCs w:val="24"/>
              </w:rPr>
              <w:t>主要</w:t>
            </w:r>
            <w:r>
              <w:rPr>
                <w:rFonts w:hint="eastAsia"/>
                <w:color w:val="auto"/>
                <w:sz w:val="24"/>
                <w:szCs w:val="24"/>
              </w:rPr>
              <w:t>用作仓库、</w:t>
            </w:r>
            <w:r>
              <w:rPr>
                <w:rFonts w:hint="default"/>
                <w:color w:val="auto"/>
                <w:sz w:val="24"/>
                <w:szCs w:val="24"/>
              </w:rPr>
              <w:t>钢结构加工及堆放、太阳电池组件堆放</w:t>
            </w:r>
            <w:r>
              <w:rPr>
                <w:rFonts w:hint="eastAsia"/>
                <w:color w:val="auto"/>
                <w:sz w:val="24"/>
                <w:szCs w:val="24"/>
              </w:rPr>
              <w:t>，</w:t>
            </w:r>
            <w:r>
              <w:rPr>
                <w:rFonts w:hint="default"/>
                <w:color w:val="auto"/>
                <w:sz w:val="24"/>
                <w:szCs w:val="24"/>
              </w:rPr>
              <w:t>材料加工</w:t>
            </w:r>
            <w:r>
              <w:rPr>
                <w:rFonts w:hint="eastAsia"/>
                <w:color w:val="auto"/>
                <w:sz w:val="24"/>
                <w:szCs w:val="24"/>
              </w:rPr>
              <w:t>，</w:t>
            </w:r>
            <w:r>
              <w:rPr>
                <w:rFonts w:hint="eastAsia"/>
                <w:color w:val="auto"/>
                <w:sz w:val="24"/>
                <w:szCs w:val="24"/>
                <w:lang w:val="en-US" w:eastAsia="zh-CN"/>
              </w:rPr>
              <w:t>不设施工营地</w:t>
            </w:r>
            <w:r>
              <w:rPr>
                <w:rFonts w:hint="eastAsia"/>
                <w:color w:val="auto"/>
                <w:sz w:val="24"/>
                <w:szCs w:val="24"/>
              </w:rPr>
              <w:t>。</w:t>
            </w:r>
          </w:p>
          <w:p w14:paraId="527EB8B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rPr>
              <w:t>（3）施工建筑材料来源</w:t>
            </w:r>
          </w:p>
          <w:p w14:paraId="05816074">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kern w:val="0"/>
                <w:sz w:val="24"/>
                <w:szCs w:val="24"/>
                <w:highlight w:val="none"/>
                <w:shd w:val="clear" w:color="auto" w:fill="auto"/>
                <w:lang w:eastAsia="zh-CN"/>
              </w:rPr>
            </w:pPr>
            <w:r>
              <w:rPr>
                <w:rFonts w:hint="eastAsia"/>
                <w:color w:val="auto"/>
                <w:kern w:val="0"/>
                <w:sz w:val="24"/>
                <w:szCs w:val="24"/>
                <w:lang w:eastAsia="zh-CN"/>
              </w:rPr>
              <w:t>项目建设</w:t>
            </w:r>
            <w:r>
              <w:rPr>
                <w:rFonts w:hint="eastAsia"/>
                <w:color w:val="auto"/>
                <w:kern w:val="0"/>
                <w:sz w:val="24"/>
                <w:szCs w:val="24"/>
              </w:rPr>
              <w:t>所需的主要的建筑材料为钢材、水泥、砂石等，其中砂石、水泥均可从当地具有供货资质的部门购买，</w:t>
            </w:r>
            <w:r>
              <w:rPr>
                <w:rFonts w:hint="eastAsia"/>
                <w:color w:val="auto"/>
                <w:kern w:val="0"/>
                <w:sz w:val="24"/>
                <w:szCs w:val="24"/>
                <w:lang w:eastAsia="zh-CN"/>
              </w:rPr>
              <w:t>本项目</w:t>
            </w:r>
            <w:r>
              <w:rPr>
                <w:rFonts w:hint="eastAsia"/>
                <w:color w:val="auto"/>
                <w:kern w:val="0"/>
                <w:sz w:val="24"/>
                <w:szCs w:val="24"/>
              </w:rPr>
              <w:t>不新设石料场及砂场，由卖方负责其相应的水土流失防治责任；钢材需从当地购置，由卖方送至工程施工场地。根据实际情况，</w:t>
            </w:r>
            <w:r>
              <w:rPr>
                <w:rFonts w:hint="eastAsia"/>
                <w:color w:val="auto"/>
                <w:kern w:val="0"/>
                <w:sz w:val="24"/>
                <w:szCs w:val="24"/>
                <w:lang w:eastAsia="zh-CN"/>
              </w:rPr>
              <w:t>项目建设</w:t>
            </w:r>
            <w:r>
              <w:rPr>
                <w:rFonts w:hint="eastAsia"/>
                <w:color w:val="auto"/>
                <w:kern w:val="0"/>
                <w:sz w:val="24"/>
                <w:szCs w:val="24"/>
              </w:rPr>
              <w:t>所需主要材料均能满足。</w:t>
            </w:r>
          </w:p>
          <w:p w14:paraId="1CF6DDE5">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rPr>
              <w:t>（4）施工用水</w:t>
            </w:r>
          </w:p>
          <w:p w14:paraId="1B0B818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rPr>
              <w:t>本工程施工用水由建筑施工用水、施工机械用水、生活用水等组成，</w:t>
            </w:r>
            <w:r>
              <w:rPr>
                <w:rFonts w:hint="eastAsia" w:ascii="Times New Roman" w:hAnsi="Times New Roman" w:cs="Times New Roman"/>
                <w:color w:val="auto"/>
                <w:kern w:val="0"/>
                <w:sz w:val="24"/>
                <w:szCs w:val="24"/>
                <w:lang w:eastAsia="zh-CN"/>
              </w:rPr>
              <w:t>本项目</w:t>
            </w:r>
            <w:r>
              <w:rPr>
                <w:rFonts w:hint="eastAsia" w:ascii="Times New Roman" w:hAnsi="Times New Roman" w:cs="Times New Roman"/>
                <w:color w:val="auto"/>
                <w:kern w:val="0"/>
                <w:sz w:val="24"/>
                <w:szCs w:val="24"/>
              </w:rPr>
              <w:t>施工用水</w:t>
            </w:r>
            <w:r>
              <w:rPr>
                <w:rFonts w:hint="eastAsia" w:ascii="Times New Roman" w:hAnsi="Times New Roman" w:cs="Times New Roman"/>
                <w:color w:val="auto"/>
                <w:kern w:val="0"/>
                <w:sz w:val="24"/>
                <w:szCs w:val="24"/>
                <w:lang w:val="en-US" w:eastAsia="zh-CN"/>
              </w:rPr>
              <w:t>计划在场址附近村落取</w:t>
            </w:r>
            <w:r>
              <w:rPr>
                <w:rFonts w:hint="eastAsia" w:cs="Times New Roman"/>
                <w:color w:val="auto"/>
                <w:kern w:val="0"/>
                <w:sz w:val="24"/>
                <w:szCs w:val="24"/>
                <w:lang w:val="en-US" w:eastAsia="zh-CN"/>
              </w:rPr>
              <w:t>自来</w:t>
            </w:r>
            <w:r>
              <w:rPr>
                <w:rFonts w:hint="eastAsia" w:ascii="Times New Roman" w:hAnsi="Times New Roman" w:cs="Times New Roman"/>
                <w:color w:val="auto"/>
                <w:kern w:val="0"/>
                <w:sz w:val="24"/>
                <w:szCs w:val="24"/>
                <w:lang w:val="en-US" w:eastAsia="zh-CN"/>
              </w:rPr>
              <w:t>水。</w:t>
            </w:r>
            <w:r>
              <w:rPr>
                <w:rFonts w:hint="default" w:ascii="Times New Roman" w:hAnsi="Times New Roman" w:eastAsia="宋体" w:cs="Times New Roman"/>
                <w:color w:val="auto"/>
                <w:sz w:val="24"/>
                <w:szCs w:val="24"/>
                <w:highlight w:val="none"/>
                <w:lang w:val="en-US" w:eastAsia="zh-CN"/>
              </w:rPr>
              <w:t>生活用水可以采用桶装水或村庄取水</w:t>
            </w:r>
            <w:r>
              <w:rPr>
                <w:rFonts w:hint="eastAsia" w:cs="Times New Roman"/>
                <w:color w:val="auto"/>
                <w:sz w:val="24"/>
                <w:szCs w:val="24"/>
                <w:highlight w:val="none"/>
                <w:lang w:val="en-US" w:eastAsia="zh-CN"/>
              </w:rPr>
              <w:t>。</w:t>
            </w:r>
          </w:p>
          <w:p w14:paraId="0A7A54C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highlight w:val="none"/>
                <w:shd w:val="clear" w:color="auto" w:fill="auto"/>
              </w:rPr>
            </w:pPr>
            <w:r>
              <w:rPr>
                <w:rFonts w:hint="eastAsia" w:ascii="Times New Roman" w:hAnsi="Times New Roman" w:cs="Times New Roman"/>
                <w:color w:val="auto"/>
                <w:kern w:val="0"/>
                <w:sz w:val="24"/>
                <w:szCs w:val="24"/>
                <w:highlight w:val="none"/>
                <w:shd w:val="clear" w:color="auto" w:fill="auto"/>
              </w:rPr>
              <w:t>（5）施工用电</w:t>
            </w:r>
          </w:p>
          <w:p w14:paraId="0A6F5CF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从附近村庄10kV农网引接。场内设置容量为250kVA的低压站用变压器和单母线接线的0.4kV低压配电段，为站用负荷供电。施工时作为施工电源，光伏电站建成后此电源作为备用电源。</w:t>
            </w:r>
          </w:p>
          <w:p w14:paraId="21BD5930">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3、</w:t>
            </w:r>
            <w:r>
              <w:rPr>
                <w:rFonts w:hint="default"/>
                <w:b/>
                <w:bCs/>
                <w:color w:val="auto"/>
                <w:kern w:val="0"/>
                <w:sz w:val="24"/>
                <w:highlight w:val="none"/>
                <w:shd w:val="clear" w:color="auto" w:fill="auto"/>
              </w:rPr>
              <w:t>施工工期及施工人数</w:t>
            </w:r>
          </w:p>
          <w:p w14:paraId="478F0B1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eastAsia="宋体"/>
                <w:color w:val="auto"/>
                <w:sz w:val="24"/>
                <w:highlight w:val="none"/>
                <w:shd w:val="clear" w:color="auto" w:fill="auto"/>
                <w:lang w:val="en-US" w:eastAsia="zh-CN"/>
              </w:rPr>
            </w:pPr>
            <w:r>
              <w:rPr>
                <w:rFonts w:hint="default"/>
                <w:color w:val="auto"/>
                <w:sz w:val="24"/>
                <w:highlight w:val="none"/>
                <w:shd w:val="clear" w:color="auto" w:fill="auto"/>
              </w:rPr>
              <w:t>施工工期：</w:t>
            </w:r>
            <w:r>
              <w:rPr>
                <w:rFonts w:hint="eastAsia"/>
                <w:color w:val="auto"/>
                <w:sz w:val="24"/>
                <w:highlight w:val="none"/>
                <w:shd w:val="clear" w:color="auto" w:fill="auto"/>
                <w:lang w:val="en-US" w:eastAsia="zh-CN"/>
              </w:rPr>
              <w:t>8</w:t>
            </w:r>
            <w:r>
              <w:rPr>
                <w:rFonts w:hint="default"/>
                <w:color w:val="auto"/>
                <w:sz w:val="24"/>
                <w:highlight w:val="none"/>
                <w:shd w:val="clear" w:color="auto" w:fill="auto"/>
              </w:rPr>
              <w:t>个月</w:t>
            </w:r>
            <w:r>
              <w:rPr>
                <w:rFonts w:hint="eastAsia"/>
                <w:color w:val="auto"/>
                <w:sz w:val="24"/>
                <w:highlight w:val="none"/>
                <w:shd w:val="clear" w:color="auto" w:fill="auto"/>
              </w:rPr>
              <w:t>，计划在</w:t>
            </w:r>
            <w:r>
              <w:rPr>
                <w:rFonts w:hint="default" w:ascii="Times New Roman" w:hAnsi="Times New Roman" w:cs="Times New Roman"/>
                <w:color w:val="auto"/>
                <w:sz w:val="24"/>
                <w:highlight w:val="none"/>
                <w:shd w:val="clear" w:color="auto" w:fill="auto"/>
              </w:rPr>
              <w:t>202</w:t>
            </w:r>
            <w:r>
              <w:rPr>
                <w:rFonts w:hint="eastAsia" w:cs="Times New Roman"/>
                <w:color w:val="auto"/>
                <w:sz w:val="24"/>
                <w:highlight w:val="none"/>
                <w:shd w:val="clear" w:color="auto" w:fill="auto"/>
                <w:lang w:val="en-US" w:eastAsia="zh-CN"/>
              </w:rPr>
              <w:t>4</w:t>
            </w:r>
            <w:r>
              <w:rPr>
                <w:rFonts w:hint="default" w:ascii="Times New Roman" w:hAnsi="Times New Roman" w:cs="Times New Roman"/>
                <w:color w:val="auto"/>
                <w:sz w:val="24"/>
                <w:highlight w:val="none"/>
                <w:shd w:val="clear" w:color="auto" w:fill="auto"/>
              </w:rPr>
              <w:t>年</w:t>
            </w:r>
            <w:r>
              <w:rPr>
                <w:rFonts w:hint="eastAsia" w:cs="Times New Roman"/>
                <w:color w:val="auto"/>
                <w:sz w:val="24"/>
                <w:highlight w:val="none"/>
                <w:shd w:val="clear" w:color="auto" w:fill="auto"/>
                <w:lang w:val="en-US" w:eastAsia="zh-CN"/>
              </w:rPr>
              <w:t>12</w:t>
            </w:r>
            <w:r>
              <w:rPr>
                <w:rFonts w:hint="eastAsia" w:ascii="Times New Roman" w:hAnsi="Times New Roman" w:cs="Times New Roman"/>
                <w:color w:val="auto"/>
                <w:sz w:val="24"/>
                <w:highlight w:val="none"/>
                <w:shd w:val="clear" w:color="auto" w:fill="auto"/>
              </w:rPr>
              <w:t>月</w:t>
            </w:r>
            <w:r>
              <w:rPr>
                <w:rFonts w:hint="eastAsia"/>
                <w:color w:val="auto"/>
                <w:sz w:val="24"/>
                <w:highlight w:val="none"/>
                <w:shd w:val="clear" w:color="auto" w:fill="auto"/>
              </w:rPr>
              <w:t>开工，于202</w:t>
            </w:r>
            <w:r>
              <w:rPr>
                <w:rFonts w:hint="eastAsia"/>
                <w:color w:val="auto"/>
                <w:sz w:val="24"/>
                <w:highlight w:val="none"/>
                <w:shd w:val="clear" w:color="auto" w:fill="auto"/>
                <w:lang w:val="en-US" w:eastAsia="zh-CN"/>
              </w:rPr>
              <w:t>5</w:t>
            </w:r>
            <w:r>
              <w:rPr>
                <w:rFonts w:hint="eastAsia"/>
                <w:color w:val="auto"/>
                <w:sz w:val="24"/>
                <w:highlight w:val="none"/>
                <w:shd w:val="clear" w:color="auto" w:fill="auto"/>
              </w:rPr>
              <w:t>年</w:t>
            </w:r>
            <w:r>
              <w:rPr>
                <w:rFonts w:hint="eastAsia"/>
                <w:color w:val="auto"/>
                <w:sz w:val="24"/>
                <w:highlight w:val="none"/>
                <w:shd w:val="clear" w:color="auto" w:fill="auto"/>
                <w:lang w:val="en-US" w:eastAsia="zh-CN"/>
              </w:rPr>
              <w:t>8</w:t>
            </w:r>
            <w:r>
              <w:rPr>
                <w:rFonts w:hint="eastAsia"/>
                <w:color w:val="auto"/>
                <w:sz w:val="24"/>
                <w:highlight w:val="none"/>
                <w:shd w:val="clear" w:color="auto" w:fill="auto"/>
              </w:rPr>
              <w:t>月建成投产</w:t>
            </w:r>
            <w:r>
              <w:rPr>
                <w:rFonts w:hint="eastAsia"/>
                <w:color w:val="auto"/>
                <w:sz w:val="24"/>
                <w:highlight w:val="none"/>
                <w:shd w:val="clear" w:color="auto" w:fill="auto"/>
                <w:lang w:val="en-US" w:eastAsia="zh-CN"/>
              </w:rPr>
              <w:t>。</w:t>
            </w:r>
          </w:p>
          <w:p w14:paraId="447328D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Cs w:val="21"/>
                <w:highlight w:val="none"/>
                <w:shd w:val="clear" w:color="auto" w:fill="auto"/>
              </w:rPr>
            </w:pPr>
            <w:r>
              <w:rPr>
                <w:rFonts w:hint="default"/>
                <w:color w:val="auto"/>
                <w:sz w:val="24"/>
                <w:highlight w:val="none"/>
                <w:shd w:val="clear" w:color="auto" w:fill="auto"/>
              </w:rPr>
              <w:t>施工人数：</w:t>
            </w:r>
            <w:r>
              <w:rPr>
                <w:rFonts w:hint="eastAsia"/>
                <w:color w:val="auto"/>
                <w:sz w:val="24"/>
                <w:highlight w:val="none"/>
                <w:shd w:val="clear" w:color="auto" w:fill="auto"/>
              </w:rPr>
              <w:t>施工高峰期</w:t>
            </w:r>
            <w:r>
              <w:rPr>
                <w:rFonts w:hint="eastAsia"/>
                <w:color w:val="auto"/>
                <w:sz w:val="24"/>
                <w:highlight w:val="none"/>
                <w:shd w:val="clear" w:color="auto" w:fill="auto"/>
                <w:lang w:val="en-US" w:eastAsia="zh-CN"/>
              </w:rPr>
              <w:t>约200</w:t>
            </w:r>
            <w:r>
              <w:rPr>
                <w:rFonts w:hint="default"/>
                <w:color w:val="auto"/>
                <w:sz w:val="24"/>
                <w:highlight w:val="none"/>
                <w:shd w:val="clear" w:color="auto" w:fill="auto"/>
              </w:rPr>
              <w:t>人</w:t>
            </w:r>
            <w:r>
              <w:rPr>
                <w:rFonts w:hint="eastAsia"/>
                <w:color w:val="auto"/>
                <w:sz w:val="24"/>
                <w:highlight w:val="none"/>
                <w:shd w:val="clear" w:color="auto" w:fill="auto"/>
                <w:lang w:eastAsia="zh-CN"/>
              </w:rPr>
              <w:t>，</w:t>
            </w:r>
            <w:r>
              <w:rPr>
                <w:rFonts w:hint="eastAsia"/>
                <w:color w:val="auto"/>
                <w:sz w:val="24"/>
                <w:highlight w:val="none"/>
              </w:rPr>
              <w:t>施工人员</w:t>
            </w:r>
            <w:r>
              <w:rPr>
                <w:rFonts w:hint="eastAsia"/>
                <w:color w:val="auto"/>
                <w:sz w:val="24"/>
                <w:highlight w:val="none"/>
                <w:lang w:val="en-US" w:eastAsia="zh-CN"/>
              </w:rPr>
              <w:t>均不在项目区</w:t>
            </w:r>
            <w:r>
              <w:rPr>
                <w:rFonts w:hint="eastAsia"/>
                <w:color w:val="auto"/>
                <w:sz w:val="24"/>
                <w:highlight w:val="none"/>
              </w:rPr>
              <w:t>食宿</w:t>
            </w:r>
            <w:r>
              <w:rPr>
                <w:rFonts w:hint="eastAsia"/>
                <w:color w:val="auto"/>
                <w:sz w:val="24"/>
                <w:highlight w:val="none"/>
                <w:shd w:val="clear" w:color="auto" w:fill="auto"/>
              </w:rPr>
              <w:t>。</w:t>
            </w:r>
          </w:p>
        </w:tc>
      </w:tr>
      <w:tr w14:paraId="39C87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48" w:type="pct"/>
            <w:vAlign w:val="center"/>
          </w:tcPr>
          <w:p w14:paraId="688D96E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color w:val="auto"/>
                <w:kern w:val="0"/>
                <w:sz w:val="24"/>
                <w:highlight w:val="none"/>
                <w:shd w:val="clear" w:color="auto" w:fill="auto"/>
              </w:rPr>
            </w:pPr>
            <w:r>
              <w:rPr>
                <w:rFonts w:hint="default"/>
                <w:color w:val="auto"/>
                <w:kern w:val="0"/>
                <w:sz w:val="24"/>
                <w:highlight w:val="none"/>
                <w:shd w:val="clear" w:color="auto" w:fill="auto"/>
              </w:rPr>
              <w:t>其他</w:t>
            </w:r>
          </w:p>
        </w:tc>
        <w:tc>
          <w:tcPr>
            <w:tcW w:w="4551" w:type="pct"/>
            <w:vAlign w:val="center"/>
          </w:tcPr>
          <w:p w14:paraId="4E048664">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项目选址为唯一方案，无比选方案。</w:t>
            </w:r>
          </w:p>
        </w:tc>
      </w:tr>
    </w:tbl>
    <w:p w14:paraId="1E329CA7">
      <w:pPr>
        <w:pStyle w:val="40"/>
        <w:shd w:val="clear"/>
        <w:spacing w:before="0" w:beforeAutospacing="0" w:after="0" w:afterAutospacing="0" w:line="360" w:lineRule="auto"/>
        <w:outlineLvl w:val="0"/>
        <w:rPr>
          <w:b/>
          <w:bCs/>
          <w:snapToGrid w:val="0"/>
          <w:color w:val="auto"/>
          <w:sz w:val="30"/>
          <w:szCs w:val="30"/>
          <w:highlight w:val="none"/>
          <w:shd w:val="clear" w:color="auto" w:fill="auto"/>
        </w:rPr>
      </w:pPr>
      <w:r>
        <w:rPr>
          <w:rFonts w:ascii="Times New Roman" w:hAnsi="Times New Roman"/>
          <w:b/>
          <w:bCs/>
          <w:color w:val="auto"/>
          <w:highlight w:val="none"/>
          <w:shd w:val="clear" w:color="auto" w:fill="auto"/>
        </w:rPr>
        <w:br w:type="page"/>
      </w:r>
      <w:bookmarkStart w:id="19" w:name="_Toc13664"/>
      <w:r>
        <w:rPr>
          <w:b/>
          <w:bCs/>
          <w:snapToGrid w:val="0"/>
          <w:color w:val="auto"/>
          <w:sz w:val="30"/>
          <w:szCs w:val="30"/>
          <w:highlight w:val="none"/>
          <w:shd w:val="clear" w:color="auto" w:fill="auto"/>
        </w:rPr>
        <w:t>三、生态环境现状、保护目标及评价标准</w:t>
      </w:r>
      <w:bookmarkEnd w:id="19"/>
    </w:p>
    <w:tbl>
      <w:tblPr>
        <w:tblStyle w:val="4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103"/>
      </w:tblGrid>
      <w:tr w14:paraId="5288E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244" w:type="pct"/>
            <w:vAlign w:val="center"/>
          </w:tcPr>
          <w:p w14:paraId="791D408E">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生态环境现状</w:t>
            </w:r>
          </w:p>
        </w:tc>
        <w:tc>
          <w:tcPr>
            <w:tcW w:w="4755" w:type="pct"/>
            <w:vAlign w:val="center"/>
          </w:tcPr>
          <w:p w14:paraId="2D2802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b/>
                <w:color w:val="auto"/>
                <w:kern w:val="0"/>
                <w:sz w:val="24"/>
              </w:rPr>
            </w:pPr>
            <w:r>
              <w:rPr>
                <w:rFonts w:hint="eastAsia"/>
                <w:b/>
                <w:color w:val="auto"/>
                <w:kern w:val="0"/>
                <w:sz w:val="24"/>
                <w:lang w:val="en-US" w:eastAsia="zh-CN"/>
              </w:rPr>
              <w:t>1</w:t>
            </w:r>
            <w:r>
              <w:rPr>
                <w:rFonts w:hint="eastAsia" w:ascii="Times New Roman" w:hAnsi="Times New Roman" w:eastAsia="宋体"/>
                <w:b/>
                <w:color w:val="auto"/>
                <w:kern w:val="0"/>
                <w:sz w:val="24"/>
                <w:lang w:val="en-US" w:eastAsia="zh-CN"/>
              </w:rPr>
              <w:t>、</w:t>
            </w:r>
            <w:r>
              <w:rPr>
                <w:rFonts w:hint="default" w:ascii="Times New Roman" w:hAnsi="Times New Roman" w:eastAsia="宋体"/>
                <w:b/>
                <w:color w:val="auto"/>
                <w:kern w:val="0"/>
                <w:sz w:val="24"/>
              </w:rPr>
              <w:t>主体功能区</w:t>
            </w:r>
            <w:r>
              <w:rPr>
                <w:rFonts w:hint="eastAsia" w:ascii="Times New Roman" w:hAnsi="Times New Roman" w:eastAsia="宋体"/>
                <w:b/>
                <w:color w:val="auto"/>
                <w:kern w:val="0"/>
                <w:sz w:val="24"/>
              </w:rPr>
              <w:t>规划</w:t>
            </w:r>
          </w:p>
          <w:p w14:paraId="4E79C4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lang w:eastAsia="zh-CN"/>
              </w:rPr>
            </w:pPr>
            <w:r>
              <w:rPr>
                <w:rFonts w:hint="eastAsia" w:ascii="Times New Roman" w:hAnsi="Times New Roman" w:eastAsia="宋体"/>
                <w:color w:val="auto"/>
                <w:sz w:val="24"/>
                <w:szCs w:val="22"/>
              </w:rPr>
              <w:t>项目</w:t>
            </w:r>
            <w:r>
              <w:rPr>
                <w:rFonts w:hint="eastAsia" w:ascii="Times New Roman" w:hAnsi="Times New Roman" w:eastAsia="宋体"/>
                <w:color w:val="auto"/>
                <w:sz w:val="24"/>
              </w:rPr>
              <w:t>位于</w:t>
            </w:r>
            <w:r>
              <w:rPr>
                <w:rFonts w:hint="eastAsia" w:ascii="宋体" w:hAnsi="宋体" w:cs="宋体"/>
                <w:color w:val="auto"/>
                <w:kern w:val="0"/>
                <w:sz w:val="24"/>
                <w:szCs w:val="24"/>
                <w:lang w:val="en-US" w:eastAsia="zh-CN" w:bidi="ar"/>
              </w:rPr>
              <w:t>云南省昆明市寻甸回族彝族自治县</w:t>
            </w:r>
            <w:r>
              <w:rPr>
                <w:rFonts w:hint="eastAsia"/>
                <w:color w:val="auto"/>
                <w:sz w:val="24"/>
                <w:szCs w:val="24"/>
                <w:highlight w:val="none"/>
                <w:shd w:val="clear" w:color="auto" w:fill="auto"/>
                <w:lang w:val="en-US" w:eastAsia="zh-CN"/>
              </w:rPr>
              <w:t>河口镇</w:t>
            </w:r>
            <w:r>
              <w:rPr>
                <w:rFonts w:hint="eastAsia" w:ascii="宋体" w:hAnsi="宋体" w:cs="宋体"/>
                <w:color w:val="auto"/>
                <w:kern w:val="0"/>
                <w:sz w:val="24"/>
                <w:szCs w:val="24"/>
                <w:lang w:val="en-US" w:eastAsia="zh-CN" w:bidi="ar"/>
              </w:rPr>
              <w:t>、功山镇</w:t>
            </w:r>
            <w:r>
              <w:rPr>
                <w:rFonts w:hint="eastAsia"/>
                <w:color w:val="auto"/>
                <w:sz w:val="24"/>
                <w:szCs w:val="24"/>
                <w:highlight w:val="none"/>
                <w:shd w:val="clear" w:color="auto" w:fill="auto"/>
                <w:lang w:val="en-US" w:eastAsia="zh-CN"/>
              </w:rPr>
              <w:t>境内</w:t>
            </w:r>
            <w:r>
              <w:rPr>
                <w:rFonts w:hint="default" w:ascii="Times New Roman" w:hAnsi="Times New Roman" w:eastAsia="宋体"/>
                <w:color w:val="auto"/>
                <w:kern w:val="0"/>
                <w:sz w:val="24"/>
              </w:rPr>
              <w:t>，根据《云南省主体功能区规划》，</w:t>
            </w:r>
            <w:r>
              <w:rPr>
                <w:rFonts w:hint="eastAsia" w:ascii="Times New Roman" w:hAnsi="Times New Roman" w:eastAsia="宋体"/>
                <w:color w:val="auto"/>
                <w:kern w:val="0"/>
                <w:sz w:val="24"/>
                <w:lang w:eastAsia="zh-CN"/>
              </w:rPr>
              <w:t>项目所在区域</w:t>
            </w:r>
            <w:r>
              <w:rPr>
                <w:rFonts w:hint="default" w:ascii="Times New Roman" w:hAnsi="Times New Roman" w:eastAsia="宋体"/>
                <w:color w:val="auto"/>
                <w:kern w:val="0"/>
                <w:sz w:val="24"/>
              </w:rPr>
              <w:t>属于</w:t>
            </w:r>
            <w:r>
              <w:rPr>
                <w:rFonts w:hint="eastAsia" w:ascii="Times New Roman" w:hAnsi="Times New Roman" w:eastAsia="宋体"/>
                <w:color w:val="auto"/>
                <w:kern w:val="0"/>
                <w:sz w:val="24"/>
                <w:lang w:eastAsia="zh-CN"/>
              </w:rPr>
              <w:t>国家重点</w:t>
            </w:r>
            <w:r>
              <w:rPr>
                <w:rFonts w:hint="default" w:ascii="Times New Roman" w:hAnsi="Times New Roman" w:eastAsia="宋体"/>
                <w:color w:val="auto"/>
                <w:kern w:val="0"/>
                <w:sz w:val="24"/>
              </w:rPr>
              <w:t>开发区域</w:t>
            </w:r>
            <w:r>
              <w:rPr>
                <w:rFonts w:hint="eastAsia" w:ascii="Times New Roman" w:hAnsi="Times New Roman" w:eastAsia="宋体"/>
                <w:color w:val="auto"/>
                <w:kern w:val="0"/>
                <w:sz w:val="24"/>
                <w:lang w:eastAsia="zh-CN"/>
              </w:rPr>
              <w:t>。</w:t>
            </w:r>
          </w:p>
          <w:p w14:paraId="7C82F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default" w:ascii="Times New Roman" w:hAnsi="Times New Roman" w:eastAsia="宋体"/>
                <w:color w:val="auto"/>
                <w:kern w:val="0"/>
                <w:sz w:val="24"/>
              </w:rPr>
              <w:t>功能定位：</w:t>
            </w:r>
            <w:r>
              <w:rPr>
                <w:rFonts w:hint="eastAsia" w:ascii="Times New Roman" w:hAnsi="Times New Roman" w:eastAsia="宋体"/>
                <w:color w:val="auto"/>
                <w:kern w:val="0"/>
                <w:sz w:val="24"/>
              </w:rPr>
              <w:t>我国面向西南开放重要桥头堡建设的核心区，连接东南亚、南亚国家的陆路交通枢纽，面向东南亚、南亚对外开放的重要门户</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全国重要的烟草、旅游、文化、能源和商贸物流基地，以化工、有色冶炼加工、生物为重点的区域性资源深加工基地</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承接产业转移基地和外向型特色优势产业基地</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我国城市化发展格局中特色鲜明的高原生态宜居城市群</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全省跨越发展的引擎，我国西南地区重要的经济增长极。</w:t>
            </w:r>
          </w:p>
          <w:p w14:paraId="3163AB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rPr>
              <w:t>发展方向</w:t>
            </w:r>
            <w:r>
              <w:rPr>
                <w:rFonts w:hint="default" w:ascii="Times New Roman" w:hAnsi="Times New Roman" w:eastAsia="宋体"/>
                <w:color w:val="auto"/>
                <w:kern w:val="0"/>
                <w:sz w:val="24"/>
              </w:rPr>
              <w:t>：</w:t>
            </w:r>
          </w:p>
          <w:p w14:paraId="2FADA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1</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构建“一区、两带、四城、多点”一体化的滇中城市经济圈空间格局。加快滇中产业聚集区规划建设，促进形成昆</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明</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曲</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靖</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绿色经济示范带和昆</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明</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玉</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溪</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旅游文化产业经济带，重点建设昆明、曲靖、玉溪、楚雄4个中心城市，将以县城为重点的城市和小城镇打造为经济圈城市化、工业化发展的重要支撑。以主要快速交通为纽带，打造1小时经济圈。</w:t>
            </w:r>
          </w:p>
          <w:p w14:paraId="62EDB7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2</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强化昆明的科技创新、商贸流通、信息、旅游、文化和综合服务功能，建设区域性国际交通枢纽、商贸物流中心、历史文化名城、山水园林城市。</w:t>
            </w:r>
          </w:p>
          <w:p w14:paraId="68951A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lang w:eastAsia="zh-CN"/>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3</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曲靖、玉溪和楚雄等城市应依托资源特点和比较优势，加强产业分工协作和对接，实现优势互补、错位发展，形成民族特色和产业特色鲜明的城市</w:t>
            </w:r>
            <w:r>
              <w:rPr>
                <w:rFonts w:hint="eastAsia" w:ascii="Times New Roman" w:hAnsi="Times New Roman" w:eastAsia="宋体"/>
                <w:color w:val="auto"/>
                <w:kern w:val="0"/>
                <w:sz w:val="24"/>
                <w:lang w:eastAsia="zh-CN"/>
              </w:rPr>
              <w:t>。</w:t>
            </w:r>
          </w:p>
          <w:p w14:paraId="06905D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4</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完善国际运输大通道，强化面向东南亚、南亚陆路枢纽功能。加强区域内城际快速轨道交通、通信等基础设施建设，提升区域一体化水平。</w:t>
            </w:r>
          </w:p>
          <w:p w14:paraId="34868D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5</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建设高原特色农产品生产基地，发展农产品加工业，稳步提高农产品质量和效益，推进与周边国家的农业合作，建设外销精细蔬菜生产基地、温带鲜切花生产基地和高效林业基地。</w:t>
            </w:r>
          </w:p>
          <w:p w14:paraId="7FF545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olor w:val="auto"/>
                <w:kern w:val="0"/>
                <w:sz w:val="24"/>
              </w:rPr>
            </w:pP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6</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rPr>
              <w:t>加强以滇池、抚仙湖为重点的高原湖泊治理和牛栏江上游水源保护，加大水土流失和石漠化防治力度，构建以高原湖泊为主体，林地、水面相连，带状环绕、块状相间的高原生态格局。进一步加强跨界水污染和区域性大气复合污染整治，废弃物处置、金属污染治理，森林火灾、野生动植物疫源疫病、有害生物防范等为重点的区域生态安全联防联控力度</w:t>
            </w:r>
            <w:r>
              <w:rPr>
                <w:rFonts w:hint="default" w:ascii="Times New Roman" w:hAnsi="Times New Roman" w:eastAsia="宋体"/>
                <w:color w:val="auto"/>
                <w:kern w:val="0"/>
                <w:sz w:val="24"/>
              </w:rPr>
              <w:t>。</w:t>
            </w:r>
          </w:p>
          <w:p w14:paraId="5D466678">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2</w:t>
            </w:r>
            <w:r>
              <w:rPr>
                <w:rFonts w:hint="eastAsia"/>
                <w:b/>
                <w:bCs/>
                <w:color w:val="auto"/>
                <w:kern w:val="0"/>
                <w:sz w:val="24"/>
                <w:highlight w:val="none"/>
                <w:shd w:val="clear" w:color="auto" w:fill="auto"/>
              </w:rPr>
              <w:t>、与《云南省生态功能区划》的符合性</w:t>
            </w:r>
          </w:p>
          <w:p w14:paraId="0B45C5C1">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rPr>
            </w:pPr>
            <w:r>
              <w:rPr>
                <w:rFonts w:hint="eastAsia"/>
                <w:color w:val="auto"/>
                <w:kern w:val="0"/>
                <w:sz w:val="24"/>
                <w:highlight w:val="none"/>
                <w:shd w:val="clear" w:color="auto" w:fill="auto"/>
              </w:rPr>
              <w:t>《云南省生态功能区划》由原云南省环境保护厅于</w:t>
            </w:r>
            <w:r>
              <w:rPr>
                <w:rFonts w:hint="default"/>
                <w:color w:val="auto"/>
                <w:kern w:val="0"/>
                <w:sz w:val="24"/>
                <w:highlight w:val="none"/>
                <w:shd w:val="clear" w:color="auto" w:fill="auto"/>
              </w:rPr>
              <w:t>2009</w:t>
            </w:r>
            <w:r>
              <w:rPr>
                <w:rFonts w:hint="eastAsia"/>
                <w:color w:val="auto"/>
                <w:kern w:val="0"/>
                <w:sz w:val="24"/>
                <w:highlight w:val="none"/>
                <w:shd w:val="clear" w:color="auto" w:fill="auto"/>
              </w:rPr>
              <w:t>年</w:t>
            </w:r>
            <w:r>
              <w:rPr>
                <w:rFonts w:hint="default"/>
                <w:color w:val="auto"/>
                <w:kern w:val="0"/>
                <w:sz w:val="24"/>
                <w:highlight w:val="none"/>
                <w:shd w:val="clear" w:color="auto" w:fill="auto"/>
              </w:rPr>
              <w:t>9</w:t>
            </w:r>
            <w:r>
              <w:rPr>
                <w:rFonts w:hint="eastAsia"/>
                <w:color w:val="auto"/>
                <w:kern w:val="0"/>
                <w:sz w:val="24"/>
                <w:highlight w:val="none"/>
                <w:shd w:val="clear" w:color="auto" w:fill="auto"/>
              </w:rPr>
              <w:t>月</w:t>
            </w:r>
            <w:r>
              <w:rPr>
                <w:rFonts w:hint="default"/>
                <w:color w:val="auto"/>
                <w:kern w:val="0"/>
                <w:sz w:val="24"/>
                <w:highlight w:val="none"/>
                <w:shd w:val="clear" w:color="auto" w:fill="auto"/>
              </w:rPr>
              <w:t>7</w:t>
            </w:r>
            <w:r>
              <w:rPr>
                <w:rFonts w:hint="eastAsia"/>
                <w:color w:val="auto"/>
                <w:kern w:val="0"/>
                <w:sz w:val="24"/>
                <w:highlight w:val="none"/>
                <w:shd w:val="clear" w:color="auto" w:fill="auto"/>
              </w:rPr>
              <w:t>日发布实施。根据《云南省生态功能区划》云南省生态功能区共分一级区（生态区）</w:t>
            </w:r>
            <w:r>
              <w:rPr>
                <w:rFonts w:hint="default"/>
                <w:color w:val="auto"/>
                <w:kern w:val="0"/>
                <w:sz w:val="24"/>
                <w:highlight w:val="none"/>
                <w:shd w:val="clear" w:color="auto" w:fill="auto"/>
              </w:rPr>
              <w:t>5</w:t>
            </w:r>
            <w:r>
              <w:rPr>
                <w:rFonts w:hint="eastAsia"/>
                <w:color w:val="auto"/>
                <w:kern w:val="0"/>
                <w:sz w:val="24"/>
                <w:highlight w:val="none"/>
                <w:shd w:val="clear" w:color="auto" w:fill="auto"/>
              </w:rPr>
              <w:t>个，二级区（生态亚区）</w:t>
            </w:r>
            <w:r>
              <w:rPr>
                <w:rFonts w:hint="default"/>
                <w:color w:val="auto"/>
                <w:kern w:val="0"/>
                <w:sz w:val="24"/>
                <w:highlight w:val="none"/>
                <w:shd w:val="clear" w:color="auto" w:fill="auto"/>
              </w:rPr>
              <w:t>19</w:t>
            </w:r>
            <w:r>
              <w:rPr>
                <w:rFonts w:hint="eastAsia"/>
                <w:color w:val="auto"/>
                <w:kern w:val="0"/>
                <w:sz w:val="24"/>
                <w:highlight w:val="none"/>
                <w:shd w:val="clear" w:color="auto" w:fill="auto"/>
              </w:rPr>
              <w:t>个，三级区（生态功能区）</w:t>
            </w:r>
            <w:r>
              <w:rPr>
                <w:rFonts w:hint="default"/>
                <w:color w:val="auto"/>
                <w:kern w:val="0"/>
                <w:sz w:val="24"/>
                <w:highlight w:val="none"/>
                <w:shd w:val="clear" w:color="auto" w:fill="auto"/>
              </w:rPr>
              <w:t>65</w:t>
            </w:r>
            <w:r>
              <w:rPr>
                <w:rFonts w:hint="eastAsia"/>
                <w:color w:val="auto"/>
                <w:kern w:val="0"/>
                <w:sz w:val="24"/>
                <w:highlight w:val="none"/>
                <w:shd w:val="clear" w:color="auto" w:fill="auto"/>
              </w:rPr>
              <w:t>个。</w:t>
            </w:r>
            <w:r>
              <w:rPr>
                <w:rFonts w:hint="eastAsia"/>
                <w:color w:val="auto"/>
                <w:kern w:val="0"/>
                <w:sz w:val="24"/>
                <w:highlight w:val="none"/>
                <w:shd w:val="clear" w:color="auto" w:fill="auto"/>
                <w:lang w:val="en-US" w:eastAsia="zh-CN"/>
              </w:rPr>
              <w:t>东北片区</w:t>
            </w:r>
            <w:r>
              <w:rPr>
                <w:rFonts w:hint="eastAsia"/>
                <w:color w:val="auto"/>
                <w:kern w:val="0"/>
                <w:sz w:val="24"/>
                <w:highlight w:val="none"/>
                <w:shd w:val="clear" w:color="auto" w:fill="auto"/>
              </w:rPr>
              <w:t>在云南省生态功能区划</w:t>
            </w:r>
            <w:r>
              <w:rPr>
                <w:rFonts w:hint="eastAsia"/>
                <w:color w:val="auto"/>
                <w:kern w:val="0"/>
                <w:sz w:val="24"/>
                <w:highlight w:val="none"/>
                <w:shd w:val="clear" w:color="auto" w:fill="auto"/>
                <w:lang w:val="en-US" w:eastAsia="zh-CN"/>
              </w:rPr>
              <w:t>中的</w:t>
            </w:r>
            <w:r>
              <w:rPr>
                <w:rFonts w:hint="default"/>
                <w:color w:val="auto"/>
                <w:kern w:val="0"/>
                <w:sz w:val="24"/>
                <w:highlight w:val="none"/>
                <w:shd w:val="clear" w:color="auto" w:fill="auto"/>
              </w:rPr>
              <w:t>Ⅲ1-10牛栏江上游丘原盆地水源涵养生态功能区</w:t>
            </w:r>
            <w:r>
              <w:rPr>
                <w:rFonts w:hint="eastAsia"/>
                <w:color w:val="auto"/>
                <w:kern w:val="0"/>
                <w:sz w:val="24"/>
                <w:highlight w:val="none"/>
                <w:shd w:val="clear" w:color="auto" w:fill="auto"/>
                <w:lang w:eastAsia="zh-CN"/>
              </w:rPr>
              <w:t>，</w:t>
            </w:r>
            <w:r>
              <w:rPr>
                <w:rFonts w:hint="eastAsia"/>
                <w:color w:val="auto"/>
                <w:kern w:val="0"/>
                <w:sz w:val="24"/>
                <w:highlight w:val="none"/>
                <w:shd w:val="clear" w:color="auto" w:fill="auto"/>
                <w:lang w:val="en-US" w:eastAsia="zh-CN"/>
              </w:rPr>
              <w:t>西南片区</w:t>
            </w:r>
            <w:r>
              <w:rPr>
                <w:rFonts w:hint="eastAsia"/>
                <w:color w:val="auto"/>
                <w:kern w:val="0"/>
                <w:sz w:val="24"/>
                <w:highlight w:val="none"/>
                <w:shd w:val="clear" w:color="auto" w:fill="auto"/>
              </w:rPr>
              <w:t>在云南省生态功能区划</w:t>
            </w:r>
            <w:r>
              <w:rPr>
                <w:rFonts w:hint="eastAsia"/>
                <w:color w:val="auto"/>
                <w:kern w:val="0"/>
                <w:sz w:val="24"/>
                <w:highlight w:val="none"/>
                <w:shd w:val="clear" w:color="auto" w:fill="auto"/>
                <w:lang w:val="en-US" w:eastAsia="zh-CN"/>
              </w:rPr>
              <w:t>中的Ⅲ</w:t>
            </w:r>
            <w:r>
              <w:rPr>
                <w:rFonts w:hint="default"/>
                <w:color w:val="auto"/>
                <w:kern w:val="0"/>
                <w:sz w:val="24"/>
                <w:highlight w:val="none"/>
                <w:shd w:val="clear" w:color="auto" w:fill="auto"/>
                <w:lang w:val="en-US" w:eastAsia="zh-CN"/>
              </w:rPr>
              <w:t>1-9</w:t>
            </w:r>
            <w:r>
              <w:rPr>
                <w:rFonts w:hint="eastAsia"/>
                <w:color w:val="auto"/>
                <w:kern w:val="0"/>
                <w:sz w:val="24"/>
                <w:highlight w:val="none"/>
                <w:shd w:val="clear" w:color="auto" w:fill="auto"/>
                <w:lang w:val="en-US" w:eastAsia="zh-CN"/>
              </w:rPr>
              <w:t>普渡河干流、小江上游水土保持生态功能区</w:t>
            </w:r>
            <w:r>
              <w:rPr>
                <w:rFonts w:hint="eastAsia"/>
                <w:color w:val="auto"/>
                <w:kern w:val="0"/>
                <w:sz w:val="24"/>
                <w:highlight w:val="none"/>
                <w:shd w:val="clear" w:color="auto" w:fill="auto"/>
              </w:rPr>
              <w:t>，见表</w:t>
            </w:r>
            <w:r>
              <w:rPr>
                <w:rFonts w:hint="eastAsia"/>
                <w:color w:val="auto"/>
                <w:kern w:val="0"/>
                <w:sz w:val="24"/>
                <w:highlight w:val="none"/>
                <w:shd w:val="clear" w:color="auto" w:fill="auto"/>
                <w:lang w:val="en-US" w:eastAsia="zh-CN"/>
              </w:rPr>
              <w:t>3</w:t>
            </w:r>
            <w:r>
              <w:rPr>
                <w:rFonts w:hint="eastAsia"/>
                <w:color w:val="auto"/>
                <w:kern w:val="0"/>
                <w:sz w:val="24"/>
                <w:highlight w:val="none"/>
                <w:shd w:val="clear" w:color="auto" w:fill="auto"/>
              </w:rPr>
              <w:t>-</w:t>
            </w:r>
            <w:r>
              <w:rPr>
                <w:rFonts w:hint="eastAsia"/>
                <w:color w:val="auto"/>
                <w:kern w:val="0"/>
                <w:sz w:val="24"/>
                <w:highlight w:val="none"/>
                <w:shd w:val="clear" w:color="auto" w:fill="auto"/>
                <w:lang w:val="en-US" w:eastAsia="zh-CN"/>
              </w:rPr>
              <w:t>1</w:t>
            </w:r>
            <w:r>
              <w:rPr>
                <w:rFonts w:hint="eastAsia"/>
                <w:color w:val="auto"/>
                <w:kern w:val="0"/>
                <w:sz w:val="24"/>
                <w:highlight w:val="none"/>
                <w:shd w:val="clear" w:color="auto" w:fill="auto"/>
              </w:rPr>
              <w:t>。</w:t>
            </w:r>
          </w:p>
          <w:p w14:paraId="473D26A8">
            <w:pPr>
              <w:pStyle w:val="40"/>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b/>
                <w:color w:val="auto"/>
                <w:kern w:val="2"/>
                <w:sz w:val="21"/>
                <w:szCs w:val="21"/>
                <w:highlight w:val="none"/>
                <w:shd w:val="clear" w:color="auto" w:fill="auto"/>
              </w:rPr>
            </w:pPr>
            <w:r>
              <w:rPr>
                <w:rFonts w:hint="eastAsia" w:ascii="Times New Roman" w:hAnsi="Times New Roman"/>
                <w:b/>
                <w:color w:val="auto"/>
                <w:kern w:val="2"/>
                <w:sz w:val="21"/>
                <w:szCs w:val="21"/>
                <w:highlight w:val="none"/>
                <w:shd w:val="clear" w:color="auto" w:fill="auto"/>
              </w:rPr>
              <w:t>表</w:t>
            </w:r>
            <w:r>
              <w:rPr>
                <w:rFonts w:hint="eastAsia" w:ascii="Times New Roman" w:hAnsi="Times New Roman"/>
                <w:b/>
                <w:color w:val="auto"/>
                <w:kern w:val="2"/>
                <w:sz w:val="21"/>
                <w:szCs w:val="21"/>
                <w:highlight w:val="none"/>
                <w:shd w:val="clear" w:color="auto" w:fill="auto"/>
                <w:lang w:val="en-US" w:eastAsia="zh-CN"/>
              </w:rPr>
              <w:t>3</w:t>
            </w:r>
            <w:r>
              <w:rPr>
                <w:rFonts w:hint="eastAsia" w:ascii="Times New Roman" w:hAnsi="Times New Roman"/>
                <w:b/>
                <w:color w:val="auto"/>
                <w:kern w:val="2"/>
                <w:sz w:val="21"/>
                <w:szCs w:val="21"/>
                <w:highlight w:val="none"/>
                <w:shd w:val="clear" w:color="auto" w:fill="auto"/>
              </w:rPr>
              <w:t>-</w:t>
            </w:r>
            <w:r>
              <w:rPr>
                <w:rFonts w:hint="eastAsia" w:ascii="Times New Roman" w:hAnsi="Times New Roman"/>
                <w:b/>
                <w:color w:val="auto"/>
                <w:kern w:val="2"/>
                <w:sz w:val="21"/>
                <w:szCs w:val="21"/>
                <w:highlight w:val="none"/>
                <w:shd w:val="clear" w:color="auto" w:fill="auto"/>
                <w:lang w:val="en-US" w:eastAsia="zh-CN"/>
              </w:rPr>
              <w:t>1</w:t>
            </w:r>
            <w:r>
              <w:rPr>
                <w:rFonts w:hint="eastAsia" w:ascii="Times New Roman" w:hAnsi="Times New Roman"/>
                <w:b/>
                <w:color w:val="auto"/>
                <w:kern w:val="2"/>
                <w:sz w:val="21"/>
                <w:szCs w:val="21"/>
                <w:highlight w:val="none"/>
                <w:shd w:val="clear" w:color="auto" w:fill="auto"/>
              </w:rPr>
              <w:t xml:space="preserve">  项目所在</w:t>
            </w:r>
            <w:r>
              <w:rPr>
                <w:rFonts w:hint="eastAsia" w:ascii="Times New Roman" w:hAnsi="Times New Roman"/>
                <w:b/>
                <w:color w:val="auto"/>
                <w:kern w:val="2"/>
                <w:sz w:val="21"/>
                <w:szCs w:val="21"/>
                <w:highlight w:val="none"/>
                <w:shd w:val="clear" w:color="auto" w:fill="auto"/>
                <w:lang w:eastAsia="zh-CN"/>
              </w:rPr>
              <w:t>区域</w:t>
            </w:r>
            <w:r>
              <w:rPr>
                <w:rFonts w:hint="eastAsia" w:ascii="Times New Roman" w:hAnsi="Times New Roman"/>
                <w:b/>
                <w:color w:val="auto"/>
                <w:kern w:val="2"/>
                <w:sz w:val="21"/>
                <w:szCs w:val="21"/>
                <w:highlight w:val="none"/>
                <w:shd w:val="clear" w:color="auto" w:fill="auto"/>
              </w:rPr>
              <w:t>生态功能区划</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fixed"/>
              <w:tblCellMar>
                <w:top w:w="0" w:type="dxa"/>
                <w:left w:w="108" w:type="dxa"/>
                <w:bottom w:w="0" w:type="dxa"/>
                <w:right w:w="108" w:type="dxa"/>
              </w:tblCellMar>
            </w:tblPr>
            <w:tblGrid>
              <w:gridCol w:w="624"/>
              <w:gridCol w:w="678"/>
              <w:gridCol w:w="1009"/>
              <w:gridCol w:w="859"/>
              <w:gridCol w:w="1530"/>
              <w:gridCol w:w="662"/>
              <w:gridCol w:w="675"/>
              <w:gridCol w:w="738"/>
              <w:gridCol w:w="1102"/>
            </w:tblGrid>
            <w:tr w14:paraId="07F2A20B">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1466" w:type="pct"/>
                  <w:gridSpan w:val="3"/>
                  <w:vAlign w:val="center"/>
                </w:tcPr>
                <w:p w14:paraId="64F2A70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生态功能分区单元</w:t>
                  </w:r>
                </w:p>
              </w:tc>
              <w:tc>
                <w:tcPr>
                  <w:tcW w:w="545" w:type="pct"/>
                  <w:vMerge w:val="restart"/>
                  <w:vAlign w:val="center"/>
                </w:tcPr>
                <w:p w14:paraId="08645E0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所在区域面积</w:t>
                  </w:r>
                </w:p>
              </w:tc>
              <w:tc>
                <w:tcPr>
                  <w:tcW w:w="971" w:type="pct"/>
                  <w:vMerge w:val="restart"/>
                  <w:vAlign w:val="center"/>
                </w:tcPr>
                <w:p w14:paraId="1AA4F3F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主要生态特征</w:t>
                  </w:r>
                </w:p>
              </w:tc>
              <w:tc>
                <w:tcPr>
                  <w:tcW w:w="420" w:type="pct"/>
                  <w:vMerge w:val="restart"/>
                  <w:vAlign w:val="center"/>
                </w:tcPr>
                <w:p w14:paraId="4DDDCED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主要生态环境问题</w:t>
                  </w:r>
                </w:p>
              </w:tc>
              <w:tc>
                <w:tcPr>
                  <w:tcW w:w="428" w:type="pct"/>
                  <w:vMerge w:val="restart"/>
                  <w:vAlign w:val="center"/>
                </w:tcPr>
                <w:p w14:paraId="2E1ED68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生态环境敏感性</w:t>
                  </w:r>
                </w:p>
              </w:tc>
              <w:tc>
                <w:tcPr>
                  <w:tcW w:w="468" w:type="pct"/>
                  <w:vMerge w:val="restart"/>
                  <w:vAlign w:val="center"/>
                </w:tcPr>
                <w:p w14:paraId="312C9BD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主要生态系统服务功能</w:t>
                  </w:r>
                </w:p>
              </w:tc>
              <w:tc>
                <w:tcPr>
                  <w:tcW w:w="699" w:type="pct"/>
                  <w:vMerge w:val="restart"/>
                  <w:vAlign w:val="center"/>
                </w:tcPr>
                <w:p w14:paraId="5B30594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保护措施与发展方向</w:t>
                  </w:r>
                </w:p>
              </w:tc>
            </w:tr>
            <w:tr w14:paraId="64DABB9D">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84" w:hRule="atLeast"/>
                <w:jc w:val="center"/>
              </w:trPr>
              <w:tc>
                <w:tcPr>
                  <w:tcW w:w="396" w:type="pct"/>
                  <w:vAlign w:val="center"/>
                </w:tcPr>
                <w:p w14:paraId="303B5BC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生态区</w:t>
                  </w:r>
                </w:p>
              </w:tc>
              <w:tc>
                <w:tcPr>
                  <w:tcW w:w="430" w:type="pct"/>
                  <w:vAlign w:val="center"/>
                </w:tcPr>
                <w:p w14:paraId="16D8E71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生态亚区</w:t>
                  </w:r>
                </w:p>
              </w:tc>
              <w:tc>
                <w:tcPr>
                  <w:tcW w:w="640" w:type="pct"/>
                  <w:vAlign w:val="center"/>
                </w:tcPr>
                <w:p w14:paraId="538CB13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生态功能区</w:t>
                  </w:r>
                </w:p>
              </w:tc>
              <w:tc>
                <w:tcPr>
                  <w:tcW w:w="545" w:type="pct"/>
                  <w:vMerge w:val="continue"/>
                  <w:vAlign w:val="center"/>
                </w:tcPr>
                <w:p w14:paraId="710B60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71" w:type="pct"/>
                  <w:vMerge w:val="continue"/>
                  <w:vAlign w:val="center"/>
                </w:tcPr>
                <w:p w14:paraId="30CEC2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20" w:type="pct"/>
                  <w:vMerge w:val="continue"/>
                  <w:vAlign w:val="center"/>
                </w:tcPr>
                <w:p w14:paraId="4B9FB2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28" w:type="pct"/>
                  <w:vMerge w:val="continue"/>
                  <w:vAlign w:val="center"/>
                </w:tcPr>
                <w:p w14:paraId="388CEA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8" w:type="pct"/>
                  <w:vMerge w:val="continue"/>
                  <w:vAlign w:val="center"/>
                </w:tcPr>
                <w:p w14:paraId="514EF0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99" w:type="pct"/>
                  <w:vMerge w:val="continue"/>
                  <w:vAlign w:val="center"/>
                </w:tcPr>
                <w:p w14:paraId="7805DF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7838177E">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60" w:hRule="atLeast"/>
                <w:jc w:val="center"/>
              </w:trPr>
              <w:tc>
                <w:tcPr>
                  <w:tcW w:w="396" w:type="pct"/>
                  <w:vMerge w:val="restart"/>
                  <w:vAlign w:val="center"/>
                </w:tcPr>
                <w:p w14:paraId="3B21A3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高原亚热带北部常绿阔叶林生态区（Ⅲ）</w:t>
                  </w:r>
                </w:p>
              </w:tc>
              <w:tc>
                <w:tcPr>
                  <w:tcW w:w="430" w:type="pct"/>
                  <w:vMerge w:val="restart"/>
                  <w:vAlign w:val="center"/>
                </w:tcPr>
                <w:p w14:paraId="278D00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滇中高原谷盆半湿润常绿阔叶林、暖性针叶林生态亚区（Ⅲ1）</w:t>
                  </w:r>
                </w:p>
              </w:tc>
              <w:tc>
                <w:tcPr>
                  <w:tcW w:w="640" w:type="pct"/>
                  <w:vAlign w:val="center"/>
                </w:tcPr>
                <w:p w14:paraId="3E2B8B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Ⅲ1-10牛栏江上游丘原盆地水源涵养生态功能区</w:t>
                  </w:r>
                </w:p>
              </w:tc>
              <w:tc>
                <w:tcPr>
                  <w:tcW w:w="545" w:type="pct"/>
                  <w:vAlign w:val="center"/>
                </w:tcPr>
                <w:p w14:paraId="71E985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马龙县，嵩明、宜良、寻甸县的部分地区，面积4783.52平方公里</w:t>
                  </w:r>
                </w:p>
              </w:tc>
              <w:tc>
                <w:tcPr>
                  <w:tcW w:w="971" w:type="pct"/>
                  <w:vAlign w:val="center"/>
                </w:tcPr>
                <w:p w14:paraId="79A010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以石灰岩丘原盆地地貌为主。降雨量1000-1200毫米，植被主要为云南松林和半湿润常绿阔叶林，土壤类型主要是红壤</w:t>
                  </w:r>
                </w:p>
              </w:tc>
              <w:tc>
                <w:tcPr>
                  <w:tcW w:w="420" w:type="pct"/>
                  <w:vAlign w:val="center"/>
                </w:tcPr>
                <w:p w14:paraId="3984D8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w:t>
                  </w:r>
                </w:p>
                <w:p w14:paraId="7DE316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利用</w:t>
                  </w:r>
                </w:p>
                <w:p w14:paraId="63A10D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过度</w:t>
                  </w:r>
                </w:p>
                <w:p w14:paraId="1D2345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引起</w:t>
                  </w:r>
                </w:p>
                <w:p w14:paraId="070010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的土</w:t>
                  </w:r>
                </w:p>
                <w:p w14:paraId="1F8097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地退</w:t>
                  </w:r>
                </w:p>
                <w:p w14:paraId="37FC2D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化</w:t>
                  </w:r>
                </w:p>
              </w:tc>
              <w:tc>
                <w:tcPr>
                  <w:tcW w:w="428" w:type="pct"/>
                  <w:vAlign w:val="center"/>
                </w:tcPr>
                <w:p w14:paraId="4FA7A6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石漠</w:t>
                  </w:r>
                </w:p>
                <w:p w14:paraId="67D747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化高</w:t>
                  </w:r>
                </w:p>
                <w:p w14:paraId="72525A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度及</w:t>
                  </w:r>
                </w:p>
                <w:p w14:paraId="6BBA78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中度</w:t>
                  </w:r>
                </w:p>
                <w:p w14:paraId="094B4C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敏感</w:t>
                  </w:r>
                </w:p>
              </w:tc>
              <w:tc>
                <w:tcPr>
                  <w:tcW w:w="468" w:type="pct"/>
                  <w:vAlign w:val="center"/>
                </w:tcPr>
                <w:p w14:paraId="2D85F5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牛栏</w:t>
                  </w:r>
                </w:p>
                <w:p w14:paraId="729D54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江上游的水源</w:t>
                  </w:r>
                </w:p>
                <w:p w14:paraId="758126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涵养</w:t>
                  </w:r>
                </w:p>
                <w:p w14:paraId="76F903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和生</w:t>
                  </w:r>
                </w:p>
                <w:p w14:paraId="0C10F0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态农</w:t>
                  </w:r>
                </w:p>
                <w:p w14:paraId="1EAC13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业建</w:t>
                  </w:r>
                </w:p>
                <w:p w14:paraId="550AB1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设</w:t>
                  </w:r>
                </w:p>
              </w:tc>
              <w:tc>
                <w:tcPr>
                  <w:tcW w:w="699" w:type="pct"/>
                  <w:vAlign w:val="center"/>
                </w:tcPr>
                <w:p w14:paraId="33CD3A12">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宋体"/>
                      <w:color w:val="auto"/>
                      <w:kern w:val="0"/>
                      <w:sz w:val="20"/>
                      <w:szCs w:val="20"/>
                      <w:lang w:val="en-US" w:eastAsia="zh-CN" w:bidi="ar"/>
                    </w:rPr>
                    <w:t>山地封山育林，提高森林覆盖，谷盆地区调整农业结构，推行清洁生产，保护</w:t>
                  </w:r>
                </w:p>
                <w:p w14:paraId="1C58FD5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kern w:val="0"/>
                      <w:sz w:val="20"/>
                      <w:szCs w:val="20"/>
                      <w:lang w:val="en-US" w:eastAsia="zh-CN" w:bidi="ar"/>
                    </w:rPr>
                    <w:t>农田生态环境，防止区域石漠化</w:t>
                  </w:r>
                </w:p>
              </w:tc>
            </w:tr>
            <w:tr w14:paraId="63D775EE">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60" w:hRule="atLeast"/>
                <w:jc w:val="center"/>
              </w:trPr>
              <w:tc>
                <w:tcPr>
                  <w:tcW w:w="396" w:type="pct"/>
                  <w:vMerge w:val="continue"/>
                  <w:vAlign w:val="center"/>
                </w:tcPr>
                <w:p w14:paraId="40D857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0" w:type="pct"/>
                  <w:vMerge w:val="continue"/>
                  <w:vAlign w:val="center"/>
                </w:tcPr>
                <w:p w14:paraId="0EDFB9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40" w:type="pct"/>
                  <w:vAlign w:val="center"/>
                </w:tcPr>
                <w:p w14:paraId="353A123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Ⅲ</w:t>
                  </w:r>
                  <w:r>
                    <w:rPr>
                      <w:rFonts w:hint="default" w:ascii="Times New Roman" w:hAnsi="Times New Roman" w:eastAsia="宋体" w:cs="Times New Roman"/>
                      <w:color w:val="auto"/>
                      <w:kern w:val="0"/>
                      <w:sz w:val="21"/>
                      <w:szCs w:val="21"/>
                      <w:lang w:val="en-US" w:eastAsia="zh-CN" w:bidi="ar"/>
                    </w:rPr>
                    <w:t>1-9</w:t>
                  </w:r>
                  <w:r>
                    <w:rPr>
                      <w:rFonts w:hint="eastAsia" w:ascii="宋体" w:hAnsi="宋体" w:eastAsia="宋体" w:cs="宋体"/>
                      <w:color w:val="auto"/>
                      <w:kern w:val="0"/>
                      <w:sz w:val="21"/>
                      <w:szCs w:val="21"/>
                      <w:lang w:val="en-US" w:eastAsia="zh-CN" w:bidi="ar"/>
                    </w:rPr>
                    <w:t>普渡河干流、小江上游水土保持生态功能区</w:t>
                  </w:r>
                </w:p>
              </w:tc>
              <w:tc>
                <w:tcPr>
                  <w:tcW w:w="545" w:type="pct"/>
                  <w:vAlign w:val="center"/>
                </w:tcPr>
                <w:p w14:paraId="7750E2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寻甸县大部地区，禄劝县东部地区，面积为3935.88平方公里</w:t>
                  </w:r>
                </w:p>
              </w:tc>
              <w:tc>
                <w:tcPr>
                  <w:tcW w:w="971" w:type="pct"/>
                  <w:vAlign w:val="center"/>
                </w:tcPr>
                <w:p w14:paraId="229AA1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以中山峡谷地貌为主。年降雨量在普渡河河谷为800毫米</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高原面上为1200-1500毫米，植被垂直地带性分布明显，现存植被以云南松林为主，土壤以红壤和紫色土为主</w:t>
                  </w:r>
                </w:p>
              </w:tc>
              <w:tc>
                <w:tcPr>
                  <w:tcW w:w="420" w:type="pct"/>
                  <w:shd w:val="clear" w:color="auto" w:fill="auto"/>
                  <w:vAlign w:val="center"/>
                </w:tcPr>
                <w:p w14:paraId="271EF1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森林质量较差，水土流失严重</w:t>
                  </w:r>
                </w:p>
              </w:tc>
              <w:tc>
                <w:tcPr>
                  <w:tcW w:w="428" w:type="pct"/>
                  <w:shd w:val="clear" w:color="auto" w:fill="auto"/>
                  <w:vAlign w:val="center"/>
                </w:tcPr>
                <w:p w14:paraId="783DB9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土壤侵蚀高度敏感</w:t>
                  </w:r>
                </w:p>
              </w:tc>
              <w:tc>
                <w:tcPr>
                  <w:tcW w:w="468" w:type="pct"/>
                  <w:shd w:val="clear" w:color="auto" w:fill="auto"/>
                  <w:vAlign w:val="center"/>
                </w:tcPr>
                <w:p w14:paraId="7D4726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普渡河和小江上游的水土保持</w:t>
                  </w:r>
                </w:p>
              </w:tc>
              <w:tc>
                <w:tcPr>
                  <w:tcW w:w="699" w:type="pct"/>
                  <w:shd w:val="clear" w:color="auto" w:fill="auto"/>
                  <w:vAlign w:val="center"/>
                </w:tcPr>
                <w:p w14:paraId="691133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保护现有植被，加大封山育林的强度，营造水土保护林，严格退耕还林，提高区域的森林数量及质量</w:t>
                  </w:r>
                </w:p>
              </w:tc>
            </w:tr>
          </w:tbl>
          <w:p w14:paraId="61F01E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eastAsia" w:ascii="Times New Roman" w:hAnsi="Times New Roman" w:cs="Times New Roman"/>
                <w:b/>
                <w:bCs/>
                <w:color w:val="auto"/>
                <w:sz w:val="24"/>
                <w:highlight w:val="none"/>
                <w:lang w:val="en-US" w:eastAsia="zh-CN"/>
              </w:rPr>
              <w:t>、</w:t>
            </w:r>
            <w:r>
              <w:rPr>
                <w:rFonts w:hint="eastAsia" w:cs="Times New Roman"/>
                <w:b/>
                <w:bCs/>
                <w:color w:val="auto"/>
                <w:sz w:val="24"/>
                <w:highlight w:val="none"/>
                <w:lang w:val="en-US" w:eastAsia="zh-CN"/>
              </w:rPr>
              <w:t>评价</w:t>
            </w:r>
            <w:r>
              <w:rPr>
                <w:rFonts w:hint="eastAsia" w:ascii="Times New Roman" w:hAnsi="Times New Roman" w:cs="Times New Roman"/>
                <w:b/>
                <w:bCs/>
                <w:color w:val="auto"/>
                <w:sz w:val="24"/>
                <w:highlight w:val="none"/>
                <w:lang w:val="en-US" w:eastAsia="zh-CN"/>
              </w:rPr>
              <w:t>区土地利用现状调查</w:t>
            </w:r>
          </w:p>
          <w:p w14:paraId="59A65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highlight w:val="none"/>
              </w:rPr>
            </w:pPr>
            <w:r>
              <w:rPr>
                <w:rFonts w:hint="eastAsia"/>
                <w:color w:val="auto"/>
                <w:sz w:val="24"/>
                <w:szCs w:val="24"/>
                <w:highlight w:val="none"/>
              </w:rPr>
              <w:t>项目</w:t>
            </w:r>
            <w:r>
              <w:rPr>
                <w:rFonts w:hint="default"/>
                <w:color w:val="auto"/>
                <w:sz w:val="24"/>
                <w:szCs w:val="24"/>
                <w:highlight w:val="none"/>
              </w:rPr>
              <w:t>生态环境影响评价区的土地利用类型见表</w:t>
            </w:r>
            <w:r>
              <w:rPr>
                <w:rFonts w:hint="eastAsia"/>
                <w:color w:val="auto"/>
                <w:sz w:val="24"/>
                <w:szCs w:val="24"/>
                <w:highlight w:val="none"/>
                <w:lang w:val="en-US" w:eastAsia="zh-CN"/>
              </w:rPr>
              <w:t>3</w:t>
            </w:r>
            <w:r>
              <w:rPr>
                <w:rFonts w:hint="default"/>
                <w:color w:val="auto"/>
                <w:sz w:val="24"/>
                <w:szCs w:val="24"/>
                <w:highlight w:val="none"/>
              </w:rPr>
              <w:t>-</w:t>
            </w:r>
            <w:r>
              <w:rPr>
                <w:rFonts w:hint="eastAsia"/>
                <w:color w:val="auto"/>
                <w:sz w:val="24"/>
                <w:szCs w:val="24"/>
                <w:highlight w:val="none"/>
                <w:lang w:val="en-US" w:eastAsia="zh-CN"/>
              </w:rPr>
              <w:t>2</w:t>
            </w:r>
            <w:r>
              <w:rPr>
                <w:rFonts w:hint="default"/>
                <w:color w:val="auto"/>
                <w:sz w:val="24"/>
                <w:szCs w:val="24"/>
                <w:highlight w:val="none"/>
              </w:rPr>
              <w:t>，土地利用现状分布</w:t>
            </w:r>
            <w:r>
              <w:rPr>
                <w:rFonts w:hint="eastAsia"/>
                <w:color w:val="auto"/>
                <w:sz w:val="24"/>
                <w:szCs w:val="24"/>
                <w:highlight w:val="none"/>
                <w:lang w:val="en-US" w:eastAsia="zh-CN"/>
              </w:rPr>
              <w:t>情况</w:t>
            </w:r>
            <w:r>
              <w:rPr>
                <w:rFonts w:hint="default"/>
                <w:color w:val="auto"/>
                <w:sz w:val="24"/>
                <w:szCs w:val="24"/>
                <w:highlight w:val="none"/>
              </w:rPr>
              <w:t>详见附图</w:t>
            </w:r>
            <w:r>
              <w:rPr>
                <w:rFonts w:hint="eastAsia"/>
                <w:color w:val="auto"/>
                <w:sz w:val="24"/>
                <w:szCs w:val="24"/>
                <w:highlight w:val="none"/>
                <w:lang w:val="en-US" w:eastAsia="zh-CN"/>
              </w:rPr>
              <w:t>8-1、8-2</w:t>
            </w:r>
            <w:r>
              <w:rPr>
                <w:rFonts w:hint="default"/>
                <w:color w:val="auto"/>
                <w:sz w:val="24"/>
                <w:szCs w:val="24"/>
                <w:highlight w:val="none"/>
              </w:rPr>
              <w:t>。</w:t>
            </w:r>
            <w:r>
              <w:rPr>
                <w:rFonts w:hint="default" w:ascii="Times New Roman" w:hAnsi="Times New Roman" w:cs="Times New Roman"/>
                <w:color w:val="auto"/>
                <w:spacing w:val="-5"/>
                <w:sz w:val="24"/>
                <w:szCs w:val="24"/>
                <w:highlight w:val="none"/>
                <w:shd w:val="clear" w:color="auto" w:fill="auto"/>
              </w:rPr>
              <w:t>评价区面积共计</w:t>
            </w:r>
            <w:r>
              <w:rPr>
                <w:rFonts w:hint="eastAsia" w:cs="Times New Roman"/>
                <w:color w:val="auto"/>
                <w:sz w:val="24"/>
                <w:szCs w:val="24"/>
                <w:lang w:val="en-US" w:eastAsia="zh-CN"/>
              </w:rPr>
              <w:t>449.03</w:t>
            </w:r>
            <w:r>
              <w:rPr>
                <w:rFonts w:hint="default" w:ascii="Times New Roman" w:hAnsi="Times New Roman" w:cs="Times New Roman"/>
                <w:color w:val="auto"/>
                <w:sz w:val="24"/>
                <w:szCs w:val="24"/>
                <w:highlight w:val="none"/>
                <w:shd w:val="clear" w:color="auto" w:fill="auto"/>
              </w:rPr>
              <w:t>hm</w:t>
            </w:r>
            <w:r>
              <w:rPr>
                <w:rFonts w:hint="default" w:ascii="Times New Roman" w:hAnsi="Times New Roman" w:cs="Times New Roman"/>
                <w:color w:val="auto"/>
                <w:sz w:val="24"/>
                <w:szCs w:val="24"/>
                <w:highlight w:val="none"/>
                <w:shd w:val="clear" w:color="auto" w:fill="auto"/>
                <w:vertAlign w:val="superscript"/>
              </w:rPr>
              <w:t>2</w:t>
            </w:r>
            <w:r>
              <w:rPr>
                <w:rFonts w:hint="default" w:ascii="Times New Roman" w:hAnsi="Times New Roman" w:cs="Times New Roman"/>
                <w:color w:val="auto"/>
                <w:spacing w:val="-4"/>
                <w:sz w:val="24"/>
                <w:szCs w:val="24"/>
                <w:highlight w:val="none"/>
                <w:shd w:val="clear" w:color="auto" w:fill="auto"/>
              </w:rPr>
              <w:t>，其中</w:t>
            </w:r>
            <w:r>
              <w:rPr>
                <w:rFonts w:hint="default" w:ascii="Times New Roman" w:hAnsi="Times New Roman" w:eastAsia="宋体" w:cs="Times New Roman"/>
                <w:i w:val="0"/>
                <w:iCs w:val="0"/>
                <w:color w:val="auto"/>
                <w:kern w:val="0"/>
                <w:sz w:val="24"/>
                <w:szCs w:val="24"/>
                <w:highlight w:val="none"/>
                <w:u w:val="none"/>
                <w:lang w:val="en-US" w:eastAsia="zh-CN" w:bidi="ar"/>
              </w:rPr>
              <w:t>乔木林地</w:t>
            </w:r>
            <w:r>
              <w:rPr>
                <w:rFonts w:hint="default" w:ascii="Times New Roman" w:hAnsi="Times New Roman" w:cs="Times New Roman"/>
                <w:color w:val="auto"/>
                <w:spacing w:val="-4"/>
                <w:sz w:val="24"/>
                <w:szCs w:val="24"/>
                <w:highlight w:val="none"/>
                <w:shd w:val="clear" w:color="auto" w:fill="auto"/>
              </w:rPr>
              <w:t>面积较大，占</w:t>
            </w:r>
            <w:r>
              <w:rPr>
                <w:rFonts w:hint="eastAsia" w:cs="Times New Roman"/>
                <w:color w:val="auto"/>
                <w:sz w:val="24"/>
                <w:szCs w:val="24"/>
                <w:highlight w:val="none"/>
                <w:lang w:val="en-US" w:eastAsia="zh-CN"/>
              </w:rPr>
              <w:t>53.77</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pacing w:val="-2"/>
                <w:sz w:val="24"/>
                <w:szCs w:val="24"/>
                <w:highlight w:val="none"/>
                <w:shd w:val="clear" w:color="auto" w:fill="auto"/>
              </w:rPr>
              <w:t>，其次为</w:t>
            </w:r>
            <w:r>
              <w:rPr>
                <w:rFonts w:hint="eastAsia" w:cs="Times New Roman"/>
                <w:i w:val="0"/>
                <w:iCs w:val="0"/>
                <w:color w:val="auto"/>
                <w:kern w:val="0"/>
                <w:sz w:val="24"/>
                <w:szCs w:val="24"/>
                <w:highlight w:val="none"/>
                <w:u w:val="none"/>
                <w:lang w:val="en-US" w:eastAsia="zh-CN" w:bidi="ar"/>
              </w:rPr>
              <w:t>其他草地</w:t>
            </w:r>
            <w:r>
              <w:rPr>
                <w:rFonts w:hint="eastAsia" w:cs="Times New Roman"/>
                <w:color w:val="auto"/>
                <w:sz w:val="24"/>
                <w:szCs w:val="24"/>
                <w:highlight w:val="none"/>
                <w:lang w:val="en-US" w:eastAsia="zh-CN"/>
              </w:rPr>
              <w:t>17.72</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pacing w:val="-15"/>
                <w:sz w:val="24"/>
                <w:szCs w:val="24"/>
                <w:highlight w:val="none"/>
                <w:shd w:val="clear" w:color="auto" w:fill="auto"/>
              </w:rPr>
              <w:t>、</w:t>
            </w:r>
            <w:r>
              <w:rPr>
                <w:rFonts w:hint="eastAsia" w:cs="Times New Roman"/>
                <w:color w:val="auto"/>
                <w:spacing w:val="-2"/>
                <w:sz w:val="24"/>
                <w:szCs w:val="24"/>
                <w:highlight w:val="none"/>
                <w:shd w:val="clear" w:color="auto" w:fill="auto"/>
                <w:lang w:val="en-US" w:eastAsia="zh-CN"/>
              </w:rPr>
              <w:t>灌木林地</w:t>
            </w:r>
            <w:r>
              <w:rPr>
                <w:rFonts w:hint="eastAsia" w:cs="Times New Roman"/>
                <w:color w:val="auto"/>
                <w:sz w:val="24"/>
                <w:szCs w:val="24"/>
                <w:highlight w:val="none"/>
                <w:lang w:val="en-US" w:eastAsia="zh-CN"/>
              </w:rPr>
              <w:t>15.60</w:t>
            </w:r>
            <w:r>
              <w:rPr>
                <w:rFonts w:hint="eastAsia" w:cs="Times New Roman"/>
                <w:i w:val="0"/>
                <w:iCs w:val="0"/>
                <w:color w:val="auto"/>
                <w:kern w:val="0"/>
                <w:sz w:val="24"/>
                <w:szCs w:val="24"/>
                <w:highlight w:val="none"/>
                <w:u w:val="none"/>
                <w:lang w:val="en-US" w:eastAsia="zh-CN" w:bidi="ar"/>
              </w:rPr>
              <w:t>%、其他林地</w:t>
            </w:r>
            <w:r>
              <w:rPr>
                <w:rFonts w:hint="eastAsia" w:cs="Times New Roman"/>
                <w:color w:val="auto"/>
                <w:sz w:val="24"/>
                <w:szCs w:val="24"/>
                <w:highlight w:val="none"/>
                <w:lang w:val="en-US" w:eastAsia="zh-CN"/>
              </w:rPr>
              <w:t>7.53</w:t>
            </w:r>
            <w:r>
              <w:rPr>
                <w:rFonts w:hint="default" w:ascii="Times New Roman" w:hAnsi="Times New Roman" w:cs="Times New Roman"/>
                <w:color w:val="auto"/>
                <w:spacing w:val="-3"/>
                <w:sz w:val="24"/>
                <w:szCs w:val="24"/>
                <w:highlight w:val="none"/>
                <w:shd w:val="clear" w:color="auto" w:fill="auto"/>
              </w:rPr>
              <w:t>%</w:t>
            </w:r>
            <w:r>
              <w:rPr>
                <w:rFonts w:hint="eastAsia" w:cs="Times New Roman"/>
                <w:color w:val="auto"/>
                <w:spacing w:val="-3"/>
                <w:sz w:val="24"/>
                <w:szCs w:val="24"/>
                <w:highlight w:val="none"/>
                <w:shd w:val="clear" w:color="auto" w:fill="auto"/>
                <w:lang w:eastAsia="zh-CN"/>
              </w:rPr>
              <w:t>、</w:t>
            </w:r>
            <w:r>
              <w:rPr>
                <w:rFonts w:hint="eastAsia" w:cs="Times New Roman"/>
                <w:i w:val="0"/>
                <w:iCs w:val="0"/>
                <w:color w:val="auto"/>
                <w:kern w:val="0"/>
                <w:sz w:val="24"/>
                <w:szCs w:val="24"/>
                <w:highlight w:val="none"/>
                <w:u w:val="none"/>
                <w:lang w:val="en-US" w:eastAsia="zh-CN" w:bidi="ar"/>
              </w:rPr>
              <w:t>旱地2.58</w:t>
            </w:r>
            <w:r>
              <w:rPr>
                <w:rFonts w:hint="default" w:ascii="Times New Roman" w:hAnsi="Times New Roman" w:cs="Times New Roman"/>
                <w:color w:val="auto"/>
                <w:spacing w:val="-3"/>
                <w:sz w:val="24"/>
                <w:szCs w:val="24"/>
                <w:highlight w:val="none"/>
                <w:shd w:val="clear" w:color="auto" w:fill="auto"/>
              </w:rPr>
              <w:t>%</w:t>
            </w:r>
            <w:r>
              <w:rPr>
                <w:rFonts w:hint="eastAsia" w:ascii="Times New Roman" w:hAnsi="Times New Roman" w:cs="Times New Roman"/>
                <w:color w:val="auto"/>
                <w:spacing w:val="-3"/>
                <w:sz w:val="24"/>
                <w:szCs w:val="24"/>
                <w:highlight w:val="none"/>
                <w:shd w:val="clear" w:color="auto" w:fill="auto"/>
                <w:lang w:eastAsia="zh-CN"/>
              </w:rPr>
              <w:t>、</w:t>
            </w:r>
            <w:r>
              <w:rPr>
                <w:rFonts w:hint="eastAsia" w:cs="Times New Roman"/>
                <w:i w:val="0"/>
                <w:iCs w:val="0"/>
                <w:color w:val="auto"/>
                <w:kern w:val="0"/>
                <w:sz w:val="24"/>
                <w:szCs w:val="24"/>
                <w:highlight w:val="none"/>
                <w:u w:val="none"/>
                <w:lang w:val="en-US" w:eastAsia="zh-CN" w:bidi="ar"/>
              </w:rPr>
              <w:t>采矿用地1.97</w:t>
            </w:r>
            <w:r>
              <w:rPr>
                <w:rFonts w:hint="eastAsia" w:ascii="Times New Roman" w:hAnsi="Times New Roman" w:cs="Times New Roman"/>
                <w:i w:val="0"/>
                <w:iCs w:val="0"/>
                <w:color w:val="auto"/>
                <w:kern w:val="0"/>
                <w:sz w:val="24"/>
                <w:szCs w:val="24"/>
                <w:highlight w:val="none"/>
                <w:u w:val="none"/>
                <w:lang w:val="en-US" w:eastAsia="zh-CN" w:bidi="ar"/>
              </w:rPr>
              <w:t>%</w:t>
            </w:r>
            <w:r>
              <w:rPr>
                <w:rFonts w:hint="eastAsia" w:cs="Times New Roman"/>
                <w:color w:val="auto"/>
                <w:sz w:val="24"/>
                <w:szCs w:val="24"/>
                <w:highlight w:val="none"/>
                <w:shd w:val="clear" w:color="auto" w:fill="auto"/>
                <w:lang w:eastAsia="zh-CN"/>
              </w:rPr>
              <w:t>，</w:t>
            </w:r>
            <w:r>
              <w:rPr>
                <w:rFonts w:hint="default"/>
                <w:color w:val="auto"/>
                <w:sz w:val="24"/>
                <w:szCs w:val="24"/>
                <w:highlight w:val="none"/>
              </w:rPr>
              <w:t>其它</w:t>
            </w:r>
            <w:r>
              <w:rPr>
                <w:rFonts w:hint="eastAsia"/>
                <w:color w:val="auto"/>
                <w:sz w:val="24"/>
                <w:szCs w:val="24"/>
                <w:highlight w:val="none"/>
              </w:rPr>
              <w:t>地类较少，所占比例均在</w:t>
            </w:r>
            <w:r>
              <w:rPr>
                <w:rFonts w:hint="default" w:ascii="Times New Roman" w:hAnsi="Times New Roman" w:eastAsia="宋体" w:cs="Times New Roman"/>
                <w:color w:val="auto"/>
                <w:sz w:val="24"/>
                <w:szCs w:val="24"/>
                <w:lang w:val="en-US" w:eastAsia="zh-CN"/>
              </w:rPr>
              <w:t>1</w:t>
            </w:r>
            <w:r>
              <w:rPr>
                <w:rFonts w:hint="eastAsia"/>
                <w:color w:val="auto"/>
                <w:sz w:val="24"/>
                <w:szCs w:val="24"/>
                <w:highlight w:val="none"/>
              </w:rPr>
              <w:t>%以下</w:t>
            </w:r>
            <w:r>
              <w:rPr>
                <w:rFonts w:hint="default"/>
                <w:color w:val="auto"/>
                <w:sz w:val="24"/>
                <w:szCs w:val="24"/>
                <w:highlight w:val="none"/>
              </w:rPr>
              <w:t>。</w:t>
            </w:r>
          </w:p>
          <w:p w14:paraId="07198613">
            <w:pPr>
              <w:pStyle w:val="1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8"/>
                <w:sz w:val="21"/>
                <w:szCs w:val="21"/>
              </w:rPr>
              <w:t>表</w:t>
            </w:r>
            <w:r>
              <w:rPr>
                <w:rFonts w:hint="default" w:ascii="Times New Roman" w:hAnsi="Times New Roman" w:eastAsia="宋体" w:cs="Times New Roman"/>
                <w:b/>
                <w:bCs/>
                <w:color w:val="auto"/>
                <w:spacing w:val="8"/>
                <w:sz w:val="21"/>
                <w:szCs w:val="21"/>
                <w:lang w:val="en-US" w:eastAsia="zh-CN"/>
              </w:rPr>
              <w:t>3</w:t>
            </w:r>
            <w:r>
              <w:rPr>
                <w:rFonts w:hint="default" w:ascii="Times New Roman" w:hAnsi="Times New Roman" w:eastAsia="宋体" w:cs="Times New Roman"/>
                <w:b/>
                <w:bCs/>
                <w:color w:val="auto"/>
                <w:spacing w:val="8"/>
                <w:sz w:val="21"/>
                <w:szCs w:val="21"/>
              </w:rPr>
              <w:t>-</w:t>
            </w:r>
            <w:r>
              <w:rPr>
                <w:rFonts w:hint="default" w:ascii="Times New Roman" w:hAnsi="Times New Roman" w:eastAsia="宋体" w:cs="Times New Roman"/>
                <w:b/>
                <w:bCs/>
                <w:color w:val="auto"/>
                <w:spacing w:val="8"/>
                <w:sz w:val="21"/>
                <w:szCs w:val="21"/>
                <w:lang w:val="en-US" w:eastAsia="zh-CN"/>
              </w:rPr>
              <w:t>2</w:t>
            </w:r>
            <w:r>
              <w:rPr>
                <w:rFonts w:hint="default" w:ascii="Times New Roman" w:hAnsi="Times New Roman" w:eastAsia="宋体" w:cs="Times New Roman"/>
                <w:b/>
                <w:bCs/>
                <w:color w:val="auto"/>
                <w:spacing w:val="8"/>
                <w:sz w:val="21"/>
                <w:szCs w:val="21"/>
              </w:rPr>
              <w:t xml:space="preserve"> 项目评价区土地利用类型现状面积统计表</w:t>
            </w:r>
          </w:p>
          <w:tbl>
            <w:tblPr>
              <w:tblStyle w:val="42"/>
              <w:tblW w:w="78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5"/>
              <w:gridCol w:w="2214"/>
              <w:gridCol w:w="1198"/>
              <w:gridCol w:w="1218"/>
              <w:gridCol w:w="1099"/>
              <w:gridCol w:w="1063"/>
            </w:tblGrid>
            <w:tr w14:paraId="4AC13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082" w:type="pct"/>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ACD6E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土地利用现状</w:t>
                  </w:r>
                </w:p>
              </w:tc>
              <w:tc>
                <w:tcPr>
                  <w:tcW w:w="76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4C6F21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面积（</w:t>
                  </w:r>
                  <w:r>
                    <w:rPr>
                      <w:rFonts w:hint="default" w:ascii="Times New Roman" w:hAnsi="Times New Roman" w:eastAsia="宋体" w:cs="Times New Roman"/>
                      <w:b/>
                      <w:bCs/>
                      <w:i w:val="0"/>
                      <w:iCs w:val="0"/>
                      <w:color w:val="auto"/>
                      <w:kern w:val="0"/>
                      <w:sz w:val="21"/>
                      <w:szCs w:val="21"/>
                      <w:u w:val="none"/>
                      <w:lang w:val="en-US" w:eastAsia="zh-CN" w:bidi="ar"/>
                    </w:rPr>
                    <w:t>hm</w:t>
                  </w:r>
                  <w:r>
                    <w:rPr>
                      <w:rStyle w:val="161"/>
                      <w:rFonts w:eastAsia="宋体"/>
                      <w:color w:val="auto"/>
                      <w:lang w:val="en-US" w:eastAsia="zh-CN" w:bidi="ar"/>
                    </w:rPr>
                    <w:t>2</w:t>
                  </w:r>
                  <w:r>
                    <w:rPr>
                      <w:rFonts w:hint="eastAsia" w:ascii="宋体" w:hAnsi="宋体" w:eastAsia="宋体" w:cs="宋体"/>
                      <w:b/>
                      <w:bCs/>
                      <w:i w:val="0"/>
                      <w:iCs w:val="0"/>
                      <w:color w:val="auto"/>
                      <w:kern w:val="0"/>
                      <w:sz w:val="21"/>
                      <w:szCs w:val="21"/>
                      <w:u w:val="none"/>
                      <w:lang w:val="en-US" w:eastAsia="zh-CN" w:bidi="ar"/>
                    </w:rPr>
                    <w:t>）</w:t>
                  </w:r>
                </w:p>
              </w:tc>
              <w:tc>
                <w:tcPr>
                  <w:tcW w:w="77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15318D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百分比（</w:t>
                  </w:r>
                  <w:r>
                    <w:rPr>
                      <w:rFonts w:hint="default" w:ascii="Times New Roman" w:hAnsi="Times New Roman" w:eastAsia="宋体" w:cs="Times New Roman"/>
                      <w:b/>
                      <w:bCs/>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w:t>
                  </w:r>
                </w:p>
              </w:tc>
              <w:tc>
                <w:tcPr>
                  <w:tcW w:w="1377" w:type="pct"/>
                  <w:gridSpan w:val="2"/>
                  <w:tcBorders>
                    <w:top w:val="single" w:color="000000" w:sz="8" w:space="0"/>
                    <w:left w:val="single" w:color="000000" w:sz="8" w:space="0"/>
                    <w:bottom w:val="single" w:color="000000" w:sz="8" w:space="0"/>
                    <w:right w:val="single" w:color="000000" w:sz="8" w:space="0"/>
                  </w:tcBorders>
                  <w:shd w:val="clear" w:color="auto" w:fill="auto"/>
                  <w:vAlign w:val="bottom"/>
                </w:tcPr>
                <w:p w14:paraId="520B873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项目占地面积（</w:t>
                  </w:r>
                  <w:r>
                    <w:rPr>
                      <w:rFonts w:hint="default" w:ascii="Times New Roman" w:hAnsi="Times New Roman" w:eastAsia="宋体" w:cs="Times New Roman"/>
                      <w:b/>
                      <w:bCs/>
                      <w:i w:val="0"/>
                      <w:iCs w:val="0"/>
                      <w:color w:val="auto"/>
                      <w:kern w:val="0"/>
                      <w:sz w:val="21"/>
                      <w:szCs w:val="21"/>
                      <w:u w:val="none"/>
                      <w:lang w:val="en-US" w:eastAsia="zh-CN" w:bidi="ar"/>
                    </w:rPr>
                    <w:t>hm</w:t>
                  </w:r>
                  <w:r>
                    <w:rPr>
                      <w:rStyle w:val="161"/>
                      <w:rFonts w:eastAsia="宋体"/>
                      <w:color w:val="auto"/>
                      <w:lang w:val="en-US" w:eastAsia="zh-CN" w:bidi="ar"/>
                    </w:rPr>
                    <w:t>2</w:t>
                  </w:r>
                  <w:r>
                    <w:rPr>
                      <w:rFonts w:hint="eastAsia" w:ascii="宋体" w:hAnsi="宋体" w:eastAsia="宋体" w:cs="宋体"/>
                      <w:b/>
                      <w:bCs/>
                      <w:i w:val="0"/>
                      <w:iCs w:val="0"/>
                      <w:color w:val="auto"/>
                      <w:kern w:val="0"/>
                      <w:sz w:val="21"/>
                      <w:szCs w:val="21"/>
                      <w:u w:val="none"/>
                      <w:lang w:val="en-US" w:eastAsia="zh-CN" w:bidi="ar"/>
                    </w:rPr>
                    <w:t>）</w:t>
                  </w:r>
                </w:p>
              </w:tc>
            </w:tr>
            <w:tr w14:paraId="3EEA7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jc w:val="center"/>
              </w:trPr>
              <w:tc>
                <w:tcPr>
                  <w:tcW w:w="2082" w:type="pct"/>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bottom"/>
                </w:tcPr>
                <w:p w14:paraId="4A19F63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763" w:type="pct"/>
                  <w:vMerge w:val="continue"/>
                  <w:tcBorders>
                    <w:top w:val="single" w:color="000000" w:sz="8" w:space="0"/>
                    <w:left w:val="single" w:color="000000" w:sz="8" w:space="0"/>
                    <w:bottom w:val="single" w:color="000000" w:sz="8" w:space="0"/>
                    <w:right w:val="single" w:color="000000" w:sz="8" w:space="0"/>
                  </w:tcBorders>
                  <w:shd w:val="clear" w:color="auto" w:fill="auto"/>
                  <w:vAlign w:val="bottom"/>
                </w:tcPr>
                <w:p w14:paraId="361F99A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776" w:type="pct"/>
                  <w:vMerge w:val="continue"/>
                  <w:tcBorders>
                    <w:top w:val="single" w:color="000000" w:sz="8" w:space="0"/>
                    <w:left w:val="single" w:color="000000" w:sz="8" w:space="0"/>
                    <w:bottom w:val="single" w:color="000000" w:sz="8" w:space="0"/>
                    <w:right w:val="single" w:color="000000" w:sz="8" w:space="0"/>
                  </w:tcBorders>
                  <w:shd w:val="clear" w:color="auto" w:fill="auto"/>
                  <w:vAlign w:val="bottom"/>
                </w:tcPr>
                <w:p w14:paraId="72B474C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700" w:type="pct"/>
                  <w:tcBorders>
                    <w:top w:val="nil"/>
                    <w:left w:val="single" w:color="000000" w:sz="8" w:space="0"/>
                    <w:bottom w:val="single" w:color="000000" w:sz="8" w:space="0"/>
                    <w:right w:val="single" w:color="000000" w:sz="8" w:space="0"/>
                  </w:tcBorders>
                  <w:shd w:val="clear" w:color="auto" w:fill="auto"/>
                  <w:vAlign w:val="center"/>
                </w:tcPr>
                <w:p w14:paraId="406678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永久占地</w:t>
                  </w:r>
                </w:p>
              </w:tc>
              <w:tc>
                <w:tcPr>
                  <w:tcW w:w="6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EC066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临时占地</w:t>
                  </w:r>
                </w:p>
              </w:tc>
            </w:tr>
            <w:tr w14:paraId="69D15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noWrap/>
                  <w:vAlign w:val="bottom"/>
                </w:tcPr>
                <w:p w14:paraId="3C5631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旱地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48EA9938">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11.59</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458852D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2.58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2901F201">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3A7842C4">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1A5AF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noWrap/>
                  <w:vAlign w:val="bottom"/>
                </w:tcPr>
                <w:p w14:paraId="2493BAC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设施农用地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45C46AB7">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6</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40182FE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20279DAE">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70814A20">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71240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noWrap/>
                  <w:vAlign w:val="bottom"/>
                </w:tcPr>
                <w:p w14:paraId="3982229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其他草地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489A6607">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79.59</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0999FFB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17.72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0BDF158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0.01</w:t>
                  </w: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6894F0B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color w:val="auto"/>
                      <w:sz w:val="21"/>
                      <w:szCs w:val="21"/>
                      <w:lang w:val="en-US" w:eastAsia="zh-CN"/>
                    </w:rPr>
                    <w:t>34.60</w:t>
                  </w:r>
                </w:p>
              </w:tc>
            </w:tr>
            <w:tr w14:paraId="73E35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vAlign w:val="bottom"/>
                </w:tcPr>
                <w:p w14:paraId="5F5193B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交通运输用地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45E38D79">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441F323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0.76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410CB3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1779CD7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1.98</w:t>
                  </w:r>
                </w:p>
              </w:tc>
            </w:tr>
            <w:tr w14:paraId="1618C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vAlign w:val="center"/>
                </w:tcPr>
                <w:p w14:paraId="0A2FBDB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水域</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4CF60FFA">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0C66FE3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3ABCB098">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01EE82BC">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1ED47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72" w:type="pct"/>
                  <w:vMerge w:val="restart"/>
                  <w:tcBorders>
                    <w:top w:val="nil"/>
                    <w:left w:val="single" w:color="000000" w:sz="8" w:space="0"/>
                    <w:bottom w:val="single" w:color="000000" w:sz="8" w:space="0"/>
                    <w:right w:val="single" w:color="000000" w:sz="8" w:space="0"/>
                  </w:tcBorders>
                  <w:shd w:val="clear" w:color="auto" w:fill="auto"/>
                  <w:noWrap/>
                  <w:vAlign w:val="center"/>
                </w:tcPr>
                <w:p w14:paraId="2C53E42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林地</w:t>
                  </w:r>
                </w:p>
              </w:tc>
              <w:tc>
                <w:tcPr>
                  <w:tcW w:w="1410" w:type="pct"/>
                  <w:tcBorders>
                    <w:top w:val="nil"/>
                    <w:left w:val="single" w:color="000000" w:sz="8" w:space="0"/>
                    <w:bottom w:val="single" w:color="000000" w:sz="8" w:space="0"/>
                    <w:right w:val="single" w:color="000000" w:sz="8" w:space="0"/>
                  </w:tcBorders>
                  <w:shd w:val="clear" w:color="auto" w:fill="auto"/>
                  <w:noWrap/>
                  <w:vAlign w:val="center"/>
                </w:tcPr>
                <w:p w14:paraId="3A33C67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乔木林地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2659041F">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241.4</w:t>
                  </w:r>
                  <w:r>
                    <w:rPr>
                      <w:rFonts w:hint="eastAsia" w:cs="Times New Roman"/>
                      <w:i w:val="0"/>
                      <w:iCs w:val="0"/>
                      <w:color w:val="auto"/>
                      <w:kern w:val="0"/>
                      <w:sz w:val="21"/>
                      <w:szCs w:val="21"/>
                      <w:u w:val="none"/>
                      <w:lang w:val="en-US" w:eastAsia="zh-CN" w:bidi="ar"/>
                    </w:rPr>
                    <w:t>4</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144FCFA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53.77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6C67CE63">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512226A">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7E703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72" w:type="pct"/>
                  <w:vMerge w:val="continue"/>
                  <w:tcBorders>
                    <w:top w:val="nil"/>
                    <w:left w:val="single" w:color="000000" w:sz="8" w:space="0"/>
                    <w:bottom w:val="single" w:color="000000" w:sz="8" w:space="0"/>
                    <w:right w:val="single" w:color="000000" w:sz="8" w:space="0"/>
                  </w:tcBorders>
                  <w:shd w:val="clear" w:color="auto" w:fill="auto"/>
                  <w:noWrap/>
                  <w:vAlign w:val="center"/>
                </w:tcPr>
                <w:p w14:paraId="573DA6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410" w:type="pct"/>
                  <w:tcBorders>
                    <w:top w:val="nil"/>
                    <w:left w:val="single" w:color="000000" w:sz="8" w:space="0"/>
                    <w:bottom w:val="single" w:color="000000" w:sz="8" w:space="0"/>
                    <w:right w:val="single" w:color="000000" w:sz="8" w:space="0"/>
                  </w:tcBorders>
                  <w:shd w:val="clear" w:color="auto" w:fill="auto"/>
                  <w:noWrap/>
                  <w:vAlign w:val="center"/>
                </w:tcPr>
                <w:p w14:paraId="666AA79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灌木林地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59048FB9">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70.06</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5822176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15.60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550800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0.02</w:t>
                  </w: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6A72C5C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sz w:val="21"/>
                      <w:szCs w:val="21"/>
                      <w:u w:val="none"/>
                      <w:lang w:val="en-US" w:eastAsia="zh-CN"/>
                    </w:rPr>
                    <w:t>5.5</w:t>
                  </w:r>
                  <w:r>
                    <w:rPr>
                      <w:rFonts w:hint="eastAsia" w:cs="Times New Roman"/>
                      <w:i w:val="0"/>
                      <w:iCs w:val="0"/>
                      <w:color w:val="auto"/>
                      <w:sz w:val="21"/>
                      <w:szCs w:val="21"/>
                      <w:u w:val="none"/>
                      <w:lang w:val="en-US" w:eastAsia="zh-CN"/>
                    </w:rPr>
                    <w:t>5</w:t>
                  </w:r>
                </w:p>
              </w:tc>
            </w:tr>
            <w:tr w14:paraId="58692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72" w:type="pct"/>
                  <w:vMerge w:val="continue"/>
                  <w:tcBorders>
                    <w:top w:val="nil"/>
                    <w:left w:val="single" w:color="000000" w:sz="8" w:space="0"/>
                    <w:bottom w:val="single" w:color="000000" w:sz="8" w:space="0"/>
                    <w:right w:val="single" w:color="000000" w:sz="8" w:space="0"/>
                  </w:tcBorders>
                  <w:shd w:val="clear" w:color="auto" w:fill="auto"/>
                  <w:noWrap/>
                  <w:vAlign w:val="center"/>
                </w:tcPr>
                <w:p w14:paraId="31400D4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410" w:type="pct"/>
                  <w:tcBorders>
                    <w:top w:val="nil"/>
                    <w:left w:val="single" w:color="000000" w:sz="8" w:space="0"/>
                    <w:bottom w:val="single" w:color="000000" w:sz="8" w:space="0"/>
                    <w:right w:val="single" w:color="000000" w:sz="8" w:space="0"/>
                  </w:tcBorders>
                  <w:shd w:val="clear" w:color="auto" w:fill="auto"/>
                  <w:noWrap/>
                  <w:vAlign w:val="center"/>
                </w:tcPr>
                <w:p w14:paraId="21C53C3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其他林地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533E49EC">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33.81</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017619E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7.53 </w:t>
                  </w:r>
                </w:p>
              </w:tc>
              <w:tc>
                <w:tcPr>
                  <w:tcW w:w="700" w:type="pct"/>
                  <w:tcBorders>
                    <w:top w:val="nil"/>
                    <w:left w:val="single" w:color="000000" w:sz="8" w:space="0"/>
                    <w:bottom w:val="single" w:color="000000" w:sz="8" w:space="0"/>
                    <w:right w:val="single" w:color="000000" w:sz="8" w:space="0"/>
                  </w:tcBorders>
                  <w:shd w:val="clear" w:color="auto" w:fill="auto"/>
                  <w:noWrap/>
                  <w:vAlign w:val="bottom"/>
                </w:tcPr>
                <w:p w14:paraId="7B597EB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0.01</w:t>
                  </w:r>
                </w:p>
              </w:tc>
              <w:tc>
                <w:tcPr>
                  <w:tcW w:w="676" w:type="pct"/>
                  <w:tcBorders>
                    <w:top w:val="nil"/>
                    <w:left w:val="single" w:color="000000" w:sz="8" w:space="0"/>
                    <w:bottom w:val="single" w:color="000000" w:sz="8" w:space="0"/>
                    <w:right w:val="single" w:color="000000" w:sz="8" w:space="0"/>
                  </w:tcBorders>
                  <w:shd w:val="clear" w:color="auto" w:fill="auto"/>
                  <w:noWrap/>
                  <w:vAlign w:val="bottom"/>
                </w:tcPr>
                <w:p w14:paraId="1F5F38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sz w:val="21"/>
                      <w:szCs w:val="21"/>
                      <w:u w:val="none"/>
                      <w:lang w:val="en-US" w:eastAsia="zh-CN"/>
                    </w:rPr>
                    <w:t>12.8</w:t>
                  </w:r>
                  <w:r>
                    <w:rPr>
                      <w:rFonts w:hint="eastAsia" w:cs="Times New Roman"/>
                      <w:i w:val="0"/>
                      <w:iCs w:val="0"/>
                      <w:color w:val="auto"/>
                      <w:sz w:val="21"/>
                      <w:szCs w:val="21"/>
                      <w:u w:val="none"/>
                      <w:lang w:val="en-US" w:eastAsia="zh-CN"/>
                    </w:rPr>
                    <w:t>0</w:t>
                  </w:r>
                </w:p>
              </w:tc>
            </w:tr>
            <w:tr w14:paraId="5D29A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72" w:type="pct"/>
                  <w:vMerge w:val="restart"/>
                  <w:tcBorders>
                    <w:top w:val="nil"/>
                    <w:left w:val="single" w:color="000000" w:sz="8" w:space="0"/>
                    <w:bottom w:val="single" w:color="000000" w:sz="8" w:space="0"/>
                    <w:right w:val="single" w:color="000000" w:sz="8" w:space="0"/>
                  </w:tcBorders>
                  <w:shd w:val="clear" w:color="auto" w:fill="auto"/>
                  <w:noWrap/>
                  <w:vAlign w:val="center"/>
                </w:tcPr>
                <w:p w14:paraId="7146782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建设用地</w:t>
                  </w:r>
                </w:p>
              </w:tc>
              <w:tc>
                <w:tcPr>
                  <w:tcW w:w="1410" w:type="pct"/>
                  <w:tcBorders>
                    <w:top w:val="nil"/>
                    <w:left w:val="single" w:color="000000" w:sz="8" w:space="0"/>
                    <w:bottom w:val="single" w:color="000000" w:sz="8" w:space="0"/>
                    <w:right w:val="single" w:color="000000" w:sz="8" w:space="0"/>
                  </w:tcBorders>
                  <w:shd w:val="clear" w:color="auto" w:fill="auto"/>
                  <w:vAlign w:val="center"/>
                </w:tcPr>
                <w:p w14:paraId="299957E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采矿用地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1F23A133">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86</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6677583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1.97 </w:t>
                  </w:r>
                </w:p>
              </w:tc>
              <w:tc>
                <w:tcPr>
                  <w:tcW w:w="700" w:type="pct"/>
                  <w:tcBorders>
                    <w:top w:val="nil"/>
                    <w:left w:val="single" w:color="000000" w:sz="8" w:space="0"/>
                    <w:bottom w:val="single" w:color="000000" w:sz="8" w:space="0"/>
                    <w:right w:val="single" w:color="000000" w:sz="8" w:space="0"/>
                  </w:tcBorders>
                  <w:shd w:val="clear" w:color="auto" w:fill="auto"/>
                  <w:noWrap/>
                  <w:vAlign w:val="center"/>
                </w:tcPr>
                <w:p w14:paraId="590C4175">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35BD935A">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2876E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2" w:type="pct"/>
                  <w:vMerge w:val="continue"/>
                  <w:tcBorders>
                    <w:top w:val="nil"/>
                    <w:left w:val="single" w:color="000000" w:sz="8" w:space="0"/>
                    <w:bottom w:val="single" w:color="000000" w:sz="8" w:space="0"/>
                    <w:right w:val="single" w:color="000000" w:sz="8" w:space="0"/>
                  </w:tcBorders>
                  <w:shd w:val="clear" w:color="auto" w:fill="auto"/>
                  <w:noWrap/>
                  <w:vAlign w:val="center"/>
                </w:tcPr>
                <w:p w14:paraId="5DC27D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410" w:type="pct"/>
                  <w:tcBorders>
                    <w:top w:val="nil"/>
                    <w:left w:val="single" w:color="000000" w:sz="8" w:space="0"/>
                    <w:bottom w:val="single" w:color="000000" w:sz="8" w:space="0"/>
                    <w:right w:val="single" w:color="000000" w:sz="8" w:space="0"/>
                  </w:tcBorders>
                  <w:shd w:val="clear" w:color="auto" w:fill="auto"/>
                  <w:vAlign w:val="center"/>
                </w:tcPr>
                <w:p w14:paraId="348A67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商业服务业设施用地</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39D23D7F">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728B0E2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700" w:type="pct"/>
                  <w:tcBorders>
                    <w:top w:val="nil"/>
                    <w:left w:val="single" w:color="000000" w:sz="8" w:space="0"/>
                    <w:bottom w:val="single" w:color="000000" w:sz="8" w:space="0"/>
                    <w:right w:val="single" w:color="000000" w:sz="8" w:space="0"/>
                  </w:tcBorders>
                  <w:shd w:val="clear" w:color="auto" w:fill="auto"/>
                  <w:noWrap/>
                  <w:vAlign w:val="center"/>
                </w:tcPr>
                <w:p w14:paraId="65F9849F">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15CD749D">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u w:val="none"/>
                    </w:rPr>
                  </w:pPr>
                </w:p>
              </w:tc>
            </w:tr>
            <w:tr w14:paraId="5A75D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82" w:type="pct"/>
                  <w:gridSpan w:val="2"/>
                  <w:tcBorders>
                    <w:top w:val="nil"/>
                    <w:left w:val="single" w:color="000000" w:sz="8" w:space="0"/>
                    <w:bottom w:val="single" w:color="000000" w:sz="8" w:space="0"/>
                    <w:right w:val="single" w:color="000000" w:sz="8" w:space="0"/>
                  </w:tcBorders>
                  <w:shd w:val="clear" w:color="auto" w:fill="auto"/>
                  <w:noWrap/>
                  <w:vAlign w:val="bottom"/>
                </w:tcPr>
                <w:p w14:paraId="2C78483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198" w:type="dxa"/>
                  <w:tcBorders>
                    <w:top w:val="nil"/>
                    <w:left w:val="single" w:color="000000" w:sz="8" w:space="0"/>
                    <w:bottom w:val="single" w:color="000000" w:sz="8" w:space="0"/>
                    <w:right w:val="single" w:color="000000" w:sz="8" w:space="0"/>
                  </w:tcBorders>
                  <w:shd w:val="clear" w:color="auto" w:fill="auto"/>
                  <w:noWrap/>
                  <w:vAlign w:val="bottom"/>
                </w:tcPr>
                <w:p w14:paraId="6DB781C1">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449.0</w:t>
                  </w:r>
                  <w:r>
                    <w:rPr>
                      <w:rFonts w:hint="eastAsia" w:cs="Times New Roman"/>
                      <w:i w:val="0"/>
                      <w:iCs w:val="0"/>
                      <w:color w:val="auto"/>
                      <w:kern w:val="0"/>
                      <w:sz w:val="21"/>
                      <w:szCs w:val="21"/>
                      <w:u w:val="none"/>
                      <w:lang w:val="en-US" w:eastAsia="zh-CN" w:bidi="ar"/>
                    </w:rPr>
                    <w:t>3</w:t>
                  </w:r>
                </w:p>
              </w:tc>
              <w:tc>
                <w:tcPr>
                  <w:tcW w:w="1218" w:type="dxa"/>
                  <w:tcBorders>
                    <w:top w:val="nil"/>
                    <w:left w:val="single" w:color="000000" w:sz="8" w:space="0"/>
                    <w:bottom w:val="single" w:color="000000" w:sz="8" w:space="0"/>
                    <w:right w:val="single" w:color="000000" w:sz="8" w:space="0"/>
                  </w:tcBorders>
                  <w:shd w:val="clear" w:color="auto" w:fill="auto"/>
                  <w:noWrap/>
                  <w:vAlign w:val="bottom"/>
                </w:tcPr>
                <w:p w14:paraId="5DD4865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100</w:t>
                  </w:r>
                </w:p>
              </w:tc>
              <w:tc>
                <w:tcPr>
                  <w:tcW w:w="700" w:type="pct"/>
                  <w:tcBorders>
                    <w:top w:val="nil"/>
                    <w:left w:val="single" w:color="000000" w:sz="8" w:space="0"/>
                    <w:bottom w:val="single" w:color="000000" w:sz="8" w:space="0"/>
                    <w:right w:val="single" w:color="000000" w:sz="8" w:space="0"/>
                  </w:tcBorders>
                  <w:shd w:val="clear" w:color="auto" w:fill="auto"/>
                  <w:noWrap/>
                  <w:vAlign w:val="center"/>
                </w:tcPr>
                <w:p w14:paraId="666233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0.04</w:t>
                  </w:r>
                </w:p>
              </w:tc>
              <w:tc>
                <w:tcPr>
                  <w:tcW w:w="676" w:type="pct"/>
                  <w:tcBorders>
                    <w:top w:val="nil"/>
                    <w:left w:val="single" w:color="000000" w:sz="8" w:space="0"/>
                    <w:bottom w:val="single" w:color="000000" w:sz="8" w:space="0"/>
                    <w:right w:val="single" w:color="000000" w:sz="8" w:space="0"/>
                  </w:tcBorders>
                  <w:shd w:val="clear" w:color="auto" w:fill="auto"/>
                  <w:noWrap/>
                  <w:vAlign w:val="center"/>
                </w:tcPr>
                <w:p w14:paraId="44B5831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54.93</w:t>
                  </w:r>
                </w:p>
              </w:tc>
            </w:tr>
          </w:tbl>
          <w:p w14:paraId="18C4C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color w:val="auto"/>
                <w:sz w:val="24"/>
              </w:rPr>
            </w:pPr>
            <w:r>
              <w:rPr>
                <w:rFonts w:hint="eastAsia"/>
                <w:b/>
                <w:bCs/>
                <w:color w:val="auto"/>
                <w:kern w:val="0"/>
                <w:sz w:val="24"/>
                <w:lang w:val="en-US" w:eastAsia="zh-CN"/>
              </w:rPr>
              <w:t>4、</w:t>
            </w:r>
            <w:r>
              <w:rPr>
                <w:rFonts w:hint="default"/>
                <w:b/>
                <w:bCs/>
                <w:color w:val="auto"/>
                <w:kern w:val="0"/>
                <w:sz w:val="24"/>
              </w:rPr>
              <w:t>生态环境质量现状</w:t>
            </w:r>
          </w:p>
          <w:p w14:paraId="46F6E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bookmarkStart w:id="20" w:name="_Hlk87730933"/>
            <w:bookmarkStart w:id="21" w:name="_Hlk67853180"/>
            <w:bookmarkStart w:id="22" w:name="_Toc119493272"/>
            <w:r>
              <w:rPr>
                <w:rFonts w:hint="eastAsia" w:ascii="Times New Roman" w:hAnsi="Times New Roman" w:eastAsia="宋体" w:cs="Times New Roman"/>
                <w:b/>
                <w:bCs/>
                <w:color w:val="auto"/>
                <w:sz w:val="24"/>
                <w:szCs w:val="24"/>
                <w:lang w:val="en-US" w:eastAsia="zh-CN"/>
              </w:rPr>
              <w:t>4.1调查方法</w:t>
            </w:r>
          </w:p>
          <w:p w14:paraId="23BBAE8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hAnsi="宋体" w:cs="Times New Roman"/>
                <w:color w:val="auto"/>
                <w:kern w:val="0"/>
                <w:sz w:val="24"/>
                <w:szCs w:val="20"/>
                <w:lang w:val="en-US" w:eastAsia="zh-CN" w:bidi="ar-SA"/>
              </w:rPr>
            </w:pPr>
            <w:r>
              <w:rPr>
                <w:rFonts w:hint="eastAsia" w:hAnsi="宋体" w:cs="Times New Roman"/>
                <w:color w:val="auto"/>
                <w:kern w:val="0"/>
                <w:sz w:val="24"/>
                <w:szCs w:val="20"/>
                <w:lang w:val="en-US" w:eastAsia="zh-CN" w:bidi="ar-SA"/>
              </w:rPr>
              <w:t>对项目区内的典型植被进行调查，同时记下植物的种类，植被的组成等，确定植物种类、植物群落，记录评价区植被和植物区系状况。同时注意收集相关植物和植被调查的资料并咨询当地林业部门等，了解当地的林业资源情况、野生植物的种类组成和资源变动情况；走访群众，了解野生植物的种类和变动情况，收集相关的资料如《云南植被》《云南植物志》《中国植被》等，并查阅项目区域周边近年来发表的文献资料，对评价区的植被和植物资源进行记录、统计和分析。</w:t>
            </w:r>
          </w:p>
          <w:p w14:paraId="58C4D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4.2调查内容</w:t>
            </w:r>
          </w:p>
          <w:p w14:paraId="055E31C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hAnsi="宋体" w:cs="Times New Roman"/>
                <w:color w:val="auto"/>
                <w:kern w:val="0"/>
                <w:sz w:val="24"/>
                <w:szCs w:val="20"/>
                <w:lang w:val="en-US" w:eastAsia="zh-CN" w:bidi="ar-SA"/>
              </w:rPr>
            </w:pPr>
            <w:r>
              <w:rPr>
                <w:rFonts w:hint="eastAsia" w:hAnsi="宋体" w:cs="Times New Roman"/>
                <w:color w:val="auto"/>
                <w:kern w:val="0"/>
                <w:sz w:val="24"/>
                <w:szCs w:val="20"/>
                <w:lang w:val="en-US" w:eastAsia="zh-CN" w:bidi="ar-SA"/>
              </w:rPr>
              <w:t>调查项目内的生态环境，调查项目影响范围内的植被及动植物资源，调查项目区有无特有种、珍稀濒危保护动植物或经济价值和科研价值较高的物种。</w:t>
            </w:r>
          </w:p>
          <w:p w14:paraId="3004469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hAnsi="宋体" w:cs="Times New Roman"/>
                <w:b/>
                <w:bCs/>
                <w:color w:val="auto"/>
                <w:kern w:val="0"/>
                <w:sz w:val="24"/>
                <w:szCs w:val="20"/>
                <w:lang w:val="en-US" w:eastAsia="zh-CN" w:bidi="ar-SA"/>
              </w:rPr>
            </w:pPr>
            <w:r>
              <w:rPr>
                <w:rFonts w:hint="eastAsia" w:hAnsi="宋体" w:cs="Times New Roman"/>
                <w:b/>
                <w:bCs/>
                <w:color w:val="auto"/>
                <w:kern w:val="0"/>
                <w:sz w:val="24"/>
                <w:szCs w:val="20"/>
                <w:lang w:val="en-US" w:eastAsia="zh-CN" w:bidi="ar-SA"/>
              </w:rPr>
              <w:t>4.3调查范围</w:t>
            </w:r>
          </w:p>
          <w:p w14:paraId="3AB95C1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hAnsi="宋体" w:cs="Times New Roman"/>
                <w:color w:val="auto"/>
                <w:kern w:val="0"/>
                <w:sz w:val="24"/>
                <w:szCs w:val="20"/>
                <w:highlight w:val="yellow"/>
                <w:lang w:val="en-US" w:eastAsia="zh-CN" w:bidi="ar-SA"/>
              </w:rPr>
            </w:pPr>
            <w:r>
              <w:rPr>
                <w:rFonts w:hint="eastAsia" w:hAnsi="宋体" w:cs="Times New Roman"/>
                <w:color w:val="auto"/>
                <w:kern w:val="0"/>
                <w:sz w:val="24"/>
                <w:szCs w:val="20"/>
                <w:lang w:val="en-US" w:eastAsia="zh-CN" w:bidi="ar-SA"/>
              </w:rPr>
              <w:t>调查范围为项目占地（包含临时占地）外延300m范围，</w:t>
            </w:r>
            <w:r>
              <w:rPr>
                <w:rFonts w:hint="default" w:ascii="Times New Roman" w:hAnsi="Times New Roman" w:cs="Times New Roman"/>
                <w:color w:val="auto"/>
                <w:spacing w:val="-5"/>
                <w:sz w:val="24"/>
                <w:szCs w:val="24"/>
                <w:highlight w:val="none"/>
                <w:shd w:val="clear" w:color="auto" w:fill="auto"/>
              </w:rPr>
              <w:t>评价区面积共计</w:t>
            </w:r>
            <w:r>
              <w:rPr>
                <w:rFonts w:hint="default" w:ascii="Times New Roman" w:hAnsi="Times New Roman" w:eastAsia="宋体" w:cs="Times New Roman"/>
                <w:i w:val="0"/>
                <w:iCs w:val="0"/>
                <w:color w:val="auto"/>
                <w:kern w:val="0"/>
                <w:sz w:val="24"/>
                <w:szCs w:val="24"/>
                <w:u w:val="none"/>
                <w:lang w:val="en-US" w:eastAsia="zh-CN" w:bidi="ar"/>
              </w:rPr>
              <w:t>449.0</w:t>
            </w:r>
            <w:r>
              <w:rPr>
                <w:rFonts w:hint="eastAsia" w:cs="Times New Roman"/>
                <w:i w:val="0"/>
                <w:iCs w:val="0"/>
                <w:color w:val="auto"/>
                <w:kern w:val="0"/>
                <w:sz w:val="24"/>
                <w:szCs w:val="24"/>
                <w:u w:val="none"/>
                <w:lang w:val="en-US" w:eastAsia="zh-CN" w:bidi="ar"/>
              </w:rPr>
              <w:t>3</w:t>
            </w:r>
            <w:r>
              <w:rPr>
                <w:rFonts w:hint="default" w:ascii="Times New Roman" w:hAnsi="Times New Roman" w:cs="Times New Roman"/>
                <w:color w:val="auto"/>
                <w:sz w:val="24"/>
                <w:szCs w:val="24"/>
                <w:highlight w:val="none"/>
                <w:shd w:val="clear" w:color="auto" w:fill="auto"/>
              </w:rPr>
              <w:t>hm</w:t>
            </w:r>
            <w:r>
              <w:rPr>
                <w:rFonts w:hint="default" w:ascii="Times New Roman" w:hAnsi="Times New Roman" w:cs="Times New Roman"/>
                <w:color w:val="auto"/>
                <w:sz w:val="24"/>
                <w:szCs w:val="24"/>
                <w:highlight w:val="none"/>
                <w:shd w:val="clear" w:color="auto" w:fill="auto"/>
                <w:vertAlign w:val="superscript"/>
              </w:rPr>
              <w:t>2</w:t>
            </w:r>
            <w:r>
              <w:rPr>
                <w:rFonts w:hint="eastAsia" w:hAnsi="宋体" w:cs="Times New Roman"/>
                <w:color w:val="auto"/>
                <w:kern w:val="0"/>
                <w:sz w:val="24"/>
                <w:szCs w:val="24"/>
                <w:highlight w:val="none"/>
                <w:lang w:val="en-US" w:eastAsia="zh-CN" w:bidi="ar-SA"/>
              </w:rPr>
              <w:t>。</w:t>
            </w:r>
          </w:p>
          <w:p w14:paraId="24D1565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宋体" w:eastAsia="宋体" w:cs="Times New Roman"/>
                <w:b/>
                <w:bCs/>
                <w:color w:val="auto"/>
                <w:kern w:val="0"/>
                <w:sz w:val="24"/>
                <w:szCs w:val="20"/>
                <w:lang w:val="en-US" w:eastAsia="zh-CN" w:bidi="ar-SA"/>
              </w:rPr>
            </w:pPr>
            <w:r>
              <w:rPr>
                <w:rFonts w:hint="eastAsia" w:hAnsi="宋体" w:cs="Times New Roman"/>
                <w:b/>
                <w:bCs/>
                <w:color w:val="auto"/>
                <w:kern w:val="0"/>
                <w:sz w:val="24"/>
                <w:szCs w:val="20"/>
                <w:highlight w:val="none"/>
                <w:lang w:val="en-US" w:eastAsia="zh-CN" w:bidi="ar-SA"/>
              </w:rPr>
              <w:t>4.4</w:t>
            </w:r>
            <w:r>
              <w:rPr>
                <w:rFonts w:hint="eastAsia" w:ascii="Times New Roman" w:hAnsi="宋体" w:eastAsia="宋体" w:cs="Times New Roman"/>
                <w:b/>
                <w:bCs/>
                <w:color w:val="auto"/>
                <w:kern w:val="0"/>
                <w:sz w:val="24"/>
                <w:szCs w:val="20"/>
                <w:lang w:val="en-US" w:eastAsia="zh-CN" w:bidi="ar-SA"/>
              </w:rPr>
              <w:t>调查时间</w:t>
            </w:r>
          </w:p>
          <w:p w14:paraId="670E22C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宋体"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sz w:val="24"/>
                <w:szCs w:val="24"/>
                <w:lang w:val="en-US" w:eastAsia="zh-CN"/>
              </w:rPr>
              <w:t>2024年</w:t>
            </w:r>
            <w:r>
              <w:rPr>
                <w:rFonts w:hint="eastAsia"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16</w:t>
            </w:r>
            <w:r>
              <w:rPr>
                <w:rFonts w:hint="eastAsia" w:ascii="Times New Roman" w:hAnsi="Times New Roman" w:eastAsia="宋体" w:cs="Times New Roman"/>
                <w:color w:val="auto"/>
                <w:sz w:val="24"/>
                <w:szCs w:val="24"/>
                <w:lang w:val="en-US" w:eastAsia="zh-CN"/>
              </w:rPr>
              <w:t>日</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2024年</w:t>
            </w:r>
            <w:r>
              <w:rPr>
                <w:rFonts w:hint="eastAsia"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日，我公司</w:t>
            </w:r>
            <w:r>
              <w:rPr>
                <w:rFonts w:hint="default" w:ascii="Times New Roman" w:hAnsi="Times New Roman" w:eastAsia="宋体" w:cs="Times New Roman"/>
                <w:color w:val="auto"/>
                <w:sz w:val="24"/>
                <w:szCs w:val="24"/>
                <w:lang w:val="en-US" w:eastAsia="zh-CN"/>
              </w:rPr>
              <w:t>项目组成员</w:t>
            </w:r>
            <w:r>
              <w:rPr>
                <w:rFonts w:hint="eastAsia" w:hAnsi="宋体" w:cs="Times New Roman"/>
                <w:color w:val="auto"/>
                <w:kern w:val="0"/>
                <w:sz w:val="24"/>
                <w:szCs w:val="20"/>
                <w:highlight w:val="none"/>
                <w:lang w:val="en-US" w:eastAsia="zh-CN" w:bidi="ar-SA"/>
              </w:rPr>
              <w:t>实地考察了</w:t>
            </w:r>
            <w:r>
              <w:rPr>
                <w:rFonts w:hint="eastAsia"/>
                <w:color w:val="auto"/>
                <w:sz w:val="24"/>
                <w:szCs w:val="24"/>
                <w:lang w:val="en-US" w:eastAsia="zh-CN"/>
              </w:rPr>
              <w:t>项目</w:t>
            </w:r>
            <w:r>
              <w:rPr>
                <w:rFonts w:hint="eastAsia" w:hAnsi="宋体" w:cs="Times New Roman"/>
                <w:color w:val="auto"/>
                <w:kern w:val="0"/>
                <w:sz w:val="24"/>
                <w:szCs w:val="20"/>
                <w:highlight w:val="none"/>
                <w:lang w:val="en-US" w:eastAsia="zh-CN" w:bidi="ar-SA"/>
              </w:rPr>
              <w:t>区及评价范围内的植被类型、野生植物种类。</w:t>
            </w:r>
          </w:p>
          <w:p w14:paraId="2FB7A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4.5</w:t>
            </w:r>
            <w:r>
              <w:rPr>
                <w:rFonts w:hint="eastAsia" w:ascii="Times New Roman" w:hAnsi="Times New Roman" w:eastAsia="宋体" w:cs="Times New Roman"/>
                <w:b/>
                <w:bCs/>
                <w:color w:val="auto"/>
                <w:sz w:val="24"/>
                <w:szCs w:val="24"/>
                <w:lang w:val="en-US" w:eastAsia="zh-CN"/>
              </w:rPr>
              <w:t>影响面积求算和制图方法</w:t>
            </w:r>
          </w:p>
          <w:p w14:paraId="518D2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利用评价区域卫星影像图片，根据野外植被调查、植物资源调查和动物资源调查的资料，对卫星影</w:t>
            </w:r>
            <w:r>
              <w:rPr>
                <w:rFonts w:hint="eastAsia" w:cs="Times New Roman"/>
                <w:color w:val="auto"/>
                <w:sz w:val="24"/>
                <w:szCs w:val="24"/>
                <w:lang w:val="en-US" w:eastAsia="zh-CN"/>
              </w:rPr>
              <w:t>像</w:t>
            </w:r>
            <w:r>
              <w:rPr>
                <w:rFonts w:hint="eastAsia" w:ascii="Times New Roman" w:hAnsi="Times New Roman" w:eastAsia="宋体" w:cs="Times New Roman"/>
                <w:color w:val="auto"/>
                <w:sz w:val="24"/>
                <w:szCs w:val="24"/>
                <w:lang w:val="en-US" w:eastAsia="zh-CN"/>
              </w:rPr>
              <w:t>图片进行植被解译。采用GIS方法，计算评价区和直接影响区内的各种植被类型的面积。同时完成评价区的土地利用现状图和植被类型图。</w:t>
            </w:r>
          </w:p>
          <w:p w14:paraId="079A4D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4.6</w:t>
            </w:r>
            <w:r>
              <w:rPr>
                <w:rFonts w:hint="eastAsia" w:ascii="Times New Roman" w:hAnsi="Times New Roman" w:eastAsia="宋体" w:cs="Times New Roman"/>
                <w:b/>
                <w:bCs/>
                <w:color w:val="auto"/>
                <w:sz w:val="24"/>
                <w:szCs w:val="24"/>
                <w:lang w:val="en-US" w:eastAsia="zh-CN"/>
              </w:rPr>
              <w:t>植被现状调查与评价</w:t>
            </w:r>
          </w:p>
          <w:p w14:paraId="5415CAD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rPr>
            </w:pPr>
            <w:r>
              <w:rPr>
                <w:rFonts w:hint="eastAsia"/>
                <w:bCs/>
                <w:color w:val="auto"/>
                <w:kern w:val="0"/>
                <w:sz w:val="24"/>
                <w:szCs w:val="24"/>
                <w:lang w:eastAsia="zh-CN"/>
              </w:rPr>
              <w:t>（</w:t>
            </w:r>
            <w:r>
              <w:rPr>
                <w:rFonts w:hint="eastAsia" w:ascii="Times New Roman" w:hAnsi="Times New Roman"/>
                <w:bCs/>
                <w:color w:val="auto"/>
                <w:kern w:val="0"/>
                <w:sz w:val="24"/>
                <w:szCs w:val="24"/>
              </w:rPr>
              <w:t>1）评价区植被分类系统</w:t>
            </w:r>
          </w:p>
          <w:p w14:paraId="536BFA6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lang w:val="en-US" w:eastAsia="zh-CN"/>
              </w:rPr>
              <w:t>项目评价区海拔在2</w:t>
            </w:r>
            <w:r>
              <w:rPr>
                <w:rFonts w:hint="eastAsia" w:ascii="Times New Roman" w:hAnsi="Times New Roman" w:eastAsia="宋体" w:cs="Times New Roman"/>
                <w:color w:val="auto"/>
                <w:sz w:val="24"/>
                <w:szCs w:val="24"/>
                <w:lang w:val="en-US" w:eastAsia="zh-CN"/>
              </w:rPr>
              <w:t>010</w:t>
            </w:r>
            <w:r>
              <w:rPr>
                <w:rFonts w:hint="eastAsia" w:cs="Times New Roman"/>
                <w:color w:val="auto"/>
                <w:sz w:val="24"/>
                <w:szCs w:val="24"/>
                <w:lang w:val="en-US" w:eastAsia="zh-CN"/>
              </w:rPr>
              <w:t>～2400</w:t>
            </w:r>
            <w:r>
              <w:rPr>
                <w:rFonts w:hint="default" w:ascii="Times New Roman" w:hAnsi="Times New Roman" w:eastAsia="宋体" w:cs="Times New Roman"/>
                <w:color w:val="auto"/>
                <w:sz w:val="24"/>
                <w:szCs w:val="24"/>
                <w:lang w:val="en-US" w:eastAsia="zh-CN"/>
              </w:rPr>
              <w:t>m之间，</w:t>
            </w:r>
            <w:r>
              <w:rPr>
                <w:rFonts w:hint="default" w:ascii="Times New Roman" w:hAnsi="Times New Roman" w:eastAsia="宋体" w:cs="Times New Roman"/>
                <w:color w:val="auto"/>
                <w:kern w:val="0"/>
                <w:sz w:val="24"/>
                <w:szCs w:val="24"/>
                <w:lang w:val="en-US" w:eastAsia="zh-CN" w:bidi="ar"/>
              </w:rPr>
              <w:t>根据实地调查</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spacing w:val="0"/>
                <w:sz w:val="24"/>
              </w:rPr>
              <w:t>结合《云南植被》、高清遥感影像等基础资料，</w:t>
            </w:r>
            <w:r>
              <w:rPr>
                <w:rFonts w:hint="default" w:ascii="Times New Roman" w:hAnsi="Times New Roman" w:eastAsia="宋体" w:cs="Times New Roman"/>
                <w:color w:val="auto"/>
                <w:kern w:val="0"/>
                <w:sz w:val="24"/>
                <w:szCs w:val="24"/>
                <w:lang w:val="en-US" w:eastAsia="zh-CN" w:bidi="ar"/>
              </w:rPr>
              <w:t>评价区植被分为自然植被和人工植被两类，自然植被可划分为</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个植被型</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highlight w:val="none"/>
                <w:lang w:val="en-US" w:eastAsia="zh-CN" w:bidi="ar"/>
              </w:rPr>
              <w:t>落叶阔叶林</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暖性针叶林</w:t>
            </w:r>
            <w:r>
              <w:rPr>
                <w:rFonts w:hint="eastAsia" w:ascii="Times New Roman" w:hAnsi="Times New Roman" w:eastAsia="宋体" w:cs="Times New Roman"/>
                <w:color w:val="auto"/>
                <w:kern w:val="0"/>
                <w:sz w:val="24"/>
                <w:szCs w:val="24"/>
                <w:highlight w:val="none"/>
                <w:lang w:val="en-US" w:eastAsia="zh-CN" w:bidi="ar"/>
              </w:rPr>
              <w:t>、灌丛</w:t>
            </w:r>
            <w:r>
              <w:rPr>
                <w:rFonts w:hint="eastAsia" w:cs="Times New Roman"/>
                <w:color w:val="auto"/>
                <w:kern w:val="0"/>
                <w:sz w:val="24"/>
                <w:szCs w:val="24"/>
                <w:highlight w:val="none"/>
                <w:lang w:val="en-US" w:eastAsia="zh-CN" w:bidi="ar"/>
              </w:rPr>
              <w:t>、稀树灌木草丛</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highlight w:val="none"/>
                <w:lang w:val="en-US" w:eastAsia="zh-CN" w:bidi="ar"/>
              </w:rPr>
              <w:t>个植被亚型</w:t>
            </w:r>
            <w:r>
              <w:rPr>
                <w:rFonts w:hint="eastAsia" w:ascii="Times New Roman" w:hAnsi="Times New Roman" w:eastAsia="宋体" w:cs="Times New Roman"/>
                <w:color w:val="auto"/>
                <w:kern w:val="0"/>
                <w:sz w:val="24"/>
                <w:szCs w:val="24"/>
                <w:highlight w:val="none"/>
                <w:lang w:val="en-US" w:eastAsia="zh-CN" w:bidi="ar"/>
              </w:rPr>
              <w:t>（桤木</w:t>
            </w:r>
            <w:r>
              <w:rPr>
                <w:rFonts w:hint="default" w:ascii="Times New Roman" w:hAnsi="Times New Roman" w:eastAsia="宋体" w:cs="Times New Roman"/>
                <w:color w:val="auto"/>
                <w:kern w:val="0"/>
                <w:sz w:val="24"/>
                <w:szCs w:val="24"/>
                <w:highlight w:val="none"/>
                <w:lang w:val="en-US" w:eastAsia="zh-CN" w:bidi="ar"/>
              </w:rPr>
              <w:t>林</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落叶栎林、</w:t>
            </w:r>
            <w:r>
              <w:rPr>
                <w:rFonts w:hint="eastAsia" w:cs="宋体"/>
                <w:color w:val="auto"/>
                <w:sz w:val="24"/>
                <w:szCs w:val="24"/>
                <w:highlight w:val="none"/>
                <w:lang w:bidi="ar"/>
              </w:rPr>
              <w:t>暖温性针叶林</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bCs/>
                <w:color w:val="auto"/>
                <w:sz w:val="24"/>
                <w:szCs w:val="24"/>
                <w:vertAlign w:val="baseline"/>
                <w:lang w:val="en-US" w:eastAsia="zh-CN"/>
              </w:rPr>
              <w:t>暖性石灰岩灌丛</w:t>
            </w:r>
            <w:r>
              <w:rPr>
                <w:rFonts w:hint="eastAsia" w:ascii="Times New Roman" w:hAnsi="Times New Roman" w:eastAsia="宋体" w:cs="Times New Roman"/>
                <w:color w:val="auto"/>
                <w:kern w:val="0"/>
                <w:sz w:val="24"/>
                <w:szCs w:val="24"/>
                <w:highlight w:val="none"/>
                <w:lang w:val="en-US" w:eastAsia="zh-CN" w:bidi="ar"/>
              </w:rPr>
              <w:t>、暖温性稀树灌木草丛）</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个群系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旱冬瓜林</w:t>
            </w:r>
            <w:r>
              <w:rPr>
                <w:rFonts w:hint="eastAsia" w:cs="Times New Roman"/>
                <w:color w:val="auto"/>
                <w:kern w:val="0"/>
                <w:sz w:val="24"/>
                <w:szCs w:val="24"/>
                <w:highlight w:val="none"/>
                <w:lang w:val="en-US" w:eastAsia="zh-CN" w:bidi="ar"/>
              </w:rPr>
              <w:t>；栓皮栎林；</w:t>
            </w:r>
            <w:r>
              <w:rPr>
                <w:rFonts w:hint="eastAsia" w:cs="宋体"/>
                <w:color w:val="auto"/>
                <w:sz w:val="24"/>
                <w:szCs w:val="24"/>
                <w:highlight w:val="none"/>
                <w:lang w:bidi="ar"/>
              </w:rPr>
              <w:t>云南松林</w:t>
            </w:r>
            <w:r>
              <w:rPr>
                <w:rFonts w:hint="eastAsia" w:cs="宋体"/>
                <w:color w:val="auto"/>
                <w:sz w:val="24"/>
                <w:szCs w:val="24"/>
                <w:highlight w:val="none"/>
                <w:lang w:eastAsia="zh-CN" w:bidi="ar"/>
              </w:rPr>
              <w:t>；</w:t>
            </w:r>
            <w:r>
              <w:rPr>
                <w:rFonts w:hint="eastAsia" w:ascii="Times New Roman" w:hAnsi="Times New Roman" w:eastAsia="宋体" w:cs="Times New Roman"/>
                <w:color w:val="auto"/>
                <w:kern w:val="0"/>
                <w:sz w:val="24"/>
                <w:szCs w:val="24"/>
                <w:highlight w:val="none"/>
                <w:lang w:val="en-US" w:eastAsia="zh-CN" w:bidi="ar"/>
              </w:rPr>
              <w:t>云南松-西南栒子灌丛</w:t>
            </w:r>
            <w:r>
              <w:rPr>
                <w:rFonts w:hint="eastAsia"/>
                <w:color w:val="auto"/>
                <w:sz w:val="24"/>
                <w:szCs w:val="24"/>
                <w:lang w:val="pt-BR" w:eastAsia="zh-CN"/>
              </w:rPr>
              <w:t>；</w:t>
            </w:r>
            <w:r>
              <w:rPr>
                <w:rFonts w:hint="default" w:ascii="Times New Roman" w:hAnsi="Times New Roman" w:eastAsia="宋体" w:cs="Times New Roman"/>
                <w:color w:val="auto"/>
                <w:kern w:val="0"/>
                <w:sz w:val="24"/>
                <w:szCs w:val="24"/>
                <w:highlight w:val="none"/>
                <w:lang w:val="en-US" w:eastAsia="zh-CN" w:bidi="ar"/>
              </w:rPr>
              <w:t>火棘</w:t>
            </w:r>
            <w:r>
              <w:rPr>
                <w:rFonts w:hint="eastAsia" w:ascii="Times New Roman" w:hAnsi="Times New Roman" w:eastAsia="宋体" w:cs="Times New Roman"/>
                <w:color w:val="auto"/>
                <w:kern w:val="0"/>
                <w:sz w:val="24"/>
                <w:szCs w:val="24"/>
                <w:highlight w:val="none"/>
                <w:lang w:val="en-US" w:eastAsia="zh-CN" w:bidi="ar"/>
              </w:rPr>
              <w:t>灌丛；含云南松、毛蕨</w:t>
            </w:r>
            <w:r>
              <w:rPr>
                <w:rFonts w:hint="eastAsia" w:cs="Times New Roman"/>
                <w:color w:val="auto"/>
                <w:kern w:val="0"/>
                <w:sz w:val="24"/>
                <w:szCs w:val="24"/>
                <w:highlight w:val="none"/>
                <w:lang w:val="en-US" w:eastAsia="zh-CN" w:bidi="ar"/>
              </w:rPr>
              <w:t>的中</w:t>
            </w:r>
            <w:r>
              <w:rPr>
                <w:rFonts w:hint="eastAsia" w:ascii="Times New Roman" w:hAnsi="Times New Roman" w:eastAsia="宋体" w:cs="Times New Roman"/>
                <w:color w:val="auto"/>
                <w:kern w:val="0"/>
                <w:sz w:val="24"/>
                <w:szCs w:val="24"/>
                <w:highlight w:val="none"/>
                <w:lang w:val="en-US" w:eastAsia="zh-CN" w:bidi="ar"/>
              </w:rPr>
              <w:t>草丛）；</w:t>
            </w:r>
            <w:r>
              <w:rPr>
                <w:rFonts w:hint="default" w:ascii="Times New Roman" w:hAnsi="Times New Roman" w:eastAsia="宋体" w:cs="Times New Roman"/>
                <w:color w:val="auto"/>
                <w:kern w:val="0"/>
                <w:sz w:val="24"/>
                <w:szCs w:val="24"/>
                <w:highlight w:val="none"/>
                <w:lang w:val="en-US" w:eastAsia="zh-CN" w:bidi="ar"/>
              </w:rPr>
              <w:t>人工植被包括人工林、</w:t>
            </w:r>
            <w:r>
              <w:rPr>
                <w:rFonts w:hint="eastAsia" w:ascii="Times New Roman" w:hAnsi="Times New Roman" w:eastAsia="宋体" w:cs="Times New Roman"/>
                <w:color w:val="auto"/>
                <w:kern w:val="0"/>
                <w:sz w:val="24"/>
                <w:szCs w:val="24"/>
                <w:highlight w:val="none"/>
                <w:lang w:val="en-US" w:eastAsia="zh-CN" w:bidi="ar"/>
              </w:rPr>
              <w:t>农田植被</w:t>
            </w:r>
            <w:r>
              <w:rPr>
                <w:rFonts w:hint="default" w:ascii="Times New Roman" w:hAnsi="Times New Roman" w:eastAsia="宋体" w:cs="Times New Roman"/>
                <w:color w:val="auto"/>
                <w:kern w:val="0"/>
                <w:sz w:val="24"/>
                <w:szCs w:val="24"/>
                <w:highlight w:val="none"/>
                <w:lang w:val="en-US" w:eastAsia="zh-CN" w:bidi="ar"/>
              </w:rPr>
              <w:t>等。植被分类系统详见表3-</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14:paraId="43D4BD46">
            <w:pPr>
              <w:pStyle w:val="131"/>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val="0"/>
                <w:color w:val="auto"/>
                <w:kern w:val="0"/>
                <w:sz w:val="21"/>
                <w:szCs w:val="21"/>
                <w:lang w:val="en-US" w:eastAsia="zh-CN" w:bidi="ar-SA"/>
              </w:rPr>
            </w:pPr>
            <w:r>
              <w:rPr>
                <w:rFonts w:hint="eastAsia" w:ascii="Times New Roman" w:hAnsi="Times New Roman" w:eastAsia="宋体" w:cs="Times New Roman"/>
                <w:b/>
                <w:bCs w:val="0"/>
                <w:color w:val="auto"/>
                <w:kern w:val="0"/>
                <w:sz w:val="21"/>
                <w:szCs w:val="21"/>
                <w:lang w:val="en-US" w:eastAsia="zh-CN" w:bidi="ar-SA"/>
              </w:rPr>
              <w:t>表3-</w:t>
            </w:r>
            <w:r>
              <w:rPr>
                <w:rFonts w:hint="eastAsia" w:ascii="Times New Roman" w:eastAsia="宋体" w:cs="Times New Roman"/>
                <w:b/>
                <w:bCs w:val="0"/>
                <w:color w:val="auto"/>
                <w:kern w:val="0"/>
                <w:sz w:val="21"/>
                <w:szCs w:val="21"/>
                <w:lang w:val="en-US" w:eastAsia="zh-CN" w:bidi="ar-SA"/>
              </w:rPr>
              <w:t>3</w:t>
            </w:r>
            <w:r>
              <w:rPr>
                <w:rFonts w:hint="eastAsia" w:ascii="Times New Roman" w:hAnsi="Times New Roman" w:eastAsia="宋体" w:cs="Times New Roman"/>
                <w:b/>
                <w:bCs w:val="0"/>
                <w:color w:val="auto"/>
                <w:kern w:val="0"/>
                <w:sz w:val="21"/>
                <w:szCs w:val="21"/>
                <w:lang w:val="en-US" w:eastAsia="zh-CN" w:bidi="ar-SA"/>
              </w:rPr>
              <w:t xml:space="preserve"> </w:t>
            </w:r>
            <w:r>
              <w:rPr>
                <w:rFonts w:hint="eastAsia" w:ascii="Times New Roman" w:eastAsia="宋体" w:cs="Times New Roman"/>
                <w:b/>
                <w:bCs w:val="0"/>
                <w:color w:val="auto"/>
                <w:kern w:val="0"/>
                <w:sz w:val="21"/>
                <w:szCs w:val="21"/>
                <w:lang w:val="en-US" w:eastAsia="zh-CN" w:bidi="ar-SA"/>
              </w:rPr>
              <w:t xml:space="preserve"> </w:t>
            </w:r>
            <w:r>
              <w:rPr>
                <w:rFonts w:hint="eastAsia" w:ascii="Times New Roman" w:hAnsi="Times New Roman" w:eastAsia="宋体" w:cs="Times New Roman"/>
                <w:b/>
                <w:bCs w:val="0"/>
                <w:color w:val="auto"/>
                <w:kern w:val="0"/>
                <w:sz w:val="21"/>
                <w:szCs w:val="21"/>
                <w:lang w:val="en-US" w:eastAsia="zh-CN" w:bidi="ar-SA"/>
              </w:rPr>
              <w:t>评价区内植被分类系统</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7"/>
              <w:gridCol w:w="1707"/>
            </w:tblGrid>
            <w:tr w14:paraId="49A2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3916" w:type="pct"/>
                  <w:noWrap w:val="0"/>
                  <w:vAlign w:val="top"/>
                </w:tcPr>
                <w:p w14:paraId="400EED2C">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一、自然植被</w:t>
                  </w:r>
                </w:p>
              </w:tc>
              <w:tc>
                <w:tcPr>
                  <w:tcW w:w="1083" w:type="pct"/>
                  <w:noWrap w:val="0"/>
                  <w:vAlign w:val="top"/>
                </w:tcPr>
                <w:p w14:paraId="115FF86B">
                  <w:pPr>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 w:val="21"/>
                      <w:szCs w:val="21"/>
                      <w:vertAlign w:val="baseline"/>
                      <w:lang w:val="en-US" w:eastAsia="zh-CN"/>
                    </w:rPr>
                  </w:pPr>
                  <w:r>
                    <w:rPr>
                      <w:rFonts w:hint="eastAsia" w:hAnsi="宋体" w:cs="宋体"/>
                      <w:b/>
                      <w:color w:val="auto"/>
                      <w:sz w:val="21"/>
                      <w:szCs w:val="21"/>
                      <w:lang w:bidi="ar"/>
                    </w:rPr>
                    <w:t>分布区域</w:t>
                  </w:r>
                </w:p>
              </w:tc>
            </w:tr>
            <w:tr w14:paraId="097E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5FEE757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w:t>
                  </w:r>
                  <w:r>
                    <w:rPr>
                      <w:rFonts w:hint="eastAsia" w:ascii="Times New Roman" w:hAnsi="Times New Roman" w:eastAsia="宋体" w:cs="Times New Roman"/>
                      <w:color w:val="auto"/>
                      <w:kern w:val="0"/>
                      <w:sz w:val="21"/>
                      <w:szCs w:val="21"/>
                      <w:highlight w:val="none"/>
                      <w:lang w:val="en-US" w:eastAsia="zh-CN" w:bidi="ar"/>
                    </w:rPr>
                    <w:t>落叶阔叶林</w:t>
                  </w:r>
                </w:p>
              </w:tc>
              <w:tc>
                <w:tcPr>
                  <w:tcW w:w="1083" w:type="pct"/>
                  <w:noWrap w:val="0"/>
                  <w:vAlign w:val="top"/>
                </w:tcPr>
                <w:p w14:paraId="49AE2FF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5E16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0EDFFCF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（I）</w:t>
                  </w:r>
                  <w:r>
                    <w:rPr>
                      <w:rFonts w:hint="eastAsia" w:ascii="Times New Roman" w:hAnsi="Times New Roman" w:eastAsia="宋体" w:cs="Times New Roman"/>
                      <w:color w:val="auto"/>
                      <w:kern w:val="0"/>
                      <w:sz w:val="21"/>
                      <w:szCs w:val="21"/>
                      <w:highlight w:val="none"/>
                      <w:lang w:val="en-US" w:eastAsia="zh-CN" w:bidi="ar"/>
                    </w:rPr>
                    <w:t>桤木</w:t>
                  </w:r>
                  <w:r>
                    <w:rPr>
                      <w:rFonts w:hint="default" w:ascii="Times New Roman" w:hAnsi="Times New Roman" w:eastAsia="宋体" w:cs="Times New Roman"/>
                      <w:color w:val="auto"/>
                      <w:kern w:val="0"/>
                      <w:sz w:val="21"/>
                      <w:szCs w:val="21"/>
                      <w:highlight w:val="none"/>
                      <w:lang w:val="en-US" w:eastAsia="zh-CN" w:bidi="ar"/>
                    </w:rPr>
                    <w:t>林</w:t>
                  </w:r>
                </w:p>
              </w:tc>
              <w:tc>
                <w:tcPr>
                  <w:tcW w:w="1083" w:type="pct"/>
                  <w:noWrap w:val="0"/>
                  <w:vAlign w:val="top"/>
                </w:tcPr>
                <w:p w14:paraId="2328CCE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7819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1680066E">
                  <w:pPr>
                    <w:keepNext w:val="0"/>
                    <w:keepLines w:val="0"/>
                    <w:widowControl/>
                    <w:suppressLineNumbers w:val="0"/>
                    <w:spacing w:before="0" w:beforeAutospacing="0" w:after="0" w:afterAutospacing="0"/>
                    <w:ind w:left="0" w:right="0" w:firstLine="210" w:firstLineChars="100"/>
                    <w:jc w:val="left"/>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（一）</w:t>
                  </w:r>
                  <w:r>
                    <w:rPr>
                      <w:rFonts w:hint="default" w:ascii="Times New Roman" w:hAnsi="Times New Roman" w:eastAsia="宋体" w:cs="Times New Roman"/>
                      <w:color w:val="auto"/>
                      <w:kern w:val="0"/>
                      <w:sz w:val="21"/>
                      <w:szCs w:val="21"/>
                      <w:highlight w:val="none"/>
                      <w:lang w:val="en-US" w:eastAsia="zh-CN" w:bidi="ar"/>
                    </w:rPr>
                    <w:t>旱冬瓜林</w:t>
                  </w:r>
                </w:p>
              </w:tc>
              <w:tc>
                <w:tcPr>
                  <w:tcW w:w="1083" w:type="pct"/>
                  <w:noWrap w:val="0"/>
                  <w:vAlign w:val="top"/>
                </w:tcPr>
                <w:p w14:paraId="5CD8AC1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1BF0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6" w:type="pct"/>
                  <w:noWrap w:val="0"/>
                  <w:vAlign w:val="top"/>
                </w:tcPr>
                <w:p w14:paraId="3D85FD4F">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旱冬瓜</w:t>
                  </w:r>
                  <w:r>
                    <w:rPr>
                      <w:rFonts w:hint="eastAsia" w:cs="宋体"/>
                      <w:color w:val="auto"/>
                      <w:sz w:val="21"/>
                      <w:szCs w:val="21"/>
                      <w:highlight w:val="none"/>
                      <w:lang w:val="en-US" w:eastAsia="zh-CN" w:bidi="ar"/>
                    </w:rPr>
                    <w:t>群落</w:t>
                  </w:r>
                </w:p>
              </w:tc>
              <w:tc>
                <w:tcPr>
                  <w:tcW w:w="1083" w:type="pct"/>
                  <w:noWrap w:val="0"/>
                  <w:vAlign w:val="top"/>
                </w:tcPr>
                <w:p w14:paraId="44DA513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42D5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0582A054">
                  <w:pPr>
                    <w:keepNext w:val="0"/>
                    <w:keepLines w:val="0"/>
                    <w:widowControl/>
                    <w:suppressLineNumbers w:val="0"/>
                    <w:spacing w:before="0" w:beforeAutospacing="0" w:after="0" w:afterAutospacing="0" w:line="240" w:lineRule="auto"/>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（Ⅱ）</w:t>
                  </w:r>
                  <w:r>
                    <w:rPr>
                      <w:rFonts w:hint="eastAsia" w:cs="Times New Roman"/>
                      <w:color w:val="auto"/>
                      <w:kern w:val="0"/>
                      <w:sz w:val="21"/>
                      <w:szCs w:val="21"/>
                      <w:highlight w:val="none"/>
                      <w:lang w:val="en-US" w:eastAsia="zh-CN" w:bidi="ar"/>
                    </w:rPr>
                    <w:t>落叶栎林</w:t>
                  </w:r>
                </w:p>
              </w:tc>
              <w:tc>
                <w:tcPr>
                  <w:tcW w:w="1083" w:type="pct"/>
                  <w:noWrap w:val="0"/>
                  <w:vAlign w:val="top"/>
                </w:tcPr>
                <w:p w14:paraId="0BDDC29E">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5928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0FE42DD1">
                  <w:pPr>
                    <w:keepNext w:val="0"/>
                    <w:keepLines w:val="0"/>
                    <w:widowControl/>
                    <w:suppressLineNumbers w:val="0"/>
                    <w:spacing w:before="0" w:beforeAutospacing="0" w:after="0" w:afterAutospacing="0" w:line="240" w:lineRule="auto"/>
                    <w:ind w:left="0" w:right="0" w:firstLine="210" w:firstLineChars="10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二</w:t>
                  </w: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栓皮栎林</w:t>
                  </w:r>
                </w:p>
              </w:tc>
              <w:tc>
                <w:tcPr>
                  <w:tcW w:w="1083" w:type="pct"/>
                  <w:noWrap w:val="0"/>
                  <w:vAlign w:val="top"/>
                </w:tcPr>
                <w:p w14:paraId="48CAA259">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3E6F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4478EA4D">
                  <w:pPr>
                    <w:keepNext w:val="0"/>
                    <w:keepLines w:val="0"/>
                    <w:widowControl/>
                    <w:suppressLineNumbers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2.栓皮栎</w:t>
                  </w:r>
                  <w:r>
                    <w:rPr>
                      <w:rFonts w:hint="eastAsia" w:cs="宋体"/>
                      <w:color w:val="auto"/>
                      <w:sz w:val="21"/>
                      <w:szCs w:val="21"/>
                      <w:highlight w:val="none"/>
                      <w:lang w:val="en-US" w:eastAsia="zh-CN" w:bidi="ar"/>
                    </w:rPr>
                    <w:t>群落</w:t>
                  </w:r>
                </w:p>
              </w:tc>
              <w:tc>
                <w:tcPr>
                  <w:tcW w:w="1083" w:type="pct"/>
                  <w:noWrap w:val="0"/>
                  <w:vAlign w:val="top"/>
                </w:tcPr>
                <w:p w14:paraId="3C42F496">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6BFC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3C6D7A6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Ⅱ.暖性针叶林</w:t>
                  </w:r>
                </w:p>
              </w:tc>
              <w:tc>
                <w:tcPr>
                  <w:tcW w:w="1083" w:type="pct"/>
                  <w:noWrap w:val="0"/>
                  <w:vAlign w:val="top"/>
                </w:tcPr>
                <w:p w14:paraId="7E05BC5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0A8E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43746B46">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w:t>
                  </w:r>
                  <w:r>
                    <w:rPr>
                      <w:rFonts w:hint="eastAsia" w:cs="宋体"/>
                      <w:color w:val="auto"/>
                      <w:sz w:val="21"/>
                      <w:szCs w:val="21"/>
                      <w:highlight w:val="none"/>
                      <w:lang w:bidi="ar"/>
                    </w:rPr>
                    <w:t>暖温性针叶林</w:t>
                  </w:r>
                </w:p>
              </w:tc>
              <w:tc>
                <w:tcPr>
                  <w:tcW w:w="1083" w:type="pct"/>
                  <w:noWrap w:val="0"/>
                  <w:vAlign w:val="top"/>
                </w:tcPr>
                <w:p w14:paraId="7232D02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114C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628B0E21">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三</w:t>
                  </w:r>
                  <w:r>
                    <w:rPr>
                      <w:rFonts w:hint="eastAsia" w:ascii="Times New Roman" w:hAnsi="Times New Roman" w:eastAsia="宋体" w:cs="Times New Roman"/>
                      <w:color w:val="auto"/>
                      <w:kern w:val="0"/>
                      <w:sz w:val="21"/>
                      <w:szCs w:val="21"/>
                      <w:highlight w:val="none"/>
                      <w:lang w:val="en-US" w:eastAsia="zh-CN" w:bidi="ar"/>
                    </w:rPr>
                    <w:t>）</w:t>
                  </w:r>
                  <w:r>
                    <w:rPr>
                      <w:rFonts w:hint="eastAsia" w:cs="宋体"/>
                      <w:color w:val="auto"/>
                      <w:sz w:val="21"/>
                      <w:szCs w:val="21"/>
                      <w:highlight w:val="none"/>
                      <w:lang w:bidi="ar"/>
                    </w:rPr>
                    <w:t>云南松林</w:t>
                  </w:r>
                </w:p>
              </w:tc>
              <w:tc>
                <w:tcPr>
                  <w:tcW w:w="1083" w:type="pct"/>
                  <w:noWrap w:val="0"/>
                  <w:vAlign w:val="top"/>
                </w:tcPr>
                <w:p w14:paraId="002A96F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09CB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104D1B4C">
                  <w:pPr>
                    <w:keepNext w:val="0"/>
                    <w:keepLines w:val="0"/>
                    <w:widowControl/>
                    <w:suppressLineNumbers w:val="0"/>
                    <w:spacing w:before="0" w:beforeAutospacing="0" w:after="0" w:afterAutospacing="0"/>
                    <w:ind w:left="0" w:right="0" w:firstLine="420" w:firstLineChars="200"/>
                    <w:jc w:val="left"/>
                    <w:rPr>
                      <w:rFonts w:hint="eastAsia" w:ascii="Times New Roman" w:hAnsi="Times New Roman" w:eastAsia="宋体" w:cs="Times New Roman"/>
                      <w:color w:val="auto"/>
                      <w:kern w:val="0"/>
                      <w:sz w:val="21"/>
                      <w:szCs w:val="21"/>
                      <w:highlight w:val="none"/>
                      <w:lang w:val="en-US" w:eastAsia="zh-CN" w:bidi="ar"/>
                    </w:rPr>
                  </w:pPr>
                  <w:r>
                    <w:rPr>
                      <w:rFonts w:hint="eastAsia" w:cs="宋体"/>
                      <w:color w:val="auto"/>
                      <w:sz w:val="21"/>
                      <w:szCs w:val="21"/>
                      <w:highlight w:val="none"/>
                      <w:lang w:val="en-US" w:eastAsia="zh-CN" w:bidi="ar"/>
                    </w:rPr>
                    <w:t>3.</w:t>
                  </w:r>
                  <w:r>
                    <w:rPr>
                      <w:rFonts w:hint="eastAsia" w:cs="宋体"/>
                      <w:color w:val="auto"/>
                      <w:sz w:val="21"/>
                      <w:szCs w:val="21"/>
                      <w:highlight w:val="none"/>
                      <w:lang w:bidi="ar"/>
                    </w:rPr>
                    <w:t>云南松</w:t>
                  </w:r>
                  <w:r>
                    <w:rPr>
                      <w:rFonts w:hint="eastAsia" w:cs="宋体"/>
                      <w:color w:val="auto"/>
                      <w:sz w:val="21"/>
                      <w:szCs w:val="21"/>
                      <w:highlight w:val="none"/>
                      <w:lang w:val="en-US" w:eastAsia="zh-CN" w:bidi="ar"/>
                    </w:rPr>
                    <w:t>群落</w:t>
                  </w:r>
                </w:p>
              </w:tc>
              <w:tc>
                <w:tcPr>
                  <w:tcW w:w="1083" w:type="pct"/>
                  <w:noWrap w:val="0"/>
                  <w:vAlign w:val="top"/>
                </w:tcPr>
                <w:p w14:paraId="2AD3C690">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17F2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0DDDCB2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w:t>
                  </w:r>
                  <w:r>
                    <w:rPr>
                      <w:rFonts w:hint="eastAsia" w:hAnsi="宋体" w:cs="宋体"/>
                      <w:color w:val="auto"/>
                      <w:sz w:val="21"/>
                      <w:szCs w:val="21"/>
                      <w:highlight w:val="none"/>
                      <w:lang w:bidi="ar"/>
                    </w:rPr>
                    <w:t>灌丛</w:t>
                  </w:r>
                </w:p>
              </w:tc>
              <w:tc>
                <w:tcPr>
                  <w:tcW w:w="1083" w:type="pct"/>
                  <w:noWrap w:val="0"/>
                  <w:vAlign w:val="top"/>
                </w:tcPr>
                <w:p w14:paraId="692CB7B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3F0E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916" w:type="pct"/>
                  <w:noWrap w:val="0"/>
                  <w:vAlign w:val="top"/>
                </w:tcPr>
                <w:p w14:paraId="4C47006C">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（Ⅳ）</w:t>
                  </w:r>
                  <w:r>
                    <w:rPr>
                      <w:rFonts w:hint="eastAsia" w:ascii="Times New Roman" w:hAnsi="Times New Roman" w:eastAsia="宋体" w:cs="Times New Roman"/>
                      <w:bCs/>
                      <w:color w:val="auto"/>
                      <w:sz w:val="21"/>
                      <w:szCs w:val="21"/>
                      <w:vertAlign w:val="baseline"/>
                      <w:lang w:val="en-US" w:eastAsia="zh-CN"/>
                    </w:rPr>
                    <w:t>暖性石灰岩灌丛</w:t>
                  </w:r>
                </w:p>
              </w:tc>
              <w:tc>
                <w:tcPr>
                  <w:tcW w:w="1083" w:type="pct"/>
                  <w:noWrap w:val="0"/>
                  <w:vAlign w:val="top"/>
                </w:tcPr>
                <w:p w14:paraId="2BD8560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7331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05C5A2D8">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四</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云南松-西南栒子灌丛</w:t>
                  </w:r>
                </w:p>
              </w:tc>
              <w:tc>
                <w:tcPr>
                  <w:tcW w:w="1083" w:type="pct"/>
                  <w:noWrap w:val="0"/>
                  <w:vAlign w:val="top"/>
                </w:tcPr>
                <w:p w14:paraId="790BDD3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6890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916" w:type="pct"/>
                  <w:noWrap w:val="0"/>
                  <w:vAlign w:val="top"/>
                </w:tcPr>
                <w:p w14:paraId="456EABE0">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eastAsia" w:cs="宋体"/>
                      <w:color w:val="auto"/>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云南松-西南栒子</w:t>
                  </w:r>
                  <w:r>
                    <w:rPr>
                      <w:rFonts w:hint="eastAsia" w:cs="宋体"/>
                      <w:color w:val="auto"/>
                      <w:sz w:val="21"/>
                      <w:szCs w:val="21"/>
                      <w:highlight w:val="none"/>
                      <w:lang w:val="en-US" w:eastAsia="zh-CN" w:bidi="ar"/>
                    </w:rPr>
                    <w:t>群落</w:t>
                  </w:r>
                </w:p>
              </w:tc>
              <w:tc>
                <w:tcPr>
                  <w:tcW w:w="1083" w:type="pct"/>
                  <w:noWrap w:val="0"/>
                  <w:vAlign w:val="top"/>
                </w:tcPr>
                <w:p w14:paraId="01B3503E">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0B04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35F8B049">
                  <w:pPr>
                    <w:keepNext w:val="0"/>
                    <w:keepLines w:val="0"/>
                    <w:widowControl/>
                    <w:suppressLineNumbers w:val="0"/>
                    <w:spacing w:before="0" w:beforeAutospacing="0" w:after="0" w:afterAutospacing="0"/>
                    <w:ind w:left="0" w:right="0" w:firstLine="420" w:firstLineChars="200"/>
                    <w:jc w:val="left"/>
                    <w:rPr>
                      <w:rFonts w:hint="eastAsia" w:cs="宋体"/>
                      <w:color w:val="auto"/>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五</w:t>
                  </w:r>
                  <w:r>
                    <w:rPr>
                      <w:rFonts w:hint="default" w:ascii="Times New Roman" w:hAnsi="Times New Roman" w:eastAsia="宋体" w:cs="Times New Roman"/>
                      <w:color w:val="auto"/>
                      <w:kern w:val="0"/>
                      <w:sz w:val="21"/>
                      <w:szCs w:val="21"/>
                      <w:highlight w:val="none"/>
                      <w:lang w:val="en-US" w:eastAsia="zh-CN" w:bidi="ar"/>
                    </w:rPr>
                    <w:t>）火棘</w:t>
                  </w:r>
                  <w:r>
                    <w:rPr>
                      <w:rFonts w:hint="eastAsia" w:ascii="Times New Roman" w:hAnsi="Times New Roman" w:eastAsia="宋体" w:cs="Times New Roman"/>
                      <w:color w:val="auto"/>
                      <w:kern w:val="0"/>
                      <w:sz w:val="21"/>
                      <w:szCs w:val="21"/>
                      <w:highlight w:val="none"/>
                      <w:lang w:val="en-US" w:eastAsia="zh-CN" w:bidi="ar"/>
                    </w:rPr>
                    <w:t>灌丛</w:t>
                  </w:r>
                </w:p>
              </w:tc>
              <w:tc>
                <w:tcPr>
                  <w:tcW w:w="1083" w:type="pct"/>
                  <w:noWrap w:val="0"/>
                  <w:vAlign w:val="top"/>
                </w:tcPr>
                <w:p w14:paraId="0290979D">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p>
              </w:tc>
            </w:tr>
            <w:tr w14:paraId="01FB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4DEB602A">
                  <w:pPr>
                    <w:keepNext w:val="0"/>
                    <w:keepLines w:val="0"/>
                    <w:widowControl/>
                    <w:suppressLineNumbers w:val="0"/>
                    <w:spacing w:before="0" w:beforeAutospacing="0" w:after="0" w:afterAutospacing="0"/>
                    <w:ind w:left="0" w:right="0" w:firstLine="420" w:firstLineChars="200"/>
                    <w:jc w:val="left"/>
                    <w:rPr>
                      <w:rFonts w:hint="default" w:cs="宋体"/>
                      <w:color w:val="auto"/>
                      <w:sz w:val="21"/>
                      <w:szCs w:val="21"/>
                      <w:highlight w:val="none"/>
                      <w:lang w:val="en-US" w:eastAsia="zh-CN" w:bidi="ar"/>
                    </w:rPr>
                  </w:pPr>
                  <w:r>
                    <w:rPr>
                      <w:rFonts w:hint="eastAsia" w:cs="宋体"/>
                      <w:color w:val="auto"/>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火棘</w:t>
                  </w:r>
                  <w:r>
                    <w:rPr>
                      <w:rFonts w:hint="eastAsia" w:cs="宋体"/>
                      <w:color w:val="auto"/>
                      <w:sz w:val="21"/>
                      <w:szCs w:val="21"/>
                      <w:highlight w:val="none"/>
                      <w:lang w:val="en-US" w:eastAsia="zh-CN" w:bidi="ar"/>
                    </w:rPr>
                    <w:t>群落</w:t>
                  </w:r>
                </w:p>
              </w:tc>
              <w:tc>
                <w:tcPr>
                  <w:tcW w:w="1083" w:type="pct"/>
                  <w:noWrap w:val="0"/>
                  <w:vAlign w:val="top"/>
                </w:tcPr>
                <w:p w14:paraId="3689A511">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50DD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2C283AB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Ⅳ.稀树灌木草丛</w:t>
                  </w:r>
                </w:p>
              </w:tc>
              <w:tc>
                <w:tcPr>
                  <w:tcW w:w="1083" w:type="pct"/>
                  <w:noWrap w:val="0"/>
                  <w:vAlign w:val="center"/>
                </w:tcPr>
                <w:p w14:paraId="2655C7B2">
                  <w:pPr>
                    <w:pStyle w:val="131"/>
                    <w:keepNext w:val="0"/>
                    <w:keepLines w:val="0"/>
                    <w:pageBreakBefore w:val="0"/>
                    <w:suppressLineNumbers w:val="0"/>
                    <w:kinsoku/>
                    <w:wordWrap/>
                    <w:overflowPunct/>
                    <w:topLinePunct w:val="0"/>
                    <w:bidi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p>
              </w:tc>
            </w:tr>
            <w:tr w14:paraId="1AD5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30E76B44">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（Ⅴ）</w:t>
                  </w:r>
                  <w:r>
                    <w:rPr>
                      <w:rFonts w:hint="eastAsia" w:ascii="Times New Roman" w:hAnsi="Times New Roman" w:eastAsia="宋体" w:cs="Times New Roman"/>
                      <w:color w:val="auto"/>
                      <w:kern w:val="0"/>
                      <w:sz w:val="21"/>
                      <w:szCs w:val="21"/>
                      <w:highlight w:val="none"/>
                      <w:lang w:val="en-US" w:eastAsia="zh-CN" w:bidi="ar"/>
                    </w:rPr>
                    <w:t>暖温性稀树灌木草丛</w:t>
                  </w:r>
                </w:p>
              </w:tc>
              <w:tc>
                <w:tcPr>
                  <w:tcW w:w="1083" w:type="pct"/>
                  <w:noWrap w:val="0"/>
                  <w:vAlign w:val="center"/>
                </w:tcPr>
                <w:p w14:paraId="4D0A2049">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p>
              </w:tc>
            </w:tr>
            <w:tr w14:paraId="33C6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1566F5CB">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六</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含云南松、毛蕨</w:t>
                  </w:r>
                  <w:r>
                    <w:rPr>
                      <w:rFonts w:hint="eastAsia" w:cs="Times New Roman"/>
                      <w:color w:val="auto"/>
                      <w:kern w:val="0"/>
                      <w:sz w:val="21"/>
                      <w:szCs w:val="21"/>
                      <w:highlight w:val="none"/>
                      <w:lang w:val="en-US" w:eastAsia="zh-CN" w:bidi="ar"/>
                    </w:rPr>
                    <w:t>的中</w:t>
                  </w:r>
                  <w:r>
                    <w:rPr>
                      <w:rFonts w:hint="eastAsia" w:ascii="Times New Roman" w:hAnsi="Times New Roman" w:eastAsia="宋体" w:cs="Times New Roman"/>
                      <w:color w:val="auto"/>
                      <w:kern w:val="0"/>
                      <w:sz w:val="21"/>
                      <w:szCs w:val="21"/>
                      <w:highlight w:val="none"/>
                      <w:lang w:val="en-US" w:eastAsia="zh-CN" w:bidi="ar"/>
                    </w:rPr>
                    <w:t>草丛</w:t>
                  </w:r>
                </w:p>
              </w:tc>
              <w:tc>
                <w:tcPr>
                  <w:tcW w:w="1083" w:type="pct"/>
                  <w:noWrap w:val="0"/>
                  <w:vAlign w:val="center"/>
                </w:tcPr>
                <w:p w14:paraId="09D96FA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352C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66AA575C">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w:t>
                  </w:r>
                  <w:r>
                    <w:rPr>
                      <w:rFonts w:hint="eastAsia" w:ascii="Times New Roman" w:hAnsi="Times New Roman" w:eastAsia="宋体" w:cs="Times New Roman"/>
                      <w:color w:val="auto"/>
                      <w:kern w:val="0"/>
                      <w:sz w:val="21"/>
                      <w:szCs w:val="21"/>
                      <w:highlight w:val="none"/>
                      <w:lang w:val="en-US" w:eastAsia="zh-CN" w:bidi="ar"/>
                    </w:rPr>
                    <w:t>含云南松、毛蕨、白茅</w:t>
                  </w:r>
                  <w:r>
                    <w:rPr>
                      <w:rFonts w:hint="eastAsia" w:cs="宋体"/>
                      <w:color w:val="auto"/>
                      <w:sz w:val="21"/>
                      <w:szCs w:val="21"/>
                      <w:highlight w:val="none"/>
                      <w:lang w:val="en-US" w:eastAsia="zh-CN" w:bidi="ar"/>
                    </w:rPr>
                    <w:t>群落</w:t>
                  </w:r>
                </w:p>
              </w:tc>
              <w:tc>
                <w:tcPr>
                  <w:tcW w:w="1083" w:type="pct"/>
                  <w:noWrap w:val="0"/>
                  <w:vAlign w:val="center"/>
                </w:tcPr>
                <w:p w14:paraId="75B0B977">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4D78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916" w:type="pct"/>
                  <w:noWrap w:val="0"/>
                  <w:vAlign w:val="top"/>
                </w:tcPr>
                <w:p w14:paraId="2969DB0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二、人工植被</w:t>
                  </w:r>
                </w:p>
              </w:tc>
              <w:tc>
                <w:tcPr>
                  <w:tcW w:w="1083" w:type="pct"/>
                  <w:noWrap w:val="0"/>
                  <w:vAlign w:val="top"/>
                </w:tcPr>
                <w:p w14:paraId="4CF9EAA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bCs/>
                      <w:color w:val="auto"/>
                      <w:kern w:val="0"/>
                      <w:sz w:val="21"/>
                      <w:szCs w:val="21"/>
                      <w:lang w:val="en-US" w:eastAsia="zh-CN" w:bidi="ar"/>
                    </w:rPr>
                  </w:pPr>
                </w:p>
              </w:tc>
            </w:tr>
            <w:tr w14:paraId="298E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17215935">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人工</w:t>
                  </w:r>
                  <w:r>
                    <w:rPr>
                      <w:rFonts w:hint="default" w:ascii="Times New Roman" w:hAnsi="Times New Roman" w:eastAsia="宋体" w:cs="Times New Roman"/>
                      <w:color w:val="auto"/>
                      <w:kern w:val="0"/>
                      <w:sz w:val="21"/>
                      <w:szCs w:val="21"/>
                      <w:highlight w:val="none"/>
                      <w:lang w:val="en-US" w:eastAsia="zh-CN" w:bidi="ar"/>
                    </w:rPr>
                    <w:t xml:space="preserve">林 </w:t>
                  </w:r>
                </w:p>
              </w:tc>
              <w:tc>
                <w:tcPr>
                  <w:tcW w:w="1083" w:type="pct"/>
                  <w:noWrap w:val="0"/>
                  <w:vAlign w:val="top"/>
                </w:tcPr>
                <w:p w14:paraId="6169617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2709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785C36AD">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）旱地</w:t>
                  </w:r>
                </w:p>
              </w:tc>
              <w:tc>
                <w:tcPr>
                  <w:tcW w:w="1083" w:type="pct"/>
                  <w:noWrap w:val="0"/>
                  <w:vAlign w:val="top"/>
                </w:tcPr>
                <w:p w14:paraId="6215EFFF">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651A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1407E8A">
                  <w:pPr>
                    <w:pStyle w:val="30"/>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注：I、II、III…植被型；（I）、（II）、（III）…植被亚型；（一）、（二）、（三）….群</w:t>
                  </w:r>
                  <w:r>
                    <w:rPr>
                      <w:rFonts w:hint="eastAsia" w:ascii="Times New Roman" w:hAnsi="Times New Roman" w:eastAsia="宋体" w:cs="Times New Roman"/>
                      <w:color w:val="auto"/>
                      <w:sz w:val="21"/>
                      <w:szCs w:val="21"/>
                      <w:lang w:eastAsia="zh-CN"/>
                    </w:rPr>
                    <w:t>系</w:t>
                  </w:r>
                  <w:r>
                    <w:rPr>
                      <w:rFonts w:hint="eastAsia" w:cs="Times New Roman"/>
                      <w:color w:val="auto"/>
                      <w:sz w:val="21"/>
                      <w:szCs w:val="21"/>
                      <w:lang w:eastAsia="zh-CN"/>
                    </w:rPr>
                    <w:t>，1.、2.、3.、…群</w:t>
                  </w:r>
                  <w:r>
                    <w:rPr>
                      <w:rFonts w:hint="eastAsia" w:cs="Times New Roman"/>
                      <w:color w:val="auto"/>
                      <w:sz w:val="21"/>
                      <w:szCs w:val="21"/>
                      <w:lang w:val="en-US" w:eastAsia="zh-CN"/>
                    </w:rPr>
                    <w:t>落</w:t>
                  </w:r>
                  <w:r>
                    <w:rPr>
                      <w:rFonts w:hint="eastAsia" w:cs="Times New Roman"/>
                      <w:color w:val="auto"/>
                      <w:sz w:val="21"/>
                      <w:szCs w:val="21"/>
                      <w:lang w:eastAsia="zh-CN"/>
                    </w:rPr>
                    <w:t>。</w:t>
                  </w:r>
                </w:p>
              </w:tc>
            </w:tr>
          </w:tbl>
          <w:p w14:paraId="45E506E2">
            <w:pPr>
              <w:keepNext w:val="0"/>
              <w:keepLines w:val="0"/>
              <w:suppressLineNumbers w:val="0"/>
              <w:spacing w:before="0" w:beforeAutospacing="0" w:after="0" w:afterAutospacing="0" w:line="360" w:lineRule="auto"/>
              <w:ind w:left="0" w:right="0" w:firstLine="480" w:firstLineChars="200"/>
              <w:rPr>
                <w:rFonts w:hint="eastAsia"/>
                <w:color w:val="auto"/>
                <w:kern w:val="0"/>
                <w:sz w:val="24"/>
              </w:rPr>
            </w:pPr>
            <w:r>
              <w:rPr>
                <w:rFonts w:hint="default" w:eastAsia="宋体"/>
                <w:bCs/>
                <w:color w:val="auto"/>
                <w:kern w:val="0"/>
                <w:sz w:val="24"/>
                <w:szCs w:val="24"/>
                <w:lang w:eastAsia="zh-CN"/>
              </w:rPr>
              <w:t>（</w:t>
            </w:r>
            <w:r>
              <w:rPr>
                <w:rFonts w:hint="eastAsia" w:eastAsia="宋体"/>
                <w:bCs/>
                <w:color w:val="auto"/>
                <w:kern w:val="0"/>
                <w:sz w:val="24"/>
                <w:szCs w:val="24"/>
                <w:lang w:val="en-US" w:eastAsia="zh-CN"/>
              </w:rPr>
              <w:t>2</w:t>
            </w:r>
            <w:r>
              <w:rPr>
                <w:rFonts w:hint="default" w:eastAsia="宋体"/>
                <w:bCs/>
                <w:color w:val="auto"/>
                <w:kern w:val="0"/>
                <w:sz w:val="24"/>
                <w:szCs w:val="24"/>
                <w:lang w:eastAsia="zh-CN"/>
              </w:rPr>
              <w:t>）植被</w:t>
            </w:r>
            <w:r>
              <w:rPr>
                <w:rFonts w:hint="eastAsia" w:eastAsia="宋体"/>
                <w:bCs/>
                <w:color w:val="auto"/>
                <w:kern w:val="0"/>
                <w:sz w:val="24"/>
                <w:szCs w:val="24"/>
                <w:lang w:eastAsia="zh-CN"/>
              </w:rPr>
              <w:t>面积</w:t>
            </w:r>
          </w:p>
          <w:p w14:paraId="0422E0E6">
            <w:pPr>
              <w:keepNext w:val="0"/>
              <w:keepLines w:val="0"/>
              <w:suppressLineNumbers w:val="0"/>
              <w:spacing w:before="0" w:beforeAutospacing="0" w:after="0" w:afterAutospacing="0" w:line="360" w:lineRule="auto"/>
              <w:ind w:left="0" w:right="0" w:firstLine="480" w:firstLineChars="200"/>
              <w:rPr>
                <w:rFonts w:hint="eastAsia"/>
                <w:color w:val="auto"/>
                <w:kern w:val="0"/>
                <w:sz w:val="24"/>
                <w:szCs w:val="24"/>
              </w:rPr>
            </w:pPr>
            <w:r>
              <w:rPr>
                <w:rFonts w:hint="eastAsia"/>
                <w:color w:val="auto"/>
                <w:kern w:val="0"/>
                <w:sz w:val="24"/>
                <w:szCs w:val="24"/>
              </w:rPr>
              <w:t>评价区总面积为</w:t>
            </w:r>
            <w:r>
              <w:rPr>
                <w:rFonts w:hint="default" w:ascii="Times New Roman" w:hAnsi="Times New Roman" w:eastAsia="宋体" w:cs="Times New Roman"/>
                <w:i w:val="0"/>
                <w:iCs w:val="0"/>
                <w:color w:val="auto"/>
                <w:kern w:val="0"/>
                <w:sz w:val="24"/>
                <w:szCs w:val="24"/>
                <w:u w:val="none"/>
                <w:lang w:val="en-US" w:eastAsia="zh-CN" w:bidi="ar"/>
              </w:rPr>
              <w:t>449.0</w:t>
            </w:r>
            <w:r>
              <w:rPr>
                <w:rFonts w:hint="eastAsia" w:cs="Times New Roman"/>
                <w:i w:val="0"/>
                <w:iCs w:val="0"/>
                <w:color w:val="auto"/>
                <w:kern w:val="0"/>
                <w:sz w:val="24"/>
                <w:szCs w:val="24"/>
                <w:u w:val="none"/>
                <w:lang w:val="en-US" w:eastAsia="zh-CN" w:bidi="ar"/>
              </w:rPr>
              <w:t>3</w:t>
            </w:r>
            <w:r>
              <w:rPr>
                <w:rFonts w:hint="default"/>
                <w:color w:val="auto"/>
                <w:kern w:val="0"/>
                <w:sz w:val="24"/>
                <w:szCs w:val="24"/>
              </w:rPr>
              <w:t>hm</w:t>
            </w:r>
            <w:r>
              <w:rPr>
                <w:rFonts w:hint="default"/>
                <w:color w:val="auto"/>
                <w:kern w:val="0"/>
                <w:sz w:val="24"/>
                <w:szCs w:val="24"/>
                <w:vertAlign w:val="superscript"/>
              </w:rPr>
              <w:t>2</w:t>
            </w:r>
            <w:r>
              <w:rPr>
                <w:rFonts w:hint="eastAsia"/>
                <w:color w:val="auto"/>
                <w:kern w:val="0"/>
                <w:sz w:val="24"/>
                <w:szCs w:val="24"/>
              </w:rPr>
              <w:t>，</w:t>
            </w:r>
            <w:r>
              <w:rPr>
                <w:rFonts w:hint="eastAsia"/>
                <w:bCs/>
                <w:color w:val="auto"/>
                <w:kern w:val="0"/>
                <w:sz w:val="24"/>
                <w:szCs w:val="24"/>
              </w:rPr>
              <w:t>以自然植被为主，占评价区总面积的</w:t>
            </w:r>
            <w:r>
              <w:rPr>
                <w:rFonts w:hint="default" w:cs="Times New Roman"/>
                <w:i w:val="0"/>
                <w:iCs w:val="0"/>
                <w:color w:val="auto"/>
                <w:kern w:val="0"/>
                <w:sz w:val="24"/>
                <w:szCs w:val="24"/>
                <w:u w:val="none"/>
                <w:lang w:val="en-US" w:eastAsia="zh-CN" w:bidi="ar"/>
              </w:rPr>
              <w:t>9</w:t>
            </w:r>
            <w:r>
              <w:rPr>
                <w:rFonts w:hint="eastAsia" w:cs="Times New Roman"/>
                <w:i w:val="0"/>
                <w:iCs w:val="0"/>
                <w:color w:val="auto"/>
                <w:kern w:val="0"/>
                <w:sz w:val="24"/>
                <w:szCs w:val="24"/>
                <w:u w:val="none"/>
                <w:lang w:val="en-US" w:eastAsia="zh-CN" w:bidi="ar"/>
              </w:rPr>
              <w:t>3.05</w:t>
            </w:r>
            <w:r>
              <w:rPr>
                <w:rFonts w:hint="default"/>
                <w:bCs/>
                <w:color w:val="auto"/>
                <w:kern w:val="0"/>
                <w:sz w:val="24"/>
                <w:szCs w:val="24"/>
              </w:rPr>
              <w:t>%</w:t>
            </w:r>
            <w:r>
              <w:rPr>
                <w:rFonts w:hint="eastAsia"/>
                <w:bCs/>
                <w:color w:val="auto"/>
                <w:kern w:val="0"/>
                <w:sz w:val="24"/>
                <w:szCs w:val="24"/>
              </w:rPr>
              <w:t>，其次为</w:t>
            </w:r>
            <w:r>
              <w:rPr>
                <w:rFonts w:hint="eastAsia" w:ascii="宋体" w:hAnsi="宋体" w:eastAsia="宋体" w:cs="宋体"/>
                <w:i w:val="0"/>
                <w:iCs w:val="0"/>
                <w:color w:val="auto"/>
                <w:kern w:val="0"/>
                <w:sz w:val="24"/>
                <w:szCs w:val="24"/>
                <w:u w:val="none"/>
                <w:lang w:val="en-US" w:eastAsia="zh-CN" w:bidi="ar"/>
              </w:rPr>
              <w:t>非植被类型</w:t>
            </w:r>
            <w:r>
              <w:rPr>
                <w:rFonts w:hint="eastAsia"/>
                <w:bCs/>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4.37</w:t>
            </w:r>
            <w:r>
              <w:rPr>
                <w:rFonts w:hint="default"/>
                <w:bCs/>
                <w:color w:val="auto"/>
                <w:kern w:val="0"/>
                <w:sz w:val="24"/>
                <w:szCs w:val="24"/>
              </w:rPr>
              <w:t>%</w:t>
            </w:r>
            <w:r>
              <w:rPr>
                <w:rFonts w:hint="eastAsia"/>
                <w:bCs/>
                <w:color w:val="auto"/>
                <w:kern w:val="0"/>
                <w:sz w:val="24"/>
                <w:szCs w:val="24"/>
              </w:rPr>
              <w:t>，</w:t>
            </w:r>
            <w:r>
              <w:rPr>
                <w:rFonts w:hint="eastAsia"/>
                <w:iCs/>
                <w:color w:val="auto"/>
                <w:kern w:val="0"/>
                <w:sz w:val="24"/>
                <w:szCs w:val="24"/>
              </w:rPr>
              <w:t>人工</w:t>
            </w:r>
            <w:r>
              <w:rPr>
                <w:rFonts w:hint="eastAsia"/>
                <w:bCs/>
                <w:color w:val="auto"/>
                <w:kern w:val="0"/>
                <w:sz w:val="24"/>
                <w:szCs w:val="24"/>
              </w:rPr>
              <w:t>植被占评价区总面积的</w:t>
            </w:r>
            <w:r>
              <w:rPr>
                <w:rFonts w:hint="default" w:ascii="Times New Roman" w:hAnsi="Times New Roman" w:eastAsia="宋体" w:cs="Times New Roman"/>
                <w:i w:val="0"/>
                <w:iCs w:val="0"/>
                <w:color w:val="auto"/>
                <w:kern w:val="0"/>
                <w:sz w:val="24"/>
                <w:szCs w:val="24"/>
                <w:u w:val="none"/>
                <w:lang w:val="en-US" w:eastAsia="zh-CN" w:bidi="ar"/>
              </w:rPr>
              <w:t>2.58</w:t>
            </w:r>
            <w:r>
              <w:rPr>
                <w:rFonts w:hint="default"/>
                <w:bCs/>
                <w:color w:val="auto"/>
                <w:kern w:val="0"/>
                <w:sz w:val="24"/>
                <w:szCs w:val="24"/>
              </w:rPr>
              <w:t>%</w:t>
            </w:r>
            <w:r>
              <w:rPr>
                <w:rFonts w:hint="eastAsia"/>
                <w:bCs/>
                <w:color w:val="auto"/>
                <w:kern w:val="0"/>
                <w:sz w:val="24"/>
                <w:szCs w:val="24"/>
              </w:rPr>
              <w:t>，</w:t>
            </w:r>
            <w:r>
              <w:rPr>
                <w:rFonts w:hint="eastAsia"/>
                <w:color w:val="auto"/>
                <w:kern w:val="0"/>
                <w:sz w:val="24"/>
                <w:szCs w:val="24"/>
              </w:rPr>
              <w:t>各</w:t>
            </w:r>
            <w:r>
              <w:rPr>
                <w:rFonts w:hint="eastAsia"/>
                <w:iCs/>
                <w:color w:val="auto"/>
                <w:kern w:val="0"/>
                <w:sz w:val="24"/>
                <w:szCs w:val="24"/>
              </w:rPr>
              <w:t>植被</w:t>
            </w:r>
            <w:r>
              <w:rPr>
                <w:rFonts w:hint="eastAsia"/>
                <w:color w:val="auto"/>
                <w:kern w:val="0"/>
                <w:sz w:val="24"/>
                <w:szCs w:val="24"/>
              </w:rPr>
              <w:t>类型在评价区所占比例见表</w:t>
            </w:r>
            <w:r>
              <w:rPr>
                <w:rFonts w:hint="default"/>
                <w:bCs/>
                <w:color w:val="auto"/>
                <w:kern w:val="0"/>
                <w:sz w:val="24"/>
                <w:szCs w:val="24"/>
              </w:rPr>
              <w:t>3-</w:t>
            </w:r>
            <w:r>
              <w:rPr>
                <w:rFonts w:hint="eastAsia"/>
                <w:bCs/>
                <w:color w:val="auto"/>
                <w:kern w:val="0"/>
                <w:sz w:val="24"/>
                <w:szCs w:val="24"/>
                <w:lang w:val="en-US" w:eastAsia="zh-CN"/>
              </w:rPr>
              <w:t>4</w:t>
            </w:r>
            <w:r>
              <w:rPr>
                <w:rFonts w:hint="eastAsia"/>
                <w:color w:val="auto"/>
                <w:kern w:val="0"/>
                <w:sz w:val="24"/>
                <w:szCs w:val="24"/>
              </w:rPr>
              <w:t>。由表</w:t>
            </w:r>
            <w:r>
              <w:rPr>
                <w:rFonts w:hint="default"/>
                <w:bCs/>
                <w:color w:val="auto"/>
                <w:kern w:val="0"/>
                <w:sz w:val="24"/>
                <w:szCs w:val="24"/>
              </w:rPr>
              <w:t>3-</w:t>
            </w:r>
            <w:r>
              <w:rPr>
                <w:rFonts w:hint="eastAsia"/>
                <w:bCs/>
                <w:color w:val="auto"/>
                <w:kern w:val="0"/>
                <w:sz w:val="24"/>
                <w:szCs w:val="24"/>
                <w:lang w:val="en-US" w:eastAsia="zh-CN"/>
              </w:rPr>
              <w:t>4</w:t>
            </w:r>
            <w:r>
              <w:rPr>
                <w:rFonts w:hint="eastAsia"/>
                <w:color w:val="auto"/>
                <w:kern w:val="0"/>
                <w:sz w:val="24"/>
                <w:szCs w:val="24"/>
              </w:rPr>
              <w:t>可知，评价区以</w:t>
            </w:r>
            <w:r>
              <w:rPr>
                <w:rFonts w:hint="eastAsia" w:ascii="宋体" w:hAnsi="宋体" w:cs="宋体"/>
                <w:i w:val="0"/>
                <w:iCs w:val="0"/>
                <w:color w:val="auto"/>
                <w:sz w:val="24"/>
                <w:szCs w:val="24"/>
                <w:u w:val="none"/>
                <w:lang w:val="en-US" w:eastAsia="zh-CN"/>
              </w:rPr>
              <w:t>落叶阔叶林</w:t>
            </w:r>
            <w:r>
              <w:rPr>
                <w:rFonts w:hint="eastAsia"/>
                <w:color w:val="auto"/>
                <w:kern w:val="0"/>
                <w:sz w:val="24"/>
                <w:szCs w:val="24"/>
              </w:rPr>
              <w:t>分布最广，占评价区总面积的</w:t>
            </w:r>
            <w:r>
              <w:rPr>
                <w:rFonts w:hint="default" w:ascii="Times New Roman" w:hAnsi="Times New Roman" w:eastAsia="宋体" w:cs="Times New Roman"/>
                <w:i w:val="0"/>
                <w:iCs w:val="0"/>
                <w:color w:val="auto"/>
                <w:kern w:val="0"/>
                <w:sz w:val="24"/>
                <w:szCs w:val="24"/>
                <w:u w:val="none"/>
                <w:lang w:val="en-US" w:eastAsia="zh-CN" w:bidi="ar"/>
              </w:rPr>
              <w:t>36.76</w:t>
            </w:r>
            <w:r>
              <w:rPr>
                <w:rFonts w:hint="default"/>
                <w:color w:val="auto"/>
                <w:kern w:val="0"/>
                <w:sz w:val="24"/>
                <w:szCs w:val="24"/>
              </w:rPr>
              <w:t>%</w:t>
            </w:r>
            <w:r>
              <w:rPr>
                <w:rFonts w:hint="eastAsia"/>
                <w:color w:val="auto"/>
                <w:kern w:val="0"/>
                <w:sz w:val="24"/>
                <w:szCs w:val="24"/>
              </w:rPr>
              <w:t>；其次为</w:t>
            </w:r>
            <w:r>
              <w:rPr>
                <w:rFonts w:hint="eastAsia" w:ascii="宋体" w:hAnsi="宋体" w:eastAsia="宋体" w:cs="宋体"/>
                <w:i w:val="0"/>
                <w:iCs w:val="0"/>
                <w:color w:val="auto"/>
                <w:kern w:val="0"/>
                <w:sz w:val="24"/>
                <w:szCs w:val="24"/>
                <w:u w:val="none"/>
                <w:lang w:val="en-US" w:eastAsia="zh-CN" w:bidi="ar"/>
              </w:rPr>
              <w:t>暖温性稀树灌木草丛</w:t>
            </w:r>
            <w:r>
              <w:rPr>
                <w:rFonts w:hint="eastAsia"/>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20.99</w:t>
            </w:r>
            <w:r>
              <w:rPr>
                <w:rFonts w:hint="default"/>
                <w:color w:val="auto"/>
                <w:kern w:val="0"/>
                <w:sz w:val="24"/>
                <w:szCs w:val="24"/>
              </w:rPr>
              <w:t>%</w:t>
            </w:r>
            <w:r>
              <w:rPr>
                <w:rFonts w:hint="eastAsia"/>
                <w:color w:val="auto"/>
                <w:kern w:val="0"/>
                <w:sz w:val="24"/>
                <w:szCs w:val="24"/>
              </w:rPr>
              <w:t>；第三为</w:t>
            </w:r>
            <w:r>
              <w:rPr>
                <w:rFonts w:hint="eastAsia" w:ascii="宋体" w:hAnsi="宋体" w:eastAsia="宋体" w:cs="宋体"/>
                <w:i w:val="0"/>
                <w:iCs w:val="0"/>
                <w:color w:val="auto"/>
                <w:kern w:val="0"/>
                <w:sz w:val="24"/>
                <w:szCs w:val="24"/>
                <w:u w:val="none"/>
                <w:lang w:val="en-US" w:eastAsia="zh-CN" w:bidi="ar"/>
              </w:rPr>
              <w:t>暖温性针叶林</w:t>
            </w:r>
            <w:r>
              <w:rPr>
                <w:rFonts w:hint="eastAsia"/>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17.75</w:t>
            </w:r>
            <w:r>
              <w:rPr>
                <w:rFonts w:hint="default"/>
                <w:color w:val="auto"/>
                <w:kern w:val="0"/>
                <w:sz w:val="24"/>
                <w:szCs w:val="24"/>
              </w:rPr>
              <w:t>%</w:t>
            </w:r>
            <w:r>
              <w:rPr>
                <w:rFonts w:hint="eastAsia"/>
                <w:color w:val="auto"/>
                <w:kern w:val="0"/>
                <w:sz w:val="24"/>
                <w:szCs w:val="24"/>
              </w:rPr>
              <w:t>；</w:t>
            </w:r>
            <w:r>
              <w:rPr>
                <w:rFonts w:hint="eastAsia" w:ascii="Times New Roman" w:hAnsi="Times New Roman" w:eastAsia="宋体" w:cs="Times New Roman"/>
                <w:bCs/>
                <w:color w:val="auto"/>
                <w:sz w:val="24"/>
                <w:szCs w:val="24"/>
                <w:vertAlign w:val="baseline"/>
                <w:lang w:val="en-US" w:eastAsia="zh-CN"/>
              </w:rPr>
              <w:t>暖性石灰岩灌丛</w:t>
            </w:r>
            <w:r>
              <w:rPr>
                <w:rFonts w:hint="eastAsia"/>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17.54</w:t>
            </w:r>
            <w:r>
              <w:rPr>
                <w:rFonts w:hint="default"/>
                <w:color w:val="auto"/>
                <w:kern w:val="0"/>
                <w:sz w:val="24"/>
                <w:szCs w:val="24"/>
              </w:rPr>
              <w:t>%</w:t>
            </w:r>
            <w:r>
              <w:rPr>
                <w:rFonts w:hint="eastAsia"/>
                <w:color w:val="auto"/>
                <w:kern w:val="0"/>
                <w:sz w:val="24"/>
                <w:szCs w:val="24"/>
                <w:lang w:eastAsia="zh-CN"/>
              </w:rPr>
              <w:t>；</w:t>
            </w:r>
            <w:r>
              <w:rPr>
                <w:rFonts w:hint="eastAsia"/>
                <w:color w:val="auto"/>
                <w:kern w:val="0"/>
                <w:sz w:val="24"/>
                <w:szCs w:val="24"/>
              </w:rPr>
              <w:t>旱地面积为</w:t>
            </w:r>
            <w:r>
              <w:rPr>
                <w:rFonts w:hint="eastAsia" w:ascii="Times New Roman" w:hAnsi="Times New Roman" w:eastAsia="宋体" w:cs="Times New Roman"/>
                <w:i w:val="0"/>
                <w:iCs w:val="0"/>
                <w:color w:val="auto"/>
                <w:kern w:val="0"/>
                <w:sz w:val="24"/>
                <w:szCs w:val="24"/>
                <w:u w:val="none"/>
                <w:lang w:val="en-US" w:eastAsia="zh-CN" w:bidi="ar"/>
              </w:rPr>
              <w:t>11.59</w:t>
            </w:r>
            <w:r>
              <w:rPr>
                <w:rFonts w:hint="default"/>
                <w:color w:val="auto"/>
                <w:kern w:val="0"/>
                <w:sz w:val="24"/>
                <w:szCs w:val="24"/>
              </w:rPr>
              <w:t>hm</w:t>
            </w:r>
            <w:r>
              <w:rPr>
                <w:rFonts w:hint="default"/>
                <w:color w:val="auto"/>
                <w:kern w:val="0"/>
                <w:sz w:val="24"/>
                <w:szCs w:val="24"/>
                <w:vertAlign w:val="superscript"/>
              </w:rPr>
              <w:t>2</w:t>
            </w:r>
            <w:r>
              <w:rPr>
                <w:rFonts w:hint="eastAsia"/>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2.58</w:t>
            </w:r>
            <w:r>
              <w:rPr>
                <w:rFonts w:hint="default"/>
                <w:color w:val="auto"/>
                <w:kern w:val="0"/>
                <w:sz w:val="24"/>
                <w:szCs w:val="24"/>
              </w:rPr>
              <w:t>%</w:t>
            </w:r>
            <w:r>
              <w:rPr>
                <w:rFonts w:hint="eastAsia"/>
                <w:color w:val="auto"/>
                <w:kern w:val="0"/>
                <w:sz w:val="24"/>
                <w:szCs w:val="24"/>
              </w:rPr>
              <w:t>；建设用地面积为</w:t>
            </w:r>
            <w:r>
              <w:rPr>
                <w:rFonts w:hint="default" w:ascii="Times New Roman" w:hAnsi="Times New Roman" w:eastAsia="宋体" w:cs="Times New Roman"/>
                <w:i w:val="0"/>
                <w:iCs w:val="0"/>
                <w:color w:val="auto"/>
                <w:kern w:val="0"/>
                <w:sz w:val="24"/>
                <w:szCs w:val="24"/>
                <w:u w:val="none"/>
                <w:lang w:val="en-US" w:eastAsia="zh-CN" w:bidi="ar"/>
              </w:rPr>
              <w:t>8.98</w:t>
            </w:r>
            <w:r>
              <w:rPr>
                <w:rFonts w:hint="default"/>
                <w:color w:val="auto"/>
                <w:kern w:val="0"/>
                <w:sz w:val="24"/>
                <w:szCs w:val="24"/>
              </w:rPr>
              <w:t>hm</w:t>
            </w:r>
            <w:r>
              <w:rPr>
                <w:rFonts w:hint="default"/>
                <w:color w:val="auto"/>
                <w:kern w:val="0"/>
                <w:sz w:val="24"/>
                <w:szCs w:val="24"/>
                <w:vertAlign w:val="superscript"/>
              </w:rPr>
              <w:t>2</w:t>
            </w:r>
            <w:r>
              <w:rPr>
                <w:rFonts w:hint="eastAsia"/>
                <w:color w:val="auto"/>
                <w:kern w:val="0"/>
                <w:sz w:val="24"/>
                <w:szCs w:val="24"/>
              </w:rPr>
              <w:t>，占评价区总面积的</w:t>
            </w:r>
            <w:r>
              <w:rPr>
                <w:rFonts w:hint="default" w:ascii="Times New Roman" w:hAnsi="Times New Roman" w:eastAsia="宋体" w:cs="Times New Roman"/>
                <w:i w:val="0"/>
                <w:iCs w:val="0"/>
                <w:color w:val="auto"/>
                <w:kern w:val="0"/>
                <w:sz w:val="24"/>
                <w:szCs w:val="24"/>
                <w:u w:val="none"/>
                <w:lang w:val="en-US" w:eastAsia="zh-CN" w:bidi="ar"/>
              </w:rPr>
              <w:t>2.00</w:t>
            </w:r>
            <w:r>
              <w:rPr>
                <w:rFonts w:hint="default"/>
                <w:color w:val="auto"/>
                <w:kern w:val="0"/>
                <w:sz w:val="24"/>
                <w:szCs w:val="24"/>
              </w:rPr>
              <w:t>%</w:t>
            </w:r>
            <w:r>
              <w:rPr>
                <w:rFonts w:hint="eastAsia"/>
                <w:color w:val="auto"/>
                <w:kern w:val="0"/>
                <w:sz w:val="24"/>
                <w:szCs w:val="24"/>
              </w:rPr>
              <w:t>；其它类型较少，所占比例均在</w:t>
            </w:r>
            <w:r>
              <w:rPr>
                <w:rFonts w:hint="eastAsia"/>
                <w:color w:val="auto"/>
                <w:kern w:val="0"/>
                <w:sz w:val="24"/>
                <w:szCs w:val="24"/>
                <w:lang w:val="en-US" w:eastAsia="zh-CN"/>
              </w:rPr>
              <w:t>1.59</w:t>
            </w:r>
            <w:r>
              <w:rPr>
                <w:rFonts w:hint="eastAsia"/>
                <w:color w:val="auto"/>
                <w:kern w:val="0"/>
                <w:sz w:val="24"/>
                <w:szCs w:val="24"/>
              </w:rPr>
              <w:t>%以下</w:t>
            </w:r>
            <w:r>
              <w:rPr>
                <w:rFonts w:hint="eastAsia" w:hAnsi="宋体"/>
                <w:color w:val="auto"/>
                <w:kern w:val="0"/>
                <w:sz w:val="24"/>
                <w:szCs w:val="24"/>
              </w:rPr>
              <w:t>。</w:t>
            </w:r>
            <w:r>
              <w:rPr>
                <w:rFonts w:hint="eastAsia"/>
                <w:bCs/>
                <w:color w:val="auto"/>
                <w:kern w:val="0"/>
                <w:sz w:val="24"/>
                <w:szCs w:val="24"/>
              </w:rPr>
              <w:t>评价区植被现状图</w:t>
            </w:r>
            <w:r>
              <w:rPr>
                <w:rFonts w:hint="eastAsia"/>
                <w:bCs/>
                <w:color w:val="auto"/>
                <w:kern w:val="0"/>
                <w:sz w:val="24"/>
                <w:szCs w:val="24"/>
                <w:lang w:val="en-US" w:eastAsia="zh-CN"/>
              </w:rPr>
              <w:t>详见附图9-1、9-2</w:t>
            </w:r>
            <w:r>
              <w:rPr>
                <w:rFonts w:hint="eastAsia"/>
                <w:bCs/>
                <w:color w:val="auto"/>
                <w:kern w:val="0"/>
                <w:sz w:val="24"/>
                <w:szCs w:val="24"/>
              </w:rPr>
              <w:t>。</w:t>
            </w:r>
          </w:p>
          <w:p w14:paraId="3E9C21EF">
            <w:pPr>
              <w:keepNext w:val="0"/>
              <w:keepLines w:val="0"/>
              <w:suppressLineNumbers w:val="0"/>
              <w:spacing w:before="0" w:beforeAutospacing="0" w:after="0" w:afterAutospacing="0" w:line="240" w:lineRule="auto"/>
              <w:ind w:left="0" w:right="0"/>
              <w:jc w:val="center"/>
              <w:rPr>
                <w:rFonts w:hint="eastAsia"/>
                <w:b/>
                <w:color w:val="auto"/>
                <w:sz w:val="21"/>
                <w:szCs w:val="21"/>
                <w:highlight w:val="none"/>
              </w:rPr>
            </w:pPr>
            <w:r>
              <w:rPr>
                <w:rFonts w:hint="default"/>
                <w:b/>
                <w:color w:val="auto"/>
                <w:sz w:val="21"/>
                <w:szCs w:val="21"/>
                <w:highlight w:val="none"/>
              </w:rPr>
              <w:t>表3-</w:t>
            </w:r>
            <w:r>
              <w:rPr>
                <w:rFonts w:hint="eastAsia"/>
                <w:b/>
                <w:color w:val="auto"/>
                <w:sz w:val="21"/>
                <w:szCs w:val="21"/>
                <w:highlight w:val="none"/>
                <w:lang w:val="en-US" w:eastAsia="zh-CN"/>
              </w:rPr>
              <w:t>4</w:t>
            </w:r>
            <w:r>
              <w:rPr>
                <w:rFonts w:hint="default"/>
                <w:b/>
                <w:color w:val="auto"/>
                <w:sz w:val="21"/>
                <w:szCs w:val="21"/>
                <w:highlight w:val="none"/>
              </w:rPr>
              <w:t xml:space="preserve"> </w:t>
            </w:r>
            <w:r>
              <w:rPr>
                <w:rFonts w:hint="eastAsia"/>
                <w:b/>
                <w:color w:val="auto"/>
                <w:sz w:val="21"/>
                <w:szCs w:val="21"/>
                <w:highlight w:val="none"/>
                <w:lang w:val="en-US" w:eastAsia="zh-CN"/>
              </w:rPr>
              <w:t xml:space="preserve"> </w:t>
            </w:r>
            <w:r>
              <w:rPr>
                <w:rFonts w:hint="default"/>
                <w:b/>
                <w:color w:val="auto"/>
                <w:sz w:val="21"/>
                <w:szCs w:val="21"/>
                <w:highlight w:val="none"/>
              </w:rPr>
              <w:t>评价区植被</w:t>
            </w:r>
            <w:r>
              <w:rPr>
                <w:rFonts w:hint="eastAsia"/>
                <w:b/>
                <w:color w:val="auto"/>
                <w:sz w:val="21"/>
                <w:szCs w:val="21"/>
                <w:highlight w:val="none"/>
              </w:rPr>
              <w:t>面积统计表</w:t>
            </w:r>
          </w:p>
          <w:tbl>
            <w:tblPr>
              <w:tblStyle w:val="4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8"/>
              <w:gridCol w:w="2487"/>
              <w:gridCol w:w="2318"/>
              <w:gridCol w:w="2134"/>
            </w:tblGrid>
            <w:tr w14:paraId="5035E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1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70F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植被类型</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3A0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面积（公顷）</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B35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百分比（</w:t>
                  </w:r>
                  <w:r>
                    <w:rPr>
                      <w:rFonts w:hint="default" w:ascii="Times New Roman" w:hAnsi="Times New Roman" w:eastAsia="宋体" w:cs="Times New Roman"/>
                      <w:b/>
                      <w:bCs/>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w:t>
                  </w:r>
                </w:p>
              </w:tc>
            </w:tr>
            <w:tr w14:paraId="29C89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C8F52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自然植被</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00C06">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落叶阔叶林</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88D29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165.08</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2927C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36.76 </w:t>
                  </w:r>
                </w:p>
              </w:tc>
            </w:tr>
            <w:tr w14:paraId="3E47D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95F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D661B">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bCs/>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暖温性针叶林</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8158A8">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79.72</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43657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17.75 </w:t>
                  </w:r>
                </w:p>
              </w:tc>
            </w:tr>
            <w:tr w14:paraId="2C04B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14E9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D777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Times New Roman" w:hAnsi="Times New Roman" w:eastAsia="宋体" w:cs="Times New Roman"/>
                      <w:bCs/>
                      <w:color w:val="auto"/>
                      <w:sz w:val="21"/>
                      <w:szCs w:val="21"/>
                      <w:vertAlign w:val="baseline"/>
                      <w:lang w:val="en-US" w:eastAsia="zh-CN"/>
                    </w:rPr>
                    <w:t>暖性石灰岩灌丛</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01221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78.78</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03BAD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17.54 </w:t>
                  </w:r>
                </w:p>
              </w:tc>
            </w:tr>
            <w:tr w14:paraId="1D3BD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7EC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D21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暖温性稀树灌木草丛</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8AAE8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94.24</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383D8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20.99 </w:t>
                  </w:r>
                </w:p>
              </w:tc>
            </w:tr>
            <w:tr w14:paraId="11798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9324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F472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D726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417.82</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D96D8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93.05 </w:t>
                  </w:r>
                </w:p>
              </w:tc>
            </w:tr>
            <w:tr w14:paraId="73678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41B53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人工植被</w:t>
                  </w: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270D0">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旱地</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B03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11.59</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17508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2.58 </w:t>
                  </w:r>
                </w:p>
              </w:tc>
            </w:tr>
            <w:tr w14:paraId="6AC10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775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5C2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6FA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11.59</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05274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2.58 </w:t>
                  </w:r>
                </w:p>
              </w:tc>
            </w:tr>
            <w:tr w14:paraId="5B9CC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A164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非植被类型</w:t>
                  </w: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E9A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建设用地</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2C92E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8.98</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7A0DF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2.00 </w:t>
                  </w:r>
                </w:p>
              </w:tc>
            </w:tr>
            <w:tr w14:paraId="61243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6B3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F184">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其他用地</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355D0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7.14</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00F80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1.59 </w:t>
                  </w:r>
                </w:p>
              </w:tc>
            </w:tr>
            <w:tr w14:paraId="0394F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91D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D7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交通运输用地</w:t>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39CB8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3576A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0.76 </w:t>
                  </w:r>
                </w:p>
              </w:tc>
            </w:tr>
            <w:tr w14:paraId="3A9D8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9F4E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1400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水域</w:t>
                  </w:r>
                </w:p>
              </w:tc>
              <w:tc>
                <w:tcPr>
                  <w:tcW w:w="23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0448C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2CB10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r>
            <w:tr w14:paraId="13A9E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CCF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E3E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C3E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19.62</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58C11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4.37 </w:t>
                  </w:r>
                </w:p>
              </w:tc>
            </w:tr>
            <w:tr w14:paraId="1FD89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88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总计</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9E8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449.0</w:t>
                  </w:r>
                  <w:r>
                    <w:rPr>
                      <w:rFonts w:hint="eastAsia" w:cs="Times New Roman"/>
                      <w:i w:val="0"/>
                      <w:iCs w:val="0"/>
                      <w:color w:val="auto"/>
                      <w:kern w:val="0"/>
                      <w:sz w:val="21"/>
                      <w:szCs w:val="21"/>
                      <w:u w:val="none"/>
                      <w:lang w:val="en-US" w:eastAsia="zh-CN" w:bidi="ar"/>
                    </w:rPr>
                    <w:t>3</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4B8E5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100 </w:t>
                  </w:r>
                </w:p>
              </w:tc>
            </w:tr>
          </w:tbl>
          <w:p w14:paraId="15587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（3）植被类型及主要特征</w:t>
            </w:r>
          </w:p>
          <w:p w14:paraId="4BAC3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自然植被</w:t>
            </w:r>
          </w:p>
          <w:p w14:paraId="0BE41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default" w:cs="Times New Roman"/>
                <w:color w:val="auto"/>
                <w:sz w:val="24"/>
                <w:szCs w:val="24"/>
                <w:lang w:val="en-US" w:eastAsia="zh-CN"/>
              </w:rPr>
              <w:t>I</w:t>
            </w:r>
            <w:r>
              <w:rPr>
                <w:rFonts w:hint="eastAsia" w:cs="Times New Roman"/>
                <w:color w:val="auto"/>
                <w:sz w:val="24"/>
                <w:szCs w:val="24"/>
                <w:lang w:val="en-US" w:eastAsia="zh-CN"/>
              </w:rPr>
              <w:t>落叶阔叶林</w:t>
            </w:r>
          </w:p>
          <w:p w14:paraId="439DEB3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lang w:val="en-US" w:eastAsia="zh-CN"/>
              </w:rPr>
              <w:t>落叶阔叶林，主要分布于云南全省各地的低山丘陵、中山及亚高山的中下部，海拔</w:t>
            </w:r>
            <w:r>
              <w:rPr>
                <w:rFonts w:hint="default" w:ascii="Times New Roman" w:hAnsi="Times New Roman"/>
                <w:bCs/>
                <w:color w:val="auto"/>
                <w:kern w:val="0"/>
                <w:sz w:val="24"/>
                <w:szCs w:val="24"/>
                <w:highlight w:val="none"/>
                <w:lang w:val="en-US" w:eastAsia="zh-CN"/>
              </w:rPr>
              <w:t>1000</w:t>
            </w:r>
            <w:r>
              <w:rPr>
                <w:rFonts w:hint="eastAsia" w:ascii="Times New Roman" w:hAnsi="Times New Roman"/>
                <w:bCs/>
                <w:color w:val="auto"/>
                <w:kern w:val="0"/>
                <w:sz w:val="24"/>
                <w:szCs w:val="24"/>
                <w:highlight w:val="none"/>
                <w:lang w:val="en-US" w:eastAsia="zh-CN"/>
              </w:rPr>
              <w:t>～</w:t>
            </w:r>
            <w:r>
              <w:rPr>
                <w:rFonts w:hint="default" w:ascii="Times New Roman" w:hAnsi="Times New Roman"/>
                <w:bCs/>
                <w:color w:val="auto"/>
                <w:kern w:val="0"/>
                <w:sz w:val="24"/>
                <w:szCs w:val="24"/>
                <w:highlight w:val="none"/>
                <w:lang w:val="en-US" w:eastAsia="zh-CN"/>
              </w:rPr>
              <w:t>3500</w:t>
            </w:r>
            <w:r>
              <w:rPr>
                <w:rFonts w:hint="eastAsia"/>
                <w:bCs/>
                <w:color w:val="auto"/>
                <w:kern w:val="0"/>
                <w:sz w:val="24"/>
                <w:szCs w:val="24"/>
                <w:highlight w:val="none"/>
                <w:lang w:val="en-US" w:eastAsia="zh-CN"/>
              </w:rPr>
              <w:t>m</w:t>
            </w:r>
            <w:r>
              <w:rPr>
                <w:rFonts w:hint="eastAsia" w:ascii="Times New Roman" w:hAnsi="Times New Roman"/>
                <w:bCs/>
                <w:color w:val="auto"/>
                <w:kern w:val="0"/>
                <w:sz w:val="24"/>
                <w:szCs w:val="24"/>
                <w:highlight w:val="none"/>
                <w:lang w:val="en-US" w:eastAsia="zh-CN"/>
              </w:rPr>
              <w:t>。分布幅度广，但面积不大而零星。就其绝大多数类型来说，都是常绿阔叶林经砍伐破坏后而形成的次生植被，不具地带性。这一类森林，全都是冬季落叶的。在群落外貌上，具有十分明显的季相变化。</w:t>
            </w:r>
            <w:r>
              <w:rPr>
                <w:rFonts w:hint="eastAsia"/>
                <w:bCs/>
                <w:color w:val="auto"/>
                <w:kern w:val="0"/>
                <w:sz w:val="24"/>
                <w:szCs w:val="24"/>
                <w:highlight w:val="none"/>
                <w:lang w:val="en-US" w:eastAsia="zh-CN"/>
              </w:rPr>
              <w:t>评价</w:t>
            </w:r>
            <w:r>
              <w:rPr>
                <w:rFonts w:hint="eastAsia" w:ascii="Times New Roman" w:hAnsi="Times New Roman"/>
                <w:bCs/>
                <w:color w:val="auto"/>
                <w:kern w:val="0"/>
                <w:sz w:val="24"/>
                <w:szCs w:val="24"/>
                <w:highlight w:val="none"/>
                <w:lang w:val="en-US" w:eastAsia="zh-CN"/>
              </w:rPr>
              <w:t>区的落叶阔叶林有桤木林和落叶栎林2个群系</w:t>
            </w:r>
            <w:r>
              <w:rPr>
                <w:rFonts w:hint="eastAsia"/>
                <w:bCs/>
                <w:color w:val="auto"/>
                <w:kern w:val="0"/>
                <w:sz w:val="24"/>
                <w:szCs w:val="24"/>
                <w:highlight w:val="none"/>
                <w:lang w:val="en-US" w:eastAsia="zh-CN"/>
              </w:rPr>
              <w:t>，</w:t>
            </w:r>
            <w:r>
              <w:rPr>
                <w:rFonts w:hint="eastAsia" w:ascii="Times New Roman" w:hAnsi="Times New Roman"/>
                <w:bCs/>
                <w:color w:val="auto"/>
                <w:kern w:val="0"/>
                <w:sz w:val="24"/>
                <w:szCs w:val="24"/>
                <w:highlight w:val="none"/>
                <w:lang w:val="en-US" w:eastAsia="zh-CN"/>
              </w:rPr>
              <w:t xml:space="preserve">常沿山箐及沟谷呈小块状分布。 </w:t>
            </w:r>
          </w:p>
          <w:p w14:paraId="27B8D31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lang w:val="en-US" w:eastAsia="zh-CN"/>
              </w:rPr>
              <w:t>群系包括2个群落：</w:t>
            </w:r>
            <w:r>
              <w:rPr>
                <w:rFonts w:hint="default" w:ascii="Times New Roman" w:hAnsi="Times New Roman"/>
                <w:bCs/>
                <w:color w:val="auto"/>
                <w:kern w:val="0"/>
                <w:sz w:val="24"/>
                <w:szCs w:val="24"/>
                <w:highlight w:val="none"/>
                <w:lang w:val="en-US" w:eastAsia="zh-CN"/>
              </w:rPr>
              <w:t>旱冬瓜</w:t>
            </w:r>
            <w:r>
              <w:rPr>
                <w:rFonts w:hint="eastAsia" w:ascii="Times New Roman" w:hAnsi="Times New Roman"/>
                <w:bCs/>
                <w:color w:val="auto"/>
                <w:kern w:val="0"/>
                <w:sz w:val="24"/>
                <w:szCs w:val="24"/>
                <w:highlight w:val="none"/>
                <w:lang w:val="en-US" w:eastAsia="zh-CN"/>
              </w:rPr>
              <w:t>群落和栓皮栎群落。</w:t>
            </w:r>
          </w:p>
          <w:p w14:paraId="7A29C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①</w:t>
            </w:r>
            <w:r>
              <w:rPr>
                <w:rFonts w:hint="default" w:ascii="Times New Roman" w:hAnsi="Times New Roman"/>
                <w:bCs/>
                <w:color w:val="auto"/>
                <w:kern w:val="0"/>
                <w:sz w:val="24"/>
                <w:szCs w:val="24"/>
                <w:highlight w:val="none"/>
                <w:lang w:val="en-US" w:eastAsia="zh-CN"/>
              </w:rPr>
              <w:t>旱冬瓜</w:t>
            </w:r>
            <w:r>
              <w:rPr>
                <w:rFonts w:hint="eastAsia" w:ascii="Times New Roman" w:hAnsi="Times New Roman"/>
                <w:bCs/>
                <w:color w:val="auto"/>
                <w:kern w:val="0"/>
                <w:sz w:val="24"/>
                <w:szCs w:val="24"/>
                <w:highlight w:val="none"/>
                <w:lang w:val="en-US" w:eastAsia="zh-CN"/>
              </w:rPr>
              <w:t>群落</w:t>
            </w:r>
          </w:p>
          <w:p w14:paraId="223FC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ar"/>
              </w:rPr>
            </w:pPr>
            <w:r>
              <w:rPr>
                <w:rFonts w:hint="default" w:ascii="Times New Roman" w:hAnsi="Times New Roman"/>
                <w:bCs/>
                <w:color w:val="auto"/>
                <w:kern w:val="0"/>
                <w:sz w:val="24"/>
                <w:szCs w:val="24"/>
                <w:highlight w:val="none"/>
                <w:lang w:val="en-US" w:eastAsia="zh-CN"/>
              </w:rPr>
              <w:t>旱冬瓜</w:t>
            </w:r>
            <w:r>
              <w:rPr>
                <w:rFonts w:hint="eastAsia" w:ascii="宋体" w:hAnsi="宋体" w:eastAsia="宋体" w:cs="宋体"/>
                <w:color w:val="auto"/>
                <w:kern w:val="0"/>
                <w:sz w:val="24"/>
                <w:szCs w:val="24"/>
                <w:lang w:val="en-US" w:eastAsia="zh-CN" w:bidi="ar"/>
              </w:rPr>
              <w:t>群落林冠较整齐，乔木层，覆盖度</w:t>
            </w:r>
            <w:r>
              <w:rPr>
                <w:rFonts w:hint="default" w:ascii="Times New Roman" w:hAnsi="Times New Roman" w:eastAsia="宋体" w:cs="Times New Roman"/>
                <w:color w:val="auto"/>
                <w:kern w:val="0"/>
                <w:sz w:val="24"/>
                <w:szCs w:val="24"/>
                <w:lang w:val="en-US" w:eastAsia="zh-CN" w:bidi="ar"/>
              </w:rPr>
              <w:t>75%</w:t>
            </w:r>
            <w:r>
              <w:rPr>
                <w:rFonts w:hint="eastAsia" w:ascii="宋体" w:hAnsi="宋体" w:eastAsia="宋体" w:cs="宋体"/>
                <w:color w:val="auto"/>
                <w:kern w:val="0"/>
                <w:sz w:val="24"/>
                <w:szCs w:val="24"/>
                <w:lang w:val="en-US" w:eastAsia="zh-CN" w:bidi="ar"/>
              </w:rPr>
              <w:t>左右，群落结构简单，可分为乔木层和草本层两层，灌木层几乎不见。</w:t>
            </w:r>
          </w:p>
          <w:p w14:paraId="0D4C1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rPr>
            </w:pPr>
            <w:r>
              <w:rPr>
                <w:rFonts w:hint="eastAsia" w:ascii="宋体" w:hAnsi="宋体" w:eastAsia="宋体" w:cs="宋体"/>
                <w:color w:val="auto"/>
                <w:kern w:val="0"/>
                <w:sz w:val="24"/>
                <w:szCs w:val="24"/>
                <w:lang w:val="en-US" w:eastAsia="zh-CN" w:bidi="ar"/>
              </w:rPr>
              <w:t>乔木层高</w:t>
            </w:r>
            <w:r>
              <w:rPr>
                <w:rFonts w:hint="default" w:ascii="Times New Roman" w:hAnsi="Times New Roman" w:eastAsia="宋体" w:cs="Times New Roman"/>
                <w:color w:val="auto"/>
                <w:kern w:val="0"/>
                <w:sz w:val="24"/>
                <w:szCs w:val="24"/>
                <w:lang w:val="en-US" w:eastAsia="zh-CN" w:bidi="ar"/>
              </w:rPr>
              <w:t>8-10m</w:t>
            </w:r>
            <w:r>
              <w:rPr>
                <w:rFonts w:hint="eastAsia" w:ascii="宋体" w:hAnsi="宋体" w:eastAsia="宋体" w:cs="宋体"/>
                <w:color w:val="auto"/>
                <w:kern w:val="0"/>
                <w:sz w:val="24"/>
                <w:szCs w:val="24"/>
                <w:lang w:val="en-US" w:eastAsia="zh-CN" w:bidi="ar"/>
              </w:rPr>
              <w:t>，盖度</w:t>
            </w:r>
            <w:r>
              <w:rPr>
                <w:rFonts w:hint="default" w:ascii="Times New Roman" w:hAnsi="Times New Roman" w:eastAsia="宋体" w:cs="Times New Roman"/>
                <w:color w:val="auto"/>
                <w:kern w:val="0"/>
                <w:sz w:val="24"/>
                <w:szCs w:val="24"/>
                <w:lang w:val="en-US" w:eastAsia="zh-CN" w:bidi="ar"/>
              </w:rPr>
              <w:t>60-70%</w:t>
            </w:r>
            <w:r>
              <w:rPr>
                <w:rFonts w:hint="eastAsia" w:ascii="宋体" w:hAnsi="宋体" w:eastAsia="宋体" w:cs="宋体"/>
                <w:color w:val="auto"/>
                <w:kern w:val="0"/>
                <w:sz w:val="24"/>
                <w:szCs w:val="24"/>
                <w:lang w:val="en-US" w:eastAsia="zh-CN" w:bidi="ar"/>
              </w:rPr>
              <w:t>，以旱冬瓜</w:t>
            </w:r>
            <w:r>
              <w:rPr>
                <w:rFonts w:hint="default" w:ascii="Times New Roman" w:hAnsi="Times New Roman" w:eastAsia="宋体" w:cs="Times New Roman"/>
                <w:i/>
                <w:iCs/>
                <w:color w:val="auto"/>
                <w:kern w:val="0"/>
                <w:sz w:val="24"/>
                <w:szCs w:val="24"/>
                <w:lang w:val="en-US" w:eastAsia="zh-CN" w:bidi="ar"/>
              </w:rPr>
              <w:t>Alnus nepalensis</w:t>
            </w:r>
            <w:r>
              <w:rPr>
                <w:rFonts w:hint="eastAsia" w:ascii="宋体" w:hAnsi="宋体" w:eastAsia="宋体" w:cs="宋体"/>
                <w:color w:val="auto"/>
                <w:kern w:val="0"/>
                <w:sz w:val="24"/>
                <w:szCs w:val="24"/>
                <w:lang w:val="en-US" w:eastAsia="zh-CN" w:bidi="ar"/>
              </w:rPr>
              <w:t>为单优势种，偶见有云南松</w:t>
            </w:r>
            <w:r>
              <w:rPr>
                <w:rFonts w:hint="default" w:ascii="Times New Roman" w:hAnsi="Times New Roman" w:eastAsia="宋体" w:cs="Times New Roman"/>
                <w:i/>
                <w:iCs/>
                <w:color w:val="auto"/>
                <w:kern w:val="0"/>
                <w:sz w:val="24"/>
                <w:szCs w:val="24"/>
                <w:lang w:val="en-US" w:eastAsia="zh-CN" w:bidi="ar"/>
              </w:rPr>
              <w:t>Pinus yunnanensis</w:t>
            </w:r>
            <w:r>
              <w:rPr>
                <w:rFonts w:hint="eastAsia" w:cs="Times New Roman"/>
                <w:i w:val="0"/>
                <w:iCs w:val="0"/>
                <w:color w:val="auto"/>
                <w:kern w:val="0"/>
                <w:sz w:val="24"/>
                <w:szCs w:val="24"/>
                <w:lang w:val="en-US" w:eastAsia="zh-CN" w:bidi="ar"/>
              </w:rPr>
              <w:t>和</w:t>
            </w:r>
            <w:r>
              <w:rPr>
                <w:rFonts w:hint="eastAsia" w:ascii="宋体" w:hAnsi="宋体" w:eastAsia="宋体" w:cs="宋体"/>
                <w:color w:val="auto"/>
                <w:kern w:val="0"/>
                <w:sz w:val="24"/>
                <w:szCs w:val="24"/>
                <w:lang w:val="en-US" w:eastAsia="zh-CN" w:bidi="ar"/>
              </w:rPr>
              <w:t>栓皮栎</w:t>
            </w:r>
            <w:r>
              <w:rPr>
                <w:rFonts w:hint="default" w:ascii="Times New Roman" w:hAnsi="Times New Roman" w:eastAsia="宋体" w:cs="Times New Roman"/>
                <w:i/>
                <w:iCs/>
                <w:color w:val="auto"/>
                <w:kern w:val="0"/>
                <w:sz w:val="24"/>
                <w:szCs w:val="24"/>
                <w:lang w:val="en-US" w:eastAsia="zh-CN" w:bidi="ar"/>
              </w:rPr>
              <w:t>Quercus variabilis</w:t>
            </w:r>
            <w:r>
              <w:rPr>
                <w:rFonts w:hint="eastAsia" w:ascii="宋体" w:hAnsi="宋体" w:eastAsia="宋体" w:cs="宋体"/>
                <w:color w:val="auto"/>
                <w:kern w:val="0"/>
                <w:sz w:val="24"/>
                <w:szCs w:val="24"/>
                <w:lang w:val="en-US" w:eastAsia="zh-CN" w:bidi="ar"/>
              </w:rPr>
              <w:t>出现。草本层高</w:t>
            </w:r>
            <w:r>
              <w:rPr>
                <w:rFonts w:hint="default" w:ascii="Times New Roman" w:hAnsi="Times New Roman" w:eastAsia="宋体" w:cs="Times New Roman"/>
                <w:color w:val="auto"/>
                <w:kern w:val="0"/>
                <w:sz w:val="24"/>
                <w:szCs w:val="24"/>
                <w:lang w:val="en-US" w:eastAsia="zh-CN" w:bidi="ar"/>
              </w:rPr>
              <w:t>0.2-0.6m</w:t>
            </w:r>
            <w:r>
              <w:rPr>
                <w:rFonts w:hint="eastAsia" w:ascii="宋体" w:hAnsi="宋体" w:eastAsia="宋体" w:cs="宋体"/>
                <w:color w:val="auto"/>
                <w:kern w:val="0"/>
                <w:sz w:val="24"/>
                <w:szCs w:val="24"/>
                <w:lang w:val="en-US" w:eastAsia="zh-CN" w:bidi="ar"/>
              </w:rPr>
              <w:t>，盖度</w:t>
            </w:r>
            <w:r>
              <w:rPr>
                <w:rFonts w:hint="default" w:ascii="Times New Roman" w:hAnsi="Times New Roman" w:eastAsia="宋体" w:cs="Times New Roman"/>
                <w:color w:val="auto"/>
                <w:kern w:val="0"/>
                <w:sz w:val="24"/>
                <w:szCs w:val="24"/>
                <w:lang w:val="en-US" w:eastAsia="zh-CN" w:bidi="ar"/>
              </w:rPr>
              <w:t>40-50%</w:t>
            </w:r>
            <w:r>
              <w:rPr>
                <w:rFonts w:hint="eastAsia" w:ascii="宋体" w:hAnsi="宋体" w:eastAsia="宋体" w:cs="宋体"/>
                <w:color w:val="auto"/>
                <w:kern w:val="0"/>
                <w:sz w:val="24"/>
                <w:szCs w:val="24"/>
                <w:lang w:val="en-US" w:eastAsia="zh-CN" w:bidi="ar"/>
              </w:rPr>
              <w:t>，常见的有蕨菜</w:t>
            </w:r>
            <w:r>
              <w:rPr>
                <w:rFonts w:hint="default" w:ascii="Times New Roman" w:hAnsi="Times New Roman" w:eastAsia="宋体" w:cs="Times New Roman"/>
                <w:i/>
                <w:iCs/>
                <w:color w:val="auto"/>
                <w:kern w:val="0"/>
                <w:sz w:val="24"/>
                <w:szCs w:val="24"/>
                <w:lang w:val="en-US" w:eastAsia="zh-CN" w:bidi="ar"/>
              </w:rPr>
              <w:t>Pteridium aquilinumvar.latiusculum</w:t>
            </w:r>
            <w:r>
              <w:rPr>
                <w:rFonts w:hint="eastAsia" w:ascii="宋体" w:hAnsi="宋体" w:eastAsia="宋体" w:cs="宋体"/>
                <w:color w:val="auto"/>
                <w:kern w:val="0"/>
                <w:sz w:val="24"/>
                <w:szCs w:val="24"/>
                <w:lang w:val="en-US" w:eastAsia="zh-CN" w:bidi="ar"/>
              </w:rPr>
              <w:t>、凤尾蕨</w:t>
            </w:r>
            <w:r>
              <w:rPr>
                <w:rFonts w:hint="default" w:ascii="Times New Roman" w:hAnsi="Times New Roman" w:eastAsia="宋体" w:cs="Times New Roman"/>
                <w:i/>
                <w:iCs/>
                <w:color w:val="auto"/>
                <w:kern w:val="0"/>
                <w:sz w:val="24"/>
                <w:szCs w:val="24"/>
                <w:lang w:val="en-US" w:eastAsia="zh-CN" w:bidi="ar"/>
              </w:rPr>
              <w:t>Pterisner vosa</w:t>
            </w:r>
            <w:r>
              <w:rPr>
                <w:rFonts w:hint="eastAsia" w:ascii="宋体" w:hAnsi="宋体" w:eastAsia="宋体" w:cs="宋体"/>
                <w:color w:val="auto"/>
                <w:kern w:val="0"/>
                <w:sz w:val="24"/>
                <w:szCs w:val="24"/>
                <w:lang w:val="en-US" w:eastAsia="zh-CN" w:bidi="ar"/>
              </w:rPr>
              <w:t>、云南兔儿风</w:t>
            </w:r>
            <w:r>
              <w:rPr>
                <w:rFonts w:hint="default" w:ascii="Times New Roman" w:hAnsi="Times New Roman" w:eastAsia="宋体" w:cs="Times New Roman"/>
                <w:i/>
                <w:iCs/>
                <w:color w:val="auto"/>
                <w:kern w:val="0"/>
                <w:sz w:val="24"/>
                <w:szCs w:val="24"/>
                <w:lang w:val="en-US" w:eastAsia="zh-CN" w:bidi="ar"/>
              </w:rPr>
              <w:t>Ainsliaea yunnanensis</w:t>
            </w:r>
            <w:r>
              <w:rPr>
                <w:rFonts w:hint="eastAsia" w:ascii="宋体" w:hAnsi="宋体" w:eastAsia="宋体" w:cs="宋体"/>
                <w:color w:val="auto"/>
                <w:kern w:val="0"/>
                <w:sz w:val="24"/>
                <w:szCs w:val="24"/>
                <w:lang w:val="en-US" w:eastAsia="zh-CN" w:bidi="ar"/>
              </w:rPr>
              <w:t>、野棉花</w:t>
            </w:r>
            <w:r>
              <w:rPr>
                <w:rFonts w:hint="default" w:ascii="Times New Roman" w:hAnsi="Times New Roman" w:eastAsia="宋体" w:cs="Times New Roman"/>
                <w:i/>
                <w:iCs/>
                <w:color w:val="auto"/>
                <w:kern w:val="0"/>
                <w:sz w:val="24"/>
                <w:szCs w:val="24"/>
                <w:lang w:val="en-US" w:eastAsia="zh-CN" w:bidi="ar"/>
              </w:rPr>
              <w:t>Anemon evitifolia</w:t>
            </w:r>
            <w:r>
              <w:rPr>
                <w:rFonts w:hint="eastAsia" w:ascii="宋体" w:hAnsi="宋体" w:eastAsia="宋体" w:cs="宋体"/>
                <w:color w:val="auto"/>
                <w:kern w:val="0"/>
                <w:sz w:val="24"/>
                <w:szCs w:val="24"/>
                <w:lang w:val="en-US" w:eastAsia="zh-CN" w:bidi="ar"/>
              </w:rPr>
              <w:t>、云南知风草</w:t>
            </w:r>
            <w:r>
              <w:rPr>
                <w:rFonts w:hint="default" w:ascii="Times New Roman" w:hAnsi="Times New Roman" w:eastAsia="宋体" w:cs="Times New Roman"/>
                <w:i/>
                <w:iCs/>
                <w:color w:val="auto"/>
                <w:kern w:val="0"/>
                <w:sz w:val="24"/>
                <w:szCs w:val="24"/>
                <w:lang w:val="en-US" w:eastAsia="zh-CN" w:bidi="ar"/>
              </w:rPr>
              <w:t>Eragrostis ferruginea</w:t>
            </w:r>
            <w:r>
              <w:rPr>
                <w:rFonts w:hint="eastAsia" w:ascii="宋体" w:hAnsi="宋体" w:eastAsia="宋体" w:cs="宋体"/>
                <w:color w:val="auto"/>
                <w:kern w:val="0"/>
                <w:sz w:val="24"/>
                <w:szCs w:val="24"/>
                <w:lang w:val="en-US" w:eastAsia="zh-CN" w:bidi="ar"/>
              </w:rPr>
              <w:t>、细柄草</w:t>
            </w:r>
            <w:r>
              <w:rPr>
                <w:rFonts w:hint="default" w:ascii="Times New Roman" w:hAnsi="Times New Roman" w:eastAsia="宋体" w:cs="Times New Roman"/>
                <w:i/>
                <w:iCs/>
                <w:color w:val="auto"/>
                <w:kern w:val="0"/>
                <w:sz w:val="24"/>
                <w:szCs w:val="24"/>
                <w:lang w:val="en-US" w:eastAsia="zh-CN" w:bidi="ar"/>
              </w:rPr>
              <w:t>Capillipedium parviflorum</w:t>
            </w:r>
            <w:r>
              <w:rPr>
                <w:rFonts w:hint="eastAsia" w:ascii="宋体" w:hAnsi="宋体" w:eastAsia="宋体" w:cs="宋体"/>
                <w:color w:val="auto"/>
                <w:kern w:val="0"/>
                <w:sz w:val="24"/>
                <w:szCs w:val="24"/>
                <w:lang w:val="en-US" w:eastAsia="zh-CN" w:bidi="ar"/>
              </w:rPr>
              <w:t>、五月艾</w:t>
            </w:r>
            <w:r>
              <w:rPr>
                <w:rFonts w:hint="default" w:ascii="Times New Roman" w:hAnsi="Times New Roman" w:eastAsia="宋体" w:cs="Times New Roman"/>
                <w:i/>
                <w:iCs/>
                <w:color w:val="auto"/>
                <w:kern w:val="0"/>
                <w:sz w:val="24"/>
                <w:szCs w:val="24"/>
                <w:lang w:val="en-US" w:eastAsia="zh-CN" w:bidi="ar"/>
              </w:rPr>
              <w:t>Artemisia indica</w:t>
            </w:r>
            <w:r>
              <w:rPr>
                <w:rFonts w:hint="eastAsia" w:ascii="宋体" w:hAnsi="宋体" w:eastAsia="宋体" w:cs="宋体"/>
                <w:color w:val="auto"/>
                <w:kern w:val="0"/>
                <w:sz w:val="24"/>
                <w:szCs w:val="24"/>
                <w:lang w:val="en-US" w:eastAsia="zh-CN" w:bidi="ar"/>
              </w:rPr>
              <w:t>、土牛膝</w:t>
            </w:r>
            <w:r>
              <w:rPr>
                <w:rFonts w:hint="default" w:ascii="Times New Roman" w:hAnsi="Times New Roman" w:eastAsia="宋体" w:cs="Times New Roman"/>
                <w:i/>
                <w:iCs/>
                <w:color w:val="auto"/>
                <w:kern w:val="0"/>
                <w:sz w:val="24"/>
                <w:szCs w:val="24"/>
                <w:lang w:val="en-US" w:eastAsia="zh-CN" w:bidi="ar"/>
              </w:rPr>
              <w:t>Achyranthes aspera</w:t>
            </w:r>
            <w:r>
              <w:rPr>
                <w:rFonts w:hint="eastAsia" w:cs="Times New Roman"/>
                <w:i/>
                <w:iCs/>
                <w:color w:val="auto"/>
                <w:kern w:val="0"/>
                <w:sz w:val="24"/>
                <w:szCs w:val="24"/>
                <w:lang w:val="en-US" w:eastAsia="zh-CN" w:bidi="ar"/>
              </w:rPr>
              <w:t>、</w:t>
            </w:r>
            <w:r>
              <w:rPr>
                <w:rFonts w:hint="default" w:ascii="微软雅黑" w:hAnsi="微软雅黑" w:eastAsia="微软雅黑" w:cs="微软雅黑"/>
                <w:i w:val="0"/>
                <w:iCs w:val="0"/>
                <w:caps w:val="0"/>
                <w:color w:val="auto"/>
                <w:spacing w:val="0"/>
                <w:sz w:val="24"/>
                <w:szCs w:val="24"/>
                <w:shd w:val="clear" w:fill="FFFFFF"/>
              </w:rPr>
              <w:t>白莲蒿</w:t>
            </w:r>
            <w:r>
              <w:rPr>
                <w:rFonts w:hint="default" w:ascii="Times New Roman" w:hAnsi="Times New Roman" w:eastAsia="宋体" w:cs="Times New Roman"/>
                <w:i/>
                <w:iCs/>
                <w:color w:val="auto"/>
                <w:kern w:val="0"/>
                <w:sz w:val="24"/>
                <w:szCs w:val="24"/>
                <w:lang w:val="en-US" w:eastAsia="zh-CN" w:bidi="ar"/>
              </w:rPr>
              <w:t>Artemisia</w:t>
            </w:r>
            <w:r>
              <w:rPr>
                <w:rFonts w:hint="eastAsia" w:ascii="Times New Roman" w:hAnsi="Times New Roman" w:eastAsia="宋体" w:cs="Times New Roman"/>
                <w:i/>
                <w:iCs/>
                <w:color w:val="auto"/>
                <w:kern w:val="0"/>
                <w:sz w:val="24"/>
                <w:szCs w:val="24"/>
                <w:lang w:val="en-US" w:eastAsia="zh-CN" w:bidi="ar"/>
              </w:rPr>
              <w:t> gmelinii</w:t>
            </w:r>
            <w:r>
              <w:rPr>
                <w:rFonts w:hint="eastAsia" w:ascii="宋体" w:hAnsi="宋体" w:eastAsia="宋体" w:cs="宋体"/>
                <w:color w:val="auto"/>
                <w:kern w:val="0"/>
                <w:sz w:val="24"/>
                <w:szCs w:val="24"/>
                <w:lang w:val="en-US" w:eastAsia="zh-CN" w:bidi="ar"/>
              </w:rPr>
              <w:t>等。</w:t>
            </w:r>
          </w:p>
          <w:p w14:paraId="6453F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②</w:t>
            </w:r>
            <w:r>
              <w:rPr>
                <w:rFonts w:hint="eastAsia" w:ascii="Times New Roman" w:hAnsi="Times New Roman"/>
                <w:bCs/>
                <w:color w:val="auto"/>
                <w:kern w:val="0"/>
                <w:sz w:val="24"/>
                <w:szCs w:val="24"/>
                <w:highlight w:val="none"/>
                <w:lang w:val="en-US" w:eastAsia="zh-CN"/>
              </w:rPr>
              <w:t>栓皮栎群落</w:t>
            </w:r>
          </w:p>
          <w:p w14:paraId="1B34B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该群落在评价区内主要分布西北片区附近的山坡，分布面积小。</w:t>
            </w:r>
            <w:r>
              <w:rPr>
                <w:rFonts w:hint="eastAsia" w:ascii="宋体" w:hAnsi="宋体" w:eastAsia="宋体" w:cs="宋体"/>
                <w:color w:val="auto"/>
                <w:kern w:val="0"/>
                <w:sz w:val="24"/>
                <w:szCs w:val="24"/>
                <w:lang w:val="en-US" w:eastAsia="zh-CN" w:bidi="ar"/>
              </w:rPr>
              <w:t>群落结构简单，可分为乔木层和草本层两层，灌木层几乎不见。</w:t>
            </w:r>
          </w:p>
          <w:p w14:paraId="570F1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乔木层盖度约50%-60%，高度</w:t>
            </w:r>
            <w:r>
              <w:rPr>
                <w:rFonts w:hint="eastAsia" w:ascii="Times New Roman" w:hAnsi="Times New Roman" w:eastAsia="宋体" w:cs="Times New Roman"/>
                <w:color w:val="auto"/>
                <w:spacing w:val="8"/>
                <w:sz w:val="24"/>
              </w:rPr>
              <w:t>约9</w:t>
            </w:r>
            <w:r>
              <w:rPr>
                <w:rFonts w:hint="eastAsia" w:ascii="Times New Roman" w:hAnsi="Times New Roman" w:eastAsia="宋体" w:cs="Times New Roman"/>
                <w:color w:val="auto"/>
                <w:spacing w:val="8"/>
                <w:sz w:val="24"/>
                <w:lang w:eastAsia="zh-CN"/>
              </w:rPr>
              <w:t>～</w:t>
            </w:r>
            <w:r>
              <w:rPr>
                <w:rFonts w:hint="eastAsia" w:ascii="Times New Roman" w:hAnsi="Times New Roman" w:eastAsia="宋体" w:cs="Times New Roman"/>
                <w:color w:val="auto"/>
                <w:spacing w:val="8"/>
                <w:sz w:val="24"/>
              </w:rPr>
              <w:t>12</w:t>
            </w:r>
            <w:r>
              <w:rPr>
                <w:rFonts w:hint="default" w:ascii="Times New Roman" w:hAnsi="Times New Roman" w:eastAsia="宋体" w:cs="Times New Roman"/>
                <w:i w:val="0"/>
                <w:iCs/>
                <w:color w:val="auto"/>
                <w:spacing w:val="8"/>
                <w:sz w:val="24"/>
              </w:rPr>
              <w:t>m</w:t>
            </w:r>
            <w:r>
              <w:rPr>
                <w:rFonts w:hint="eastAsia" w:ascii="Times New Roman" w:hAnsi="Times New Roman" w:eastAsia="宋体" w:cs="Times New Roman"/>
                <w:color w:val="auto"/>
                <w:spacing w:val="8"/>
                <w:sz w:val="24"/>
              </w:rPr>
              <w:t>，</w:t>
            </w:r>
            <w:r>
              <w:rPr>
                <w:rFonts w:hint="default" w:ascii="Times New Roman" w:hAnsi="Times New Roman" w:eastAsia="宋体" w:cs="Times New Roman"/>
                <w:color w:val="auto"/>
                <w:spacing w:val="8"/>
                <w:sz w:val="24"/>
              </w:rPr>
              <w:t>胸径</w:t>
            </w:r>
            <w:r>
              <w:rPr>
                <w:rFonts w:hint="eastAsia" w:ascii="Times New Roman" w:hAnsi="Times New Roman" w:eastAsia="宋体" w:cs="Times New Roman"/>
                <w:color w:val="auto"/>
                <w:spacing w:val="8"/>
                <w:sz w:val="24"/>
              </w:rPr>
              <w:t>15</w:t>
            </w:r>
            <w:r>
              <w:rPr>
                <w:rFonts w:hint="eastAsia" w:ascii="Times New Roman" w:hAnsi="Times New Roman" w:eastAsia="宋体" w:cs="Times New Roman"/>
                <w:color w:val="auto"/>
                <w:spacing w:val="8"/>
                <w:sz w:val="24"/>
                <w:lang w:eastAsia="zh-CN"/>
              </w:rPr>
              <w:t>～</w:t>
            </w:r>
            <w:r>
              <w:rPr>
                <w:rFonts w:hint="eastAsia" w:ascii="Times New Roman" w:hAnsi="Times New Roman" w:eastAsia="宋体" w:cs="Times New Roman"/>
                <w:color w:val="auto"/>
                <w:spacing w:val="8"/>
                <w:sz w:val="24"/>
              </w:rPr>
              <w:t>32</w:t>
            </w:r>
            <w:r>
              <w:rPr>
                <w:rFonts w:hint="default" w:ascii="Times New Roman" w:hAnsi="Times New Roman" w:eastAsia="宋体" w:cs="Times New Roman"/>
                <w:i w:val="0"/>
                <w:iCs/>
                <w:color w:val="auto"/>
                <w:spacing w:val="8"/>
                <w:sz w:val="24"/>
              </w:rPr>
              <w:t>cm</w:t>
            </w:r>
            <w:r>
              <w:rPr>
                <w:rFonts w:hint="eastAsia" w:ascii="Times New Roman" w:hAnsi="Times New Roman" w:eastAsia="宋体" w:cs="Times New Roman"/>
                <w:color w:val="auto"/>
                <w:spacing w:val="8"/>
                <w:sz w:val="24"/>
              </w:rPr>
              <w:t>，成分组成栓皮栎</w:t>
            </w:r>
            <w:r>
              <w:rPr>
                <w:rFonts w:hint="eastAsia" w:ascii="Times New Roman" w:hAnsi="Times New Roman" w:eastAsia="宋体" w:cs="Times New Roman"/>
                <w:i/>
                <w:color w:val="auto"/>
                <w:spacing w:val="8"/>
                <w:sz w:val="24"/>
              </w:rPr>
              <w:t>Quercus</w:t>
            </w:r>
            <w:r>
              <w:rPr>
                <w:rFonts w:hint="eastAsia" w:ascii="Times New Roman" w:hAnsi="Times New Roman" w:eastAsia="宋体" w:cs="Times New Roman"/>
                <w:color w:val="auto"/>
                <w:spacing w:val="8"/>
                <w:sz w:val="24"/>
              </w:rPr>
              <w:t xml:space="preserve"> </w:t>
            </w:r>
            <w:r>
              <w:rPr>
                <w:rFonts w:hint="eastAsia" w:ascii="Times New Roman" w:hAnsi="Times New Roman" w:eastAsia="宋体" w:cs="Times New Roman"/>
                <w:i/>
                <w:color w:val="auto"/>
                <w:spacing w:val="8"/>
                <w:sz w:val="24"/>
              </w:rPr>
              <w:t>variabilis</w:t>
            </w:r>
            <w:r>
              <w:rPr>
                <w:rFonts w:hint="eastAsia" w:ascii="Times New Roman" w:hAnsi="Times New Roman" w:eastAsia="宋体" w:cs="Times New Roman"/>
                <w:color w:val="auto"/>
                <w:spacing w:val="8"/>
                <w:sz w:val="24"/>
              </w:rPr>
              <w:t>为主，此外还偶见云南松</w:t>
            </w:r>
            <w:r>
              <w:rPr>
                <w:rFonts w:hint="default" w:ascii="Times New Roman" w:hAnsi="Times New Roman" w:eastAsia="宋体" w:cs="Times New Roman"/>
                <w:i/>
                <w:color w:val="auto"/>
                <w:spacing w:val="8"/>
                <w:sz w:val="24"/>
              </w:rPr>
              <w:t>Pinus yunnanensis</w:t>
            </w:r>
            <w:r>
              <w:rPr>
                <w:rFonts w:hint="eastAsia" w:ascii="Times New Roman" w:hAnsi="Times New Roman" w:eastAsia="宋体" w:cs="Times New Roman"/>
                <w:i/>
                <w:color w:val="auto"/>
                <w:spacing w:val="8"/>
                <w:sz w:val="24"/>
                <w:lang w:eastAsia="zh-CN"/>
              </w:rPr>
              <w:t>、</w:t>
            </w:r>
            <w:r>
              <w:rPr>
                <w:rFonts w:hint="eastAsia" w:ascii="宋体" w:hAnsi="宋体" w:eastAsia="宋体" w:cs="宋体"/>
                <w:color w:val="auto"/>
                <w:kern w:val="0"/>
                <w:sz w:val="24"/>
                <w:szCs w:val="24"/>
                <w:lang w:val="en-US" w:eastAsia="zh-CN" w:bidi="ar"/>
              </w:rPr>
              <w:t>旱冬瓜</w:t>
            </w:r>
            <w:r>
              <w:rPr>
                <w:rFonts w:hint="default" w:ascii="Times New Roman" w:hAnsi="Times New Roman" w:eastAsia="宋体" w:cs="Times New Roman"/>
                <w:i/>
                <w:iCs/>
                <w:color w:val="auto"/>
                <w:kern w:val="0"/>
                <w:sz w:val="24"/>
                <w:szCs w:val="24"/>
                <w:lang w:val="en-US" w:eastAsia="zh-CN" w:bidi="ar"/>
              </w:rPr>
              <w:t>Alnus nepalensis</w:t>
            </w:r>
            <w:r>
              <w:rPr>
                <w:rFonts w:hint="eastAsia" w:ascii="Times New Roman" w:hAnsi="Times New Roman" w:eastAsia="宋体" w:cs="Times New Roman"/>
                <w:color w:val="auto"/>
                <w:spacing w:val="8"/>
                <w:sz w:val="24"/>
              </w:rPr>
              <w:t>。草本层高约0.3-1</w:t>
            </w:r>
            <w:r>
              <w:rPr>
                <w:rFonts w:hint="eastAsia" w:ascii="Times New Roman" w:hAnsi="Times New Roman" w:eastAsia="宋体" w:cs="Times New Roman"/>
                <w:i w:val="0"/>
                <w:iCs/>
                <w:color w:val="auto"/>
                <w:spacing w:val="8"/>
                <w:sz w:val="24"/>
              </w:rPr>
              <w:t>m</w:t>
            </w:r>
            <w:r>
              <w:rPr>
                <w:rFonts w:hint="eastAsia" w:ascii="Times New Roman" w:hAnsi="Times New Roman" w:eastAsia="宋体" w:cs="Times New Roman"/>
                <w:color w:val="auto"/>
                <w:spacing w:val="8"/>
                <w:sz w:val="24"/>
              </w:rPr>
              <w:t>，盖度达60%，</w:t>
            </w:r>
            <w:r>
              <w:rPr>
                <w:rFonts w:hint="eastAsia" w:ascii="宋体" w:hAnsi="宋体" w:eastAsia="宋体" w:cs="宋体"/>
                <w:color w:val="auto"/>
                <w:kern w:val="0"/>
                <w:sz w:val="24"/>
                <w:szCs w:val="24"/>
                <w:lang w:val="en-US" w:eastAsia="zh-CN" w:bidi="ar"/>
              </w:rPr>
              <w:t>常见的有黄茅</w:t>
            </w:r>
            <w:r>
              <w:rPr>
                <w:rFonts w:hint="default" w:ascii="Times New Roman" w:hAnsi="Times New Roman" w:eastAsia="宋体" w:cs="Times New Roman"/>
                <w:i/>
                <w:iCs/>
                <w:color w:val="auto"/>
                <w:kern w:val="0"/>
                <w:sz w:val="24"/>
                <w:szCs w:val="24"/>
                <w:lang w:val="en-US" w:eastAsia="zh-CN" w:bidi="ar"/>
              </w:rPr>
              <w:t>Heteropogon contortus</w:t>
            </w:r>
            <w:r>
              <w:rPr>
                <w:rFonts w:hint="eastAsia" w:ascii="宋体" w:hAnsi="宋体" w:eastAsia="宋体" w:cs="宋体"/>
                <w:color w:val="auto"/>
                <w:kern w:val="0"/>
                <w:sz w:val="24"/>
                <w:szCs w:val="24"/>
                <w:lang w:val="en-US" w:eastAsia="zh-CN" w:bidi="ar"/>
              </w:rPr>
              <w:t>、旱茅</w:t>
            </w:r>
            <w:r>
              <w:rPr>
                <w:rFonts w:hint="default" w:ascii="Times New Roman" w:hAnsi="Times New Roman" w:eastAsia="宋体" w:cs="Times New Roman"/>
                <w:i/>
                <w:iCs/>
                <w:color w:val="auto"/>
                <w:kern w:val="0"/>
                <w:sz w:val="24"/>
                <w:szCs w:val="24"/>
                <w:lang w:val="en-US" w:eastAsia="zh-CN" w:bidi="ar"/>
              </w:rPr>
              <w:t>Schizachyrium delavayi</w:t>
            </w:r>
            <w:r>
              <w:rPr>
                <w:rFonts w:hint="eastAsia" w:ascii="宋体" w:hAnsi="宋体" w:eastAsia="宋体" w:cs="宋体"/>
                <w:color w:val="auto"/>
                <w:kern w:val="0"/>
                <w:sz w:val="24"/>
                <w:szCs w:val="24"/>
                <w:lang w:val="en-US" w:eastAsia="zh-CN" w:bidi="ar"/>
              </w:rPr>
              <w:t>、紫茎泽兰</w:t>
            </w:r>
            <w:r>
              <w:rPr>
                <w:rFonts w:hint="default" w:ascii="Times New Roman" w:hAnsi="Times New Roman" w:eastAsia="宋体" w:cs="Times New Roman"/>
                <w:i/>
                <w:iCs/>
                <w:color w:val="auto"/>
                <w:kern w:val="0"/>
                <w:sz w:val="24"/>
                <w:szCs w:val="24"/>
                <w:lang w:val="en-US" w:eastAsia="zh-CN" w:bidi="ar"/>
              </w:rPr>
              <w:t>Ageratina adenophora</w:t>
            </w:r>
            <w:r>
              <w:rPr>
                <w:rFonts w:hint="eastAsia" w:ascii="宋体" w:hAnsi="宋体" w:eastAsia="宋体" w:cs="宋体"/>
                <w:color w:val="auto"/>
                <w:kern w:val="0"/>
                <w:sz w:val="24"/>
                <w:szCs w:val="24"/>
                <w:lang w:val="en-US" w:eastAsia="zh-CN" w:bidi="ar"/>
              </w:rPr>
              <w:t>、知风草</w:t>
            </w:r>
            <w:r>
              <w:rPr>
                <w:rFonts w:hint="default" w:ascii="Times New Roman" w:hAnsi="Times New Roman" w:eastAsia="宋体" w:cs="Times New Roman"/>
                <w:i/>
                <w:iCs/>
                <w:color w:val="auto"/>
                <w:kern w:val="0"/>
                <w:sz w:val="24"/>
                <w:szCs w:val="24"/>
                <w:lang w:val="en-US" w:eastAsia="zh-CN" w:bidi="ar"/>
              </w:rPr>
              <w:t>Eragrostis ferruginea</w:t>
            </w:r>
            <w:r>
              <w:rPr>
                <w:rFonts w:hint="eastAsia" w:ascii="宋体" w:hAnsi="宋体" w:eastAsia="宋体" w:cs="宋体"/>
                <w:color w:val="auto"/>
                <w:kern w:val="0"/>
                <w:sz w:val="24"/>
                <w:szCs w:val="24"/>
                <w:lang w:val="en-US" w:eastAsia="zh-CN" w:bidi="ar"/>
              </w:rPr>
              <w:t>、西南沿阶草</w:t>
            </w:r>
            <w:r>
              <w:rPr>
                <w:rFonts w:hint="default" w:ascii="Times New Roman" w:hAnsi="Times New Roman" w:eastAsia="宋体" w:cs="Times New Roman"/>
                <w:i/>
                <w:iCs/>
                <w:color w:val="auto"/>
                <w:kern w:val="0"/>
                <w:sz w:val="24"/>
                <w:szCs w:val="24"/>
                <w:lang w:val="en-US" w:eastAsia="zh-CN" w:bidi="ar"/>
              </w:rPr>
              <w:t>Ophiopogon mairei</w:t>
            </w:r>
            <w:r>
              <w:rPr>
                <w:rFonts w:hint="eastAsia" w:ascii="宋体" w:hAnsi="宋体" w:eastAsia="宋体" w:cs="宋体"/>
                <w:color w:val="auto"/>
                <w:kern w:val="0"/>
                <w:sz w:val="24"/>
                <w:szCs w:val="24"/>
                <w:lang w:val="en-US" w:eastAsia="zh-CN" w:bidi="ar"/>
              </w:rPr>
              <w:t>、荩草</w:t>
            </w:r>
            <w:r>
              <w:rPr>
                <w:rFonts w:hint="default" w:ascii="Times New Roman" w:hAnsi="Times New Roman" w:eastAsia="宋体" w:cs="Times New Roman"/>
                <w:i/>
                <w:iCs/>
                <w:color w:val="auto"/>
                <w:kern w:val="0"/>
                <w:sz w:val="24"/>
                <w:szCs w:val="24"/>
                <w:lang w:val="en-US" w:eastAsia="zh-CN" w:bidi="ar"/>
              </w:rPr>
              <w:t>Arthraxon hispidus</w:t>
            </w:r>
            <w:r>
              <w:rPr>
                <w:rFonts w:hint="eastAsia" w:ascii="宋体" w:hAnsi="宋体" w:eastAsia="宋体" w:cs="宋体"/>
                <w:color w:val="auto"/>
                <w:kern w:val="0"/>
                <w:sz w:val="24"/>
                <w:szCs w:val="24"/>
                <w:lang w:val="en-US" w:eastAsia="zh-CN" w:bidi="ar"/>
              </w:rPr>
              <w:t>、马鞭草</w:t>
            </w:r>
            <w:r>
              <w:rPr>
                <w:rFonts w:hint="default" w:ascii="Times New Roman" w:hAnsi="Times New Roman" w:eastAsia="宋体" w:cs="Times New Roman"/>
                <w:i/>
                <w:iCs/>
                <w:color w:val="auto"/>
                <w:kern w:val="0"/>
                <w:sz w:val="24"/>
                <w:szCs w:val="24"/>
                <w:lang w:val="en-US" w:eastAsia="zh-CN" w:bidi="ar"/>
              </w:rPr>
              <w:t>Verbena officinalis</w:t>
            </w:r>
            <w:r>
              <w:rPr>
                <w:rFonts w:hint="eastAsia" w:ascii="宋体" w:hAnsi="宋体" w:eastAsia="宋体" w:cs="宋体"/>
                <w:color w:val="auto"/>
                <w:kern w:val="0"/>
                <w:sz w:val="24"/>
                <w:szCs w:val="24"/>
                <w:lang w:val="en-US" w:eastAsia="zh-CN" w:bidi="ar"/>
              </w:rPr>
              <w:t>、龙芽草</w:t>
            </w:r>
            <w:r>
              <w:rPr>
                <w:rFonts w:hint="default" w:ascii="Times New Roman" w:hAnsi="Times New Roman" w:eastAsia="宋体" w:cs="Times New Roman"/>
                <w:i/>
                <w:iCs/>
                <w:color w:val="auto"/>
                <w:kern w:val="0"/>
                <w:sz w:val="24"/>
                <w:szCs w:val="24"/>
                <w:lang w:val="en-US" w:eastAsia="zh-CN" w:bidi="ar"/>
              </w:rPr>
              <w:t>Agrimonia pilosa</w:t>
            </w:r>
            <w:r>
              <w:rPr>
                <w:rFonts w:hint="eastAsia" w:ascii="宋体" w:hAnsi="宋体" w:eastAsia="宋体" w:cs="宋体"/>
                <w:color w:val="auto"/>
                <w:kern w:val="0"/>
                <w:sz w:val="24"/>
                <w:szCs w:val="24"/>
                <w:lang w:val="en-US" w:eastAsia="zh-CN" w:bidi="ar"/>
              </w:rPr>
              <w:t>、牛口刺</w:t>
            </w:r>
            <w:r>
              <w:rPr>
                <w:rFonts w:hint="default" w:ascii="Times New Roman" w:hAnsi="Times New Roman" w:eastAsia="宋体" w:cs="Times New Roman"/>
                <w:i/>
                <w:iCs/>
                <w:color w:val="auto"/>
                <w:kern w:val="0"/>
                <w:sz w:val="24"/>
                <w:szCs w:val="24"/>
                <w:lang w:val="en-US" w:eastAsia="zh-CN" w:bidi="ar"/>
              </w:rPr>
              <w:t>Cirsium shansiense</w:t>
            </w:r>
            <w:r>
              <w:rPr>
                <w:rFonts w:hint="eastAsia" w:ascii="宋体" w:hAnsi="宋体" w:eastAsia="宋体" w:cs="宋体"/>
                <w:color w:val="auto"/>
                <w:kern w:val="0"/>
                <w:sz w:val="24"/>
                <w:szCs w:val="24"/>
                <w:lang w:val="en-US" w:eastAsia="zh-CN" w:bidi="ar"/>
              </w:rPr>
              <w:t>、天名精</w:t>
            </w:r>
            <w:r>
              <w:rPr>
                <w:rFonts w:hint="default" w:ascii="Times New Roman" w:hAnsi="Times New Roman" w:eastAsia="宋体" w:cs="Times New Roman"/>
                <w:i/>
                <w:iCs/>
                <w:color w:val="auto"/>
                <w:kern w:val="0"/>
                <w:sz w:val="24"/>
                <w:szCs w:val="24"/>
                <w:lang w:val="en-US" w:eastAsia="zh-CN" w:bidi="ar"/>
              </w:rPr>
              <w:t>Carpesium abrotanoides</w:t>
            </w:r>
            <w:r>
              <w:rPr>
                <w:rFonts w:hint="eastAsia" w:ascii="宋体" w:hAnsi="宋体" w:eastAsia="宋体" w:cs="宋体"/>
                <w:color w:val="auto"/>
                <w:kern w:val="0"/>
                <w:sz w:val="24"/>
                <w:szCs w:val="24"/>
                <w:lang w:val="en-US" w:eastAsia="zh-CN" w:bidi="ar"/>
              </w:rPr>
              <w:t>、五节芒</w:t>
            </w:r>
            <w:r>
              <w:rPr>
                <w:rFonts w:hint="default" w:ascii="Times New Roman" w:hAnsi="Times New Roman" w:eastAsia="宋体" w:cs="Times New Roman"/>
                <w:i/>
                <w:iCs/>
                <w:color w:val="auto"/>
                <w:kern w:val="0"/>
                <w:sz w:val="24"/>
                <w:szCs w:val="24"/>
                <w:lang w:val="en-US" w:eastAsia="zh-CN" w:bidi="ar"/>
              </w:rPr>
              <w:t>Miscanthus floridulus</w:t>
            </w:r>
            <w:r>
              <w:rPr>
                <w:rFonts w:hint="eastAsia" w:ascii="宋体" w:hAnsi="宋体" w:eastAsia="宋体" w:cs="宋体"/>
                <w:color w:val="auto"/>
                <w:kern w:val="0"/>
                <w:sz w:val="24"/>
                <w:szCs w:val="24"/>
                <w:lang w:val="en-US" w:eastAsia="zh-CN" w:bidi="ar"/>
              </w:rPr>
              <w:t>、云南兔儿风</w:t>
            </w:r>
            <w:r>
              <w:rPr>
                <w:rFonts w:hint="default" w:ascii="Times New Roman" w:hAnsi="Times New Roman" w:eastAsia="宋体" w:cs="Times New Roman"/>
                <w:i/>
                <w:iCs/>
                <w:color w:val="auto"/>
                <w:kern w:val="0"/>
                <w:sz w:val="24"/>
                <w:szCs w:val="24"/>
                <w:lang w:val="en-US" w:eastAsia="zh-CN" w:bidi="ar"/>
              </w:rPr>
              <w:t>Ainsliaea yunnanensis</w:t>
            </w:r>
            <w:r>
              <w:rPr>
                <w:rFonts w:hint="eastAsia" w:ascii="宋体" w:hAnsi="宋体" w:eastAsia="宋体" w:cs="宋体"/>
                <w:color w:val="auto"/>
                <w:kern w:val="0"/>
                <w:sz w:val="24"/>
                <w:szCs w:val="24"/>
                <w:lang w:val="en-US" w:eastAsia="zh-CN" w:bidi="ar"/>
              </w:rPr>
              <w:t>、鬼针草</w:t>
            </w:r>
            <w:r>
              <w:rPr>
                <w:rFonts w:hint="default" w:ascii="Times New Roman" w:hAnsi="Times New Roman" w:eastAsia="宋体" w:cs="Times New Roman"/>
                <w:i/>
                <w:iCs/>
                <w:color w:val="auto"/>
                <w:kern w:val="0"/>
                <w:sz w:val="24"/>
                <w:szCs w:val="24"/>
                <w:lang w:val="en-US" w:eastAsia="zh-CN" w:bidi="ar"/>
              </w:rPr>
              <w:t>Bidens pilosa</w:t>
            </w:r>
            <w:r>
              <w:rPr>
                <w:rFonts w:hint="eastAsia" w:ascii="宋体" w:hAnsi="宋体" w:eastAsia="宋体" w:cs="宋体"/>
                <w:color w:val="auto"/>
                <w:kern w:val="0"/>
                <w:sz w:val="24"/>
                <w:szCs w:val="24"/>
                <w:lang w:val="en-US" w:eastAsia="zh-CN" w:bidi="ar"/>
              </w:rPr>
              <w:t>、刺芒野古草</w:t>
            </w:r>
            <w:r>
              <w:rPr>
                <w:rFonts w:hint="default" w:ascii="Times New Roman" w:hAnsi="Times New Roman" w:eastAsia="宋体" w:cs="Times New Roman"/>
                <w:i/>
                <w:iCs/>
                <w:color w:val="auto"/>
                <w:kern w:val="0"/>
                <w:sz w:val="24"/>
                <w:szCs w:val="24"/>
                <w:lang w:val="en-US" w:eastAsia="zh-CN" w:bidi="ar"/>
              </w:rPr>
              <w:t>Arundinella setosa</w:t>
            </w:r>
            <w:r>
              <w:rPr>
                <w:rFonts w:hint="eastAsia" w:ascii="宋体" w:hAnsi="宋体" w:eastAsia="宋体" w:cs="宋体"/>
                <w:color w:val="auto"/>
                <w:kern w:val="0"/>
                <w:sz w:val="24"/>
                <w:szCs w:val="24"/>
                <w:lang w:val="en-US" w:eastAsia="zh-CN" w:bidi="ar"/>
              </w:rPr>
              <w:t>、毛轴蕨</w:t>
            </w:r>
            <w:r>
              <w:rPr>
                <w:rFonts w:hint="default" w:ascii="Times New Roman" w:hAnsi="Times New Roman" w:eastAsia="宋体" w:cs="Times New Roman"/>
                <w:i/>
                <w:iCs/>
                <w:color w:val="auto"/>
                <w:kern w:val="0"/>
                <w:sz w:val="24"/>
                <w:szCs w:val="24"/>
                <w:lang w:val="en-US" w:eastAsia="zh-CN" w:bidi="ar"/>
              </w:rPr>
              <w:t>Pteridium revolutum</w:t>
            </w:r>
            <w:r>
              <w:rPr>
                <w:rFonts w:hint="eastAsia" w:ascii="宋体" w:hAnsi="宋体" w:eastAsia="宋体" w:cs="宋体"/>
                <w:color w:val="auto"/>
                <w:kern w:val="0"/>
                <w:sz w:val="24"/>
                <w:szCs w:val="24"/>
                <w:lang w:val="en-US" w:eastAsia="zh-CN" w:bidi="ar"/>
              </w:rPr>
              <w:t>、小蓬草</w:t>
            </w:r>
            <w:r>
              <w:rPr>
                <w:rFonts w:hint="default" w:ascii="Times New Roman" w:hAnsi="Times New Roman" w:eastAsia="宋体" w:cs="Times New Roman"/>
                <w:i/>
                <w:iCs/>
                <w:color w:val="auto"/>
                <w:kern w:val="0"/>
                <w:sz w:val="24"/>
                <w:szCs w:val="24"/>
                <w:lang w:val="en-US" w:eastAsia="zh-CN" w:bidi="ar"/>
              </w:rPr>
              <w:t>Erigeron canadensis</w:t>
            </w:r>
            <w:r>
              <w:rPr>
                <w:rFonts w:hint="eastAsia" w:ascii="宋体" w:hAnsi="宋体" w:eastAsia="宋体" w:cs="宋体"/>
                <w:color w:val="auto"/>
                <w:kern w:val="0"/>
                <w:sz w:val="24"/>
                <w:szCs w:val="24"/>
                <w:lang w:val="en-US" w:eastAsia="zh-CN" w:bidi="ar"/>
              </w:rPr>
              <w:t>等。</w:t>
            </w:r>
          </w:p>
          <w:p w14:paraId="4F018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default" w:cs="Times New Roman"/>
                <w:color w:val="auto"/>
                <w:sz w:val="24"/>
                <w:szCs w:val="24"/>
                <w:lang w:val="en-US" w:eastAsia="zh-CN"/>
              </w:rPr>
              <w:t>Ⅱ</w:t>
            </w:r>
            <w:r>
              <w:rPr>
                <w:rFonts w:hint="eastAsia" w:cs="Times New Roman"/>
                <w:color w:val="auto"/>
                <w:sz w:val="24"/>
                <w:szCs w:val="24"/>
                <w:lang w:val="en-US" w:eastAsia="zh-CN"/>
              </w:rPr>
              <w:t xml:space="preserve"> </w:t>
            </w:r>
            <w:r>
              <w:rPr>
                <w:rFonts w:hint="default" w:cs="Times New Roman"/>
                <w:color w:val="auto"/>
                <w:sz w:val="24"/>
                <w:szCs w:val="24"/>
                <w:lang w:val="en-US" w:eastAsia="zh-CN"/>
              </w:rPr>
              <w:t>暖性针叶林</w:t>
            </w:r>
          </w:p>
          <w:p w14:paraId="2B8C1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①云南松林</w:t>
            </w:r>
          </w:p>
          <w:p w14:paraId="6E1BD53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rPr>
              <w:t>评价区内的云南松林主要分布于海拔</w:t>
            </w:r>
            <w:r>
              <w:rPr>
                <w:rFonts w:hint="eastAsia"/>
                <w:bCs/>
                <w:color w:val="auto"/>
                <w:kern w:val="0"/>
                <w:sz w:val="24"/>
                <w:szCs w:val="24"/>
                <w:highlight w:val="none"/>
                <w:lang w:val="en-US" w:eastAsia="zh-CN"/>
              </w:rPr>
              <w:t>2010</w:t>
            </w:r>
            <w:r>
              <w:rPr>
                <w:rFonts w:hint="eastAsia"/>
                <w:bCs/>
                <w:color w:val="auto"/>
                <w:kern w:val="0"/>
                <w:sz w:val="24"/>
                <w:szCs w:val="24"/>
                <w:highlight w:val="none"/>
                <w:lang w:eastAsia="zh-CN"/>
              </w:rPr>
              <w:t>～</w:t>
            </w:r>
            <w:r>
              <w:rPr>
                <w:rFonts w:hint="eastAsia"/>
                <w:bCs/>
                <w:color w:val="auto"/>
                <w:kern w:val="0"/>
                <w:sz w:val="24"/>
                <w:szCs w:val="24"/>
                <w:highlight w:val="none"/>
                <w:lang w:val="en-US" w:eastAsia="zh-CN"/>
              </w:rPr>
              <w:t>2400</w:t>
            </w:r>
            <w:r>
              <w:rPr>
                <w:rFonts w:hint="eastAsia" w:ascii="Times New Roman" w:hAnsi="Times New Roman"/>
                <w:bCs/>
                <w:color w:val="auto"/>
                <w:kern w:val="0"/>
                <w:sz w:val="24"/>
                <w:szCs w:val="24"/>
                <w:highlight w:val="none"/>
              </w:rPr>
              <w:t>m，群落高约</w:t>
            </w:r>
            <w:r>
              <w:rPr>
                <w:rFonts w:hint="eastAsia" w:ascii="Times New Roman" w:hAnsi="Times New Roman"/>
                <w:bCs/>
                <w:color w:val="auto"/>
                <w:kern w:val="0"/>
                <w:sz w:val="24"/>
                <w:szCs w:val="24"/>
                <w:highlight w:val="none"/>
                <w:lang w:val="en-US" w:eastAsia="zh-CN"/>
              </w:rPr>
              <w:t>4</w:t>
            </w:r>
            <w:r>
              <w:rPr>
                <w:rFonts w:hint="eastAsia"/>
                <w:bCs/>
                <w:color w:val="auto"/>
                <w:kern w:val="0"/>
                <w:sz w:val="24"/>
                <w:szCs w:val="24"/>
                <w:highlight w:val="none"/>
                <w:lang w:eastAsia="zh-CN"/>
              </w:rPr>
              <w:t>～</w:t>
            </w:r>
            <w:r>
              <w:rPr>
                <w:rFonts w:hint="eastAsia" w:ascii="Times New Roman" w:hAnsi="Times New Roman"/>
                <w:bCs/>
                <w:color w:val="auto"/>
                <w:kern w:val="0"/>
                <w:sz w:val="24"/>
                <w:szCs w:val="24"/>
                <w:highlight w:val="none"/>
                <w:lang w:val="en-US" w:eastAsia="zh-CN"/>
              </w:rPr>
              <w:t>9</w:t>
            </w:r>
            <w:r>
              <w:rPr>
                <w:rFonts w:hint="eastAsia" w:ascii="Times New Roman" w:hAnsi="Times New Roman"/>
                <w:bCs/>
                <w:color w:val="auto"/>
                <w:kern w:val="0"/>
                <w:sz w:val="24"/>
                <w:szCs w:val="24"/>
                <w:highlight w:val="none"/>
              </w:rPr>
              <w:t>m，盖度约90％，群落可以分为乔木层、灌木层和草本层三层。</w:t>
            </w:r>
          </w:p>
          <w:p w14:paraId="76AF9E3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rPr>
              <w:t>乔木层高</w:t>
            </w:r>
            <w:r>
              <w:rPr>
                <w:rFonts w:hint="eastAsia" w:ascii="Times New Roman" w:hAnsi="Times New Roman"/>
                <w:bCs/>
                <w:color w:val="auto"/>
                <w:kern w:val="0"/>
                <w:sz w:val="24"/>
                <w:szCs w:val="24"/>
                <w:highlight w:val="none"/>
                <w:lang w:val="en-US" w:eastAsia="zh-CN"/>
              </w:rPr>
              <w:t>4</w:t>
            </w:r>
            <w:r>
              <w:rPr>
                <w:rFonts w:hint="eastAsia"/>
                <w:bCs/>
                <w:color w:val="auto"/>
                <w:kern w:val="0"/>
                <w:sz w:val="24"/>
                <w:szCs w:val="24"/>
                <w:highlight w:val="none"/>
                <w:lang w:eastAsia="zh-CN"/>
              </w:rPr>
              <w:t>～</w:t>
            </w:r>
            <w:r>
              <w:rPr>
                <w:rFonts w:hint="eastAsia" w:ascii="Times New Roman" w:hAnsi="Times New Roman"/>
                <w:bCs/>
                <w:color w:val="auto"/>
                <w:kern w:val="0"/>
                <w:sz w:val="24"/>
                <w:szCs w:val="24"/>
                <w:highlight w:val="none"/>
                <w:lang w:val="en-US" w:eastAsia="zh-CN"/>
              </w:rPr>
              <w:t>9</w:t>
            </w:r>
            <w:r>
              <w:rPr>
                <w:rFonts w:hint="eastAsia" w:ascii="Times New Roman" w:hAnsi="Times New Roman"/>
                <w:bCs/>
                <w:color w:val="auto"/>
                <w:kern w:val="0"/>
                <w:sz w:val="24"/>
                <w:szCs w:val="24"/>
                <w:highlight w:val="none"/>
              </w:rPr>
              <w:t>m，层盖度在60%。以云南松</w:t>
            </w:r>
            <w:r>
              <w:rPr>
                <w:rFonts w:hint="eastAsia" w:ascii="Times New Roman" w:hAnsi="Times New Roman"/>
                <w:bCs/>
                <w:i/>
                <w:iCs/>
                <w:color w:val="auto"/>
                <w:kern w:val="0"/>
                <w:sz w:val="24"/>
                <w:szCs w:val="24"/>
                <w:highlight w:val="none"/>
              </w:rPr>
              <w:t>Pinusyunnanensis</w:t>
            </w:r>
            <w:r>
              <w:rPr>
                <w:rFonts w:hint="eastAsia" w:ascii="Times New Roman" w:hAnsi="Times New Roman"/>
                <w:bCs/>
                <w:color w:val="auto"/>
                <w:kern w:val="0"/>
                <w:sz w:val="24"/>
                <w:szCs w:val="24"/>
                <w:highlight w:val="none"/>
              </w:rPr>
              <w:t>为建群种和标志种，</w:t>
            </w:r>
            <w:r>
              <w:rPr>
                <w:rFonts w:hint="eastAsia" w:ascii="Times New Roman" w:hAnsi="宋体" w:eastAsia="宋体"/>
                <w:color w:val="auto"/>
                <w:sz w:val="24"/>
                <w:szCs w:val="24"/>
                <w:lang w:val="en-US" w:eastAsia="zh-CN"/>
              </w:rPr>
              <w:t>伴生有</w:t>
            </w:r>
            <w:r>
              <w:rPr>
                <w:rFonts w:hint="eastAsia" w:ascii="Times New Roman" w:hAnsi="宋体" w:eastAsia="宋体" w:cs="Times New Roman"/>
                <w:color w:val="auto"/>
                <w:sz w:val="24"/>
                <w:szCs w:val="24"/>
                <w:lang w:val="en-US" w:eastAsia="zh-CN"/>
              </w:rPr>
              <w:t>华山松</w:t>
            </w:r>
            <w:r>
              <w:rPr>
                <w:rFonts w:hint="eastAsia" w:ascii="Times New Roman" w:hAnsi="宋体" w:eastAsia="宋体" w:cs="Times New Roman"/>
                <w:i/>
                <w:iCs/>
                <w:color w:val="auto"/>
                <w:sz w:val="24"/>
                <w:szCs w:val="24"/>
                <w:lang w:val="en-US" w:eastAsia="zh-CN"/>
              </w:rPr>
              <w:t>Pinus armandi、</w:t>
            </w:r>
            <w:r>
              <w:rPr>
                <w:rFonts w:hint="eastAsia" w:ascii="Times New Roman" w:hAnsi="宋体" w:eastAsia="宋体"/>
                <w:color w:val="auto"/>
                <w:sz w:val="24"/>
                <w:szCs w:val="24"/>
              </w:rPr>
              <w:t>旱冬瓜</w:t>
            </w:r>
            <w:r>
              <w:rPr>
                <w:rFonts w:hint="eastAsia" w:ascii="Times New Roman" w:hAnsi="宋体" w:eastAsia="宋体"/>
                <w:i/>
                <w:iCs/>
                <w:color w:val="auto"/>
                <w:sz w:val="24"/>
                <w:szCs w:val="24"/>
              </w:rPr>
              <w:t>Alnus</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nepalensis</w:t>
            </w:r>
            <w:r>
              <w:rPr>
                <w:rFonts w:hint="eastAsia" w:ascii="Times New Roman" w:hAnsi="宋体" w:eastAsia="宋体"/>
                <w:color w:val="auto"/>
                <w:sz w:val="24"/>
                <w:szCs w:val="24"/>
              </w:rPr>
              <w:t>、</w:t>
            </w:r>
            <w:r>
              <w:rPr>
                <w:rFonts w:hint="eastAsia" w:ascii="Times New Roman" w:hAnsi="宋体" w:eastAsia="宋体" w:cs="Times New Roman"/>
                <w:color w:val="auto"/>
                <w:sz w:val="24"/>
                <w:szCs w:val="24"/>
                <w:lang w:val="en-US" w:eastAsia="zh-CN"/>
              </w:rPr>
              <w:t>栓皮栎</w:t>
            </w:r>
            <w:r>
              <w:rPr>
                <w:rFonts w:hint="eastAsia" w:ascii="Times New Roman" w:hAnsi="宋体" w:eastAsia="宋体" w:cs="Times New Roman"/>
                <w:i/>
                <w:iCs/>
                <w:color w:val="auto"/>
                <w:sz w:val="24"/>
                <w:szCs w:val="24"/>
                <w:lang w:val="en-US" w:eastAsia="zh-CN"/>
              </w:rPr>
              <w:t>Quercus variabilis、</w:t>
            </w:r>
            <w:r>
              <w:rPr>
                <w:rFonts w:hint="eastAsia" w:ascii="Times New Roman" w:hAnsi="宋体" w:eastAsia="宋体" w:cs="Times New Roman"/>
                <w:color w:val="auto"/>
                <w:sz w:val="24"/>
                <w:szCs w:val="24"/>
                <w:lang w:val="en-US" w:eastAsia="zh-CN"/>
              </w:rPr>
              <w:t>滇青冈</w:t>
            </w:r>
            <w:r>
              <w:rPr>
                <w:rFonts w:hint="eastAsia" w:ascii="Times New Roman" w:hAnsi="宋体" w:eastAsia="宋体" w:cs="Times New Roman"/>
                <w:i/>
                <w:iCs/>
                <w:color w:val="auto"/>
                <w:sz w:val="24"/>
                <w:szCs w:val="24"/>
                <w:lang w:val="en-US" w:eastAsia="zh-CN"/>
              </w:rPr>
              <w:t>Cyclobalanopsis glaucoides</w:t>
            </w:r>
            <w:r>
              <w:rPr>
                <w:rFonts w:hint="eastAsia" w:ascii="Times New Roman" w:hAnsi="宋体" w:eastAsia="宋体"/>
                <w:color w:val="auto"/>
                <w:sz w:val="24"/>
                <w:szCs w:val="24"/>
              </w:rPr>
              <w:t>等。</w:t>
            </w:r>
          </w:p>
          <w:p w14:paraId="4C6ABB7A">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olor w:val="auto"/>
              </w:rPr>
            </w:pPr>
            <w:r>
              <w:rPr>
                <w:rFonts w:hint="eastAsia" w:ascii="Times New Roman" w:hAnsi="宋体" w:eastAsia="宋体"/>
                <w:color w:val="auto"/>
                <w:sz w:val="24"/>
                <w:szCs w:val="24"/>
              </w:rPr>
              <w:t>灌木层高约0.8-1.5m，层盖度约10%-35%，</w:t>
            </w:r>
            <w:r>
              <w:rPr>
                <w:rFonts w:hint="eastAsia" w:ascii="Times New Roman" w:hAnsi="Times New Roman" w:eastAsia="宋体" w:cs="Times New Roman"/>
                <w:bCs/>
                <w:color w:val="auto"/>
                <w:kern w:val="0"/>
                <w:sz w:val="24"/>
                <w:szCs w:val="24"/>
                <w:highlight w:val="none"/>
              </w:rPr>
              <w:t>灌木层主要树种为云南松的幼树，其他灌木</w:t>
            </w:r>
            <w:r>
              <w:rPr>
                <w:rFonts w:hint="eastAsia" w:ascii="Times New Roman" w:hAnsi="宋体" w:eastAsia="宋体"/>
                <w:color w:val="auto"/>
                <w:sz w:val="24"/>
                <w:szCs w:val="24"/>
              </w:rPr>
              <w:t>主要有火棘</w:t>
            </w:r>
            <w:r>
              <w:rPr>
                <w:rFonts w:hint="eastAsia" w:ascii="Times New Roman" w:hAnsi="宋体" w:eastAsia="宋体"/>
                <w:i/>
                <w:iCs/>
                <w:color w:val="auto"/>
                <w:sz w:val="24"/>
                <w:szCs w:val="24"/>
              </w:rPr>
              <w:t>Pyracantha</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fortuneana</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eastAsia" w:ascii="Times New Roman" w:hAnsi="宋体" w:eastAsia="宋体"/>
                <w:color w:val="auto"/>
                <w:sz w:val="24"/>
                <w:szCs w:val="24"/>
              </w:rPr>
              <w:t>、</w:t>
            </w:r>
            <w:r>
              <w:rPr>
                <w:rFonts w:hint="default"/>
                <w:color w:val="auto"/>
                <w:sz w:val="24"/>
              </w:rPr>
              <w:t>小铁仔</w:t>
            </w:r>
            <w:r>
              <w:rPr>
                <w:rFonts w:hint="default"/>
                <w:i/>
                <w:iCs/>
                <w:color w:val="auto"/>
                <w:sz w:val="24"/>
              </w:rPr>
              <w:t>Myrsine africana</w:t>
            </w:r>
            <w:r>
              <w:rPr>
                <w:rFonts w:hint="eastAsia" w:ascii="Times New Roman" w:hAnsi="宋体" w:eastAsia="宋体"/>
                <w:color w:val="auto"/>
                <w:sz w:val="24"/>
                <w:szCs w:val="24"/>
              </w:rPr>
              <w:t>、</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eastAsia" w:ascii="Times New Roman" w:hAnsi="宋体" w:eastAsia="宋体"/>
                <w:color w:val="auto"/>
                <w:sz w:val="24"/>
                <w:szCs w:val="24"/>
              </w:rPr>
              <w:t>等。</w:t>
            </w:r>
          </w:p>
          <w:p w14:paraId="07D1B0B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bCs/>
                <w:color w:val="auto"/>
                <w:kern w:val="0"/>
                <w:sz w:val="24"/>
                <w:szCs w:val="24"/>
                <w:highlight w:val="none"/>
                <w:lang w:eastAsia="zh-CN"/>
              </w:rPr>
            </w:pPr>
            <w:r>
              <w:rPr>
                <w:rFonts w:hint="eastAsia" w:ascii="Times New Roman" w:hAnsi="Times New Roman"/>
                <w:bCs/>
                <w:color w:val="auto"/>
                <w:kern w:val="0"/>
                <w:sz w:val="24"/>
                <w:szCs w:val="24"/>
                <w:highlight w:val="none"/>
              </w:rPr>
              <w:t>草本层高多在</w:t>
            </w:r>
            <w:r>
              <w:rPr>
                <w:rFonts w:hint="eastAsia" w:ascii="Times New Roman" w:hAnsi="Times New Roman"/>
                <w:bCs/>
                <w:color w:val="auto"/>
                <w:kern w:val="0"/>
                <w:sz w:val="24"/>
                <w:szCs w:val="24"/>
                <w:highlight w:val="none"/>
                <w:lang w:val="en-US" w:eastAsia="zh-CN"/>
              </w:rPr>
              <w:t>0.8</w:t>
            </w:r>
            <w:r>
              <w:rPr>
                <w:rFonts w:hint="eastAsia" w:ascii="Times New Roman" w:hAnsi="Times New Roman"/>
                <w:bCs/>
                <w:color w:val="auto"/>
                <w:kern w:val="0"/>
                <w:sz w:val="24"/>
                <w:szCs w:val="24"/>
                <w:highlight w:val="none"/>
              </w:rPr>
              <w:t>m以下，层盖度约15%，主要物种有毛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宋体" w:eastAsia="宋体" w:cs="Times New Roman"/>
                <w:color w:val="auto"/>
                <w:sz w:val="24"/>
                <w:szCs w:val="24"/>
                <w:highlight w:val="none"/>
                <w:lang w:val="en-US" w:eastAsia="zh-CN"/>
              </w:rPr>
              <w:t>、青蒿</w:t>
            </w:r>
            <w:r>
              <w:rPr>
                <w:rFonts w:hint="eastAsia" w:ascii="Times New Roman" w:hAnsi="宋体" w:eastAsia="宋体" w:cs="Times New Roman"/>
                <w:i/>
                <w:iCs/>
                <w:color w:val="auto"/>
                <w:sz w:val="24"/>
                <w:szCs w:val="24"/>
                <w:highlight w:val="none"/>
                <w:lang w:val="en-US" w:eastAsia="zh-CN"/>
              </w:rPr>
              <w:t>Artemisia carvifolia</w:t>
            </w:r>
            <w:r>
              <w:rPr>
                <w:rFonts w:hint="eastAsia" w:ascii="Times New Roman" w:hAnsi="宋体" w:eastAsia="宋体" w:cs="Times New Roman"/>
                <w:color w:val="auto"/>
                <w:sz w:val="24"/>
                <w:szCs w:val="24"/>
                <w:highlight w:val="none"/>
                <w:lang w:val="en-US" w:eastAsia="zh-CN"/>
              </w:rPr>
              <w:t>、</w:t>
            </w:r>
            <w:r>
              <w:rPr>
                <w:rFonts w:hint="eastAsia" w:hAnsi="宋体" w:cs="Times New Roman"/>
                <w:color w:val="auto"/>
                <w:sz w:val="24"/>
                <w:szCs w:val="24"/>
                <w:highlight w:val="none"/>
                <w:lang w:val="en-US" w:eastAsia="zh-CN"/>
              </w:rPr>
              <w:t>白莲蒿</w:t>
            </w:r>
            <w:r>
              <w:rPr>
                <w:rFonts w:hint="eastAsia" w:hAnsi="宋体" w:cs="Times New Roman"/>
                <w:i/>
                <w:iCs/>
                <w:color w:val="auto"/>
                <w:sz w:val="24"/>
                <w:szCs w:val="24"/>
                <w:highlight w:val="none"/>
                <w:lang w:val="en-US" w:eastAsia="zh-CN"/>
              </w:rPr>
              <w:t>Artemisia sacrorum</w:t>
            </w:r>
            <w:r>
              <w:rPr>
                <w:rFonts w:hint="eastAsia" w:hAnsi="宋体" w:cs="Times New Roman"/>
                <w:color w:val="auto"/>
                <w:sz w:val="24"/>
                <w:szCs w:val="24"/>
                <w:highlight w:val="none"/>
                <w:lang w:val="en-US" w:eastAsia="zh-CN"/>
              </w:rPr>
              <w:t>、</w:t>
            </w:r>
            <w:r>
              <w:rPr>
                <w:rFonts w:hint="eastAsia"/>
                <w:color w:val="auto"/>
                <w:sz w:val="24"/>
                <w:szCs w:val="24"/>
                <w:highlight w:val="none"/>
                <w:lang w:val="en-US" w:eastAsia="zh-CN"/>
              </w:rPr>
              <w:t>华火绒草</w:t>
            </w:r>
            <w:r>
              <w:rPr>
                <w:rFonts w:hint="eastAsia" w:ascii="Times New Roman" w:hAnsi="Times New Roman" w:eastAsia="Times New Roman" w:cs="Times New Roman"/>
                <w:i/>
                <w:iCs/>
                <w:color w:val="auto"/>
                <w:sz w:val="24"/>
                <w:szCs w:val="24"/>
                <w:highlight w:val="none"/>
              </w:rPr>
              <w:t>Leontopodium sinense</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ascii="Times New Roman" w:hAnsi="Times New Roman"/>
                <w:bCs/>
                <w:color w:val="auto"/>
                <w:kern w:val="0"/>
                <w:sz w:val="24"/>
                <w:szCs w:val="24"/>
                <w:highlight w:val="none"/>
              </w:rPr>
              <w:t>等组成。</w:t>
            </w:r>
          </w:p>
          <w:p w14:paraId="57F56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Ⅲ.</w:t>
            </w:r>
            <w:r>
              <w:rPr>
                <w:rFonts w:hint="eastAsia" w:ascii="Times New Roman" w:hAnsi="Times New Roman" w:eastAsia="宋体" w:cs="Times New Roman"/>
                <w:color w:val="auto"/>
                <w:sz w:val="24"/>
                <w:szCs w:val="24"/>
                <w:lang w:val="en-US" w:eastAsia="zh-CN"/>
              </w:rPr>
              <w:t>灌丛</w:t>
            </w:r>
          </w:p>
          <w:p w14:paraId="56ED3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云南的植被中，灌丛类型多样且分布较广，有些是长期以来受到人为的限制已使得它长久存在，不易恢复成原来的森林，如干热河谷旱生灌丛。评价区属于典型的滇中高原核心地带，是云南省人类活动较为悠久的地区之一，也是云南喀斯特地貌分布比较广的地区。历史上由于生产而砍伐平地森林，大多数平地上的乔木几乎损失殆尽，而靠近人类活动区附近的石灰岩干旱山坡也常常被破坏，低矮的灌木和禾草往往组成最优势的群落，是滇中高原上较为显著的植被。有不少次生的灌丛属于不稳定的群落，如果减少人类干扰，可以恢复成次生稀树灌木草丛或云南松林，在此次调查中这类植被并未划入到灌丛中，而是列为其他群落的次生类型。在本评价区，海拔跨度比较小，生境较为均质，仅有一种植被亚型分布：暖性石灰岩灌丛。</w:t>
            </w:r>
          </w:p>
          <w:p w14:paraId="2386D46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color w:val="auto"/>
                <w:sz w:val="24"/>
                <w:szCs w:val="24"/>
                <w:lang w:val="en-US" w:eastAsia="zh-CN"/>
              </w:rPr>
              <w:t>暖性石灰岩灌丛主要分布于亚热带气候下的各低山丘陵，海拔1400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2500m左右，具有一定的次生性。</w:t>
            </w:r>
            <w:r>
              <w:rPr>
                <w:rFonts w:hint="eastAsia" w:cs="Times New Roman"/>
                <w:color w:val="auto"/>
                <w:sz w:val="24"/>
                <w:szCs w:val="24"/>
                <w:lang w:val="en-US" w:eastAsia="zh-CN"/>
              </w:rPr>
              <w:t>常</w:t>
            </w:r>
            <w:r>
              <w:rPr>
                <w:rFonts w:hint="default" w:ascii="Times New Roman" w:hAnsi="Times New Roman" w:eastAsia="宋体" w:cs="Times New Roman"/>
                <w:color w:val="auto"/>
                <w:sz w:val="24"/>
                <w:szCs w:val="24"/>
                <w:lang w:val="en-US" w:eastAsia="zh-CN"/>
              </w:rPr>
              <w:t>分布于滇中、滇东及滇东南各地的石灰岩山地。这些石灰岩山地因为长期受人类活动的持续影响，本植被亚型分布极广泛，群落中含有耐贫瘠的植物种类，是石灰岩地半湿润常绿阔叶林遭破坏后形成的，若进一步地破坏，则向旱生荒草坡石山演变。该群落类型主要分布于评价区海拔约1850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2150m的石灰岩裸露地或低矮丘陵峰岭上，土壤瘠薄，</w:t>
            </w:r>
            <w:r>
              <w:rPr>
                <w:rFonts w:hint="eastAsia" w:cs="Times New Roman"/>
                <w:color w:val="auto"/>
                <w:sz w:val="24"/>
                <w:szCs w:val="24"/>
                <w:lang w:val="en-US" w:eastAsia="zh-CN"/>
              </w:rPr>
              <w:t>水土流失</w:t>
            </w:r>
            <w:r>
              <w:rPr>
                <w:rFonts w:hint="default" w:ascii="Times New Roman" w:hAnsi="Times New Roman" w:eastAsia="宋体" w:cs="Times New Roman"/>
                <w:color w:val="auto"/>
                <w:sz w:val="24"/>
                <w:szCs w:val="24"/>
                <w:lang w:val="en-US" w:eastAsia="zh-CN"/>
              </w:rPr>
              <w:t>严重，生境干燥，调查中发现2个群系：</w:t>
            </w:r>
            <w:r>
              <w:rPr>
                <w:rFonts w:hint="eastAsia" w:ascii="Times New Roman" w:hAnsi="Times New Roman" w:eastAsia="宋体" w:cs="Times New Roman"/>
                <w:bCs/>
                <w:color w:val="auto"/>
                <w:kern w:val="0"/>
                <w:sz w:val="24"/>
                <w:szCs w:val="24"/>
                <w:highlight w:val="none"/>
                <w:lang w:val="pt-BR"/>
              </w:rPr>
              <w:t>云南松-西南栒子</w:t>
            </w:r>
            <w:r>
              <w:rPr>
                <w:rFonts w:hint="default" w:ascii="Times New Roman" w:hAnsi="Times New Roman" w:eastAsia="宋体" w:cs="Times New Roman"/>
                <w:color w:val="auto"/>
                <w:sz w:val="24"/>
                <w:szCs w:val="24"/>
                <w:lang w:val="en-US" w:eastAsia="zh-CN"/>
              </w:rPr>
              <w:t>灌丛和</w:t>
            </w:r>
            <w:r>
              <w:rPr>
                <w:rFonts w:hint="default" w:ascii="Times New Roman" w:hAnsi="Times New Roman" w:eastAsia="宋体" w:cs="Times New Roman"/>
                <w:bCs/>
                <w:color w:val="auto"/>
                <w:kern w:val="0"/>
                <w:sz w:val="24"/>
                <w:szCs w:val="24"/>
                <w:highlight w:val="none"/>
                <w:lang w:val="en-US" w:eastAsia="zh-CN"/>
              </w:rPr>
              <w:t>火棘</w:t>
            </w:r>
            <w:r>
              <w:rPr>
                <w:rFonts w:hint="default" w:ascii="Times New Roman" w:hAnsi="Times New Roman" w:eastAsia="宋体" w:cs="Times New Roman"/>
                <w:color w:val="auto"/>
                <w:sz w:val="24"/>
                <w:szCs w:val="24"/>
                <w:lang w:val="en-US" w:eastAsia="zh-CN"/>
              </w:rPr>
              <w:t>灌丛。</w:t>
            </w:r>
          </w:p>
          <w:p w14:paraId="1D3C156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①</w:t>
            </w:r>
            <w:r>
              <w:rPr>
                <w:rFonts w:hint="eastAsia" w:ascii="Times New Roman" w:hAnsi="Times New Roman" w:eastAsia="宋体" w:cs="Times New Roman"/>
                <w:bCs/>
                <w:color w:val="auto"/>
                <w:kern w:val="0"/>
                <w:sz w:val="24"/>
                <w:szCs w:val="24"/>
                <w:highlight w:val="none"/>
                <w:lang w:val="pt-BR"/>
              </w:rPr>
              <w:t>云南松-西南栒子</w:t>
            </w:r>
            <w:r>
              <w:rPr>
                <w:rFonts w:hint="eastAsia" w:cs="Times New Roman"/>
                <w:color w:val="auto"/>
                <w:sz w:val="24"/>
                <w:szCs w:val="24"/>
                <w:lang w:val="en-US" w:eastAsia="zh-CN"/>
              </w:rPr>
              <w:t>群落</w:t>
            </w:r>
          </w:p>
          <w:p w14:paraId="7A71800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rPr>
            </w:pPr>
            <w:r>
              <w:rPr>
                <w:rFonts w:hint="eastAsia" w:ascii="Times New Roman" w:hAnsi="Times New Roman" w:eastAsia="宋体" w:cs="Times New Roman"/>
                <w:bCs/>
                <w:color w:val="auto"/>
                <w:kern w:val="0"/>
                <w:sz w:val="24"/>
                <w:szCs w:val="24"/>
                <w:highlight w:val="none"/>
              </w:rPr>
              <w:t>该群落为评价区常见，群落盖度约70%，</w:t>
            </w:r>
            <w:r>
              <w:rPr>
                <w:rFonts w:hint="default" w:ascii="Times New Roman" w:hAnsi="Times New Roman"/>
                <w:bCs/>
                <w:color w:val="auto"/>
                <w:sz w:val="24"/>
              </w:rPr>
              <w:t>高度1</w:t>
            </w:r>
            <w:r>
              <w:rPr>
                <w:rFonts w:hint="eastAsia"/>
                <w:bCs/>
                <w:color w:val="auto"/>
                <w:sz w:val="24"/>
                <w:lang w:eastAsia="zh-CN"/>
              </w:rPr>
              <w:t>～</w:t>
            </w:r>
            <w:r>
              <w:rPr>
                <w:rFonts w:hint="default" w:ascii="Times New Roman" w:hAnsi="Times New Roman"/>
                <w:bCs/>
                <w:color w:val="auto"/>
                <w:sz w:val="24"/>
              </w:rPr>
              <w:t>3m</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可分为灌木层和草本层。灌木层盖度约55%，</w:t>
            </w:r>
            <w:r>
              <w:rPr>
                <w:rFonts w:hint="eastAsia" w:cs="Times New Roman"/>
                <w:bCs/>
                <w:color w:val="auto"/>
                <w:kern w:val="0"/>
                <w:sz w:val="24"/>
                <w:szCs w:val="24"/>
                <w:highlight w:val="none"/>
                <w:lang w:val="en-US" w:eastAsia="zh-CN"/>
              </w:rPr>
              <w:t>常见物种</w:t>
            </w:r>
            <w:r>
              <w:rPr>
                <w:rFonts w:hint="eastAsia" w:ascii="Times New Roman" w:hAnsi="Times New Roman" w:eastAsia="宋体" w:cs="Times New Roman"/>
                <w:bCs/>
                <w:color w:val="auto"/>
                <w:kern w:val="0"/>
                <w:sz w:val="24"/>
                <w:szCs w:val="24"/>
                <w:highlight w:val="none"/>
              </w:rPr>
              <w:t>以</w:t>
            </w:r>
            <w:r>
              <w:rPr>
                <w:rFonts w:hint="eastAsia" w:ascii="Times New Roman" w:hAnsi="Times New Roman"/>
                <w:bCs/>
                <w:color w:val="auto"/>
                <w:kern w:val="0"/>
                <w:sz w:val="24"/>
                <w:szCs w:val="24"/>
                <w:highlight w:val="none"/>
              </w:rPr>
              <w:t>云南松</w:t>
            </w:r>
            <w:r>
              <w:rPr>
                <w:rFonts w:hint="eastAsia" w:ascii="Times New Roman" w:hAnsi="Times New Roman"/>
                <w:bCs/>
                <w:i/>
                <w:iCs/>
                <w:color w:val="auto"/>
                <w:kern w:val="0"/>
                <w:sz w:val="24"/>
                <w:szCs w:val="24"/>
                <w:highlight w:val="none"/>
              </w:rPr>
              <w:t>Pinusyunnanensis</w:t>
            </w:r>
            <w:r>
              <w:rPr>
                <w:rFonts w:hint="eastAsia"/>
                <w:bCs/>
                <w:i w:val="0"/>
                <w:iCs w:val="0"/>
                <w:color w:val="auto"/>
                <w:kern w:val="0"/>
                <w:sz w:val="24"/>
                <w:szCs w:val="24"/>
                <w:highlight w:val="none"/>
                <w:lang w:val="en-US" w:eastAsia="zh-CN"/>
              </w:rPr>
              <w:t>幼树</w:t>
            </w:r>
            <w:r>
              <w:rPr>
                <w:rFonts w:hint="eastAsia" w:ascii="Times New Roman" w:hAnsi="Times New Roman" w:eastAsia="宋体" w:cs="Times New Roman"/>
                <w:bCs/>
                <w:i/>
                <w:iCs/>
                <w:color w:val="auto"/>
                <w:kern w:val="0"/>
                <w:sz w:val="24"/>
                <w:szCs w:val="24"/>
                <w:highlight w:val="none"/>
                <w:lang w:eastAsia="zh-CN"/>
              </w:rPr>
              <w:t>、</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eastAsia" w:ascii="Times New Roman" w:hAnsi="Times New Roman" w:eastAsia="宋体" w:cs="Times New Roman"/>
                <w:bCs/>
                <w:color w:val="auto"/>
                <w:kern w:val="0"/>
                <w:sz w:val="24"/>
                <w:szCs w:val="24"/>
                <w:highlight w:val="none"/>
              </w:rPr>
              <w:t>为优势</w:t>
            </w:r>
            <w:r>
              <w:rPr>
                <w:rFonts w:hint="eastAsia" w:ascii="Times New Roman" w:hAnsi="Times New Roman" w:eastAsia="宋体" w:cs="Times New Roman"/>
                <w:bCs/>
                <w:color w:val="auto"/>
                <w:kern w:val="0"/>
                <w:sz w:val="24"/>
                <w:szCs w:val="24"/>
                <w:highlight w:val="none"/>
                <w:lang w:val="en-US" w:eastAsia="zh-CN"/>
              </w:rPr>
              <w:t>种</w:t>
            </w:r>
            <w:r>
              <w:rPr>
                <w:rFonts w:hint="eastAsia" w:ascii="Times New Roman" w:hAnsi="Times New Roman" w:eastAsia="宋体" w:cs="Times New Roman"/>
                <w:bCs/>
                <w:color w:val="auto"/>
                <w:kern w:val="0"/>
                <w:sz w:val="24"/>
                <w:szCs w:val="24"/>
                <w:highlight w:val="none"/>
              </w:rPr>
              <w:t>，伴有</w:t>
            </w:r>
            <w:r>
              <w:rPr>
                <w:rFonts w:hint="eastAsia" w:ascii="Times New Roman" w:hAnsi="宋体" w:eastAsia="宋体"/>
                <w:color w:val="auto"/>
                <w:sz w:val="24"/>
                <w:szCs w:val="24"/>
              </w:rPr>
              <w:t>火棘</w:t>
            </w:r>
            <w:r>
              <w:rPr>
                <w:rFonts w:hint="eastAsia" w:ascii="Times New Roman" w:hAnsi="宋体" w:eastAsia="宋体"/>
                <w:i/>
                <w:iCs/>
                <w:color w:val="auto"/>
                <w:sz w:val="24"/>
                <w:szCs w:val="24"/>
              </w:rPr>
              <w:t>Pyracantha</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fortuneana</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eastAsia" w:cs="Times New Roman"/>
                <w:bCs/>
                <w:i/>
                <w:iCs/>
                <w:color w:val="auto"/>
                <w:kern w:val="0"/>
                <w:sz w:val="24"/>
                <w:szCs w:val="24"/>
                <w:highlight w:val="none"/>
                <w:lang w:eastAsia="zh-CN"/>
              </w:rPr>
              <w:t>、</w:t>
            </w:r>
            <w:r>
              <w:rPr>
                <w:rFonts w:hint="default"/>
                <w:color w:val="auto"/>
                <w:sz w:val="24"/>
              </w:rPr>
              <w:t>小铁仔</w:t>
            </w:r>
            <w:r>
              <w:rPr>
                <w:rFonts w:hint="default"/>
                <w:i/>
                <w:iCs/>
                <w:color w:val="auto"/>
                <w:sz w:val="24"/>
              </w:rPr>
              <w:t>Myrsine africana</w:t>
            </w:r>
            <w:r>
              <w:rPr>
                <w:rFonts w:hint="eastAsia" w:ascii="Times New Roman" w:hAnsi="宋体" w:eastAsia="宋体"/>
                <w:color w:val="auto"/>
                <w:sz w:val="24"/>
                <w:szCs w:val="24"/>
              </w:rPr>
              <w:t>、粉叶小檗</w:t>
            </w:r>
            <w:r>
              <w:rPr>
                <w:rFonts w:hint="eastAsia" w:ascii="Times New Roman" w:hAnsi="宋体" w:eastAsia="宋体"/>
                <w:i/>
                <w:iCs/>
                <w:color w:val="auto"/>
                <w:sz w:val="24"/>
                <w:szCs w:val="24"/>
              </w:rPr>
              <w:t>Berberis pruinosa</w:t>
            </w:r>
            <w:r>
              <w:rPr>
                <w:rFonts w:hint="eastAsia" w:ascii="Times New Roman" w:hAnsi="宋体" w:eastAsia="宋体"/>
                <w:i w:val="0"/>
                <w:iCs w:val="0"/>
                <w:color w:val="auto"/>
                <w:sz w:val="24"/>
                <w:szCs w:val="24"/>
                <w:lang w:val="en-US" w:eastAsia="zh-CN"/>
              </w:rPr>
              <w:t>等</w:t>
            </w:r>
            <w:r>
              <w:rPr>
                <w:rFonts w:hint="eastAsia" w:ascii="Times New Roman" w:hAnsi="Times New Roman" w:eastAsia="宋体" w:cs="Times New Roman"/>
                <w:bCs/>
                <w:color w:val="auto"/>
                <w:kern w:val="0"/>
                <w:sz w:val="24"/>
                <w:szCs w:val="24"/>
                <w:highlight w:val="none"/>
              </w:rPr>
              <w:t>种类。</w:t>
            </w:r>
          </w:p>
          <w:p w14:paraId="1E82AD7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rPr>
            </w:pPr>
            <w:r>
              <w:rPr>
                <w:rFonts w:hint="eastAsia" w:ascii="Times New Roman" w:hAnsi="Times New Roman"/>
                <w:bCs/>
                <w:color w:val="auto"/>
                <w:kern w:val="0"/>
                <w:sz w:val="24"/>
                <w:szCs w:val="24"/>
                <w:highlight w:val="none"/>
              </w:rPr>
              <w:t>草本层高多在</w:t>
            </w:r>
            <w:r>
              <w:rPr>
                <w:rFonts w:hint="eastAsia" w:ascii="Times New Roman" w:hAnsi="Times New Roman" w:eastAsia="宋体" w:cs="Times New Roman"/>
                <w:bCs/>
                <w:color w:val="auto"/>
                <w:kern w:val="0"/>
                <w:sz w:val="24"/>
                <w:szCs w:val="24"/>
                <w:highlight w:val="none"/>
              </w:rPr>
              <w:t>0.1</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0.8m</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rPr>
              <w:t>草本层高度0.1</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0.8m、因坡向等生境及受人为干扰的程度不同，层盖度</w:t>
            </w:r>
            <w:r>
              <w:rPr>
                <w:rFonts w:hint="eastAsia" w:cs="Times New Roman"/>
                <w:bCs/>
                <w:color w:val="auto"/>
                <w:kern w:val="0"/>
                <w:sz w:val="24"/>
                <w:szCs w:val="24"/>
                <w:highlight w:val="none"/>
                <w:lang w:eastAsia="zh-CN"/>
              </w:rPr>
              <w:t>30%～40%</w:t>
            </w:r>
            <w:r>
              <w:rPr>
                <w:rFonts w:hint="eastAsia" w:ascii="Times New Roman" w:hAnsi="Times New Roman" w:eastAsia="宋体" w:cs="Times New Roman"/>
                <w:bCs/>
                <w:color w:val="auto"/>
                <w:kern w:val="0"/>
                <w:sz w:val="24"/>
                <w:szCs w:val="24"/>
                <w:highlight w:val="none"/>
              </w:rPr>
              <w:t>不等，常见的有</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Times New Roman"/>
                <w:bCs/>
                <w:i/>
                <w:i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蛇莓</w:t>
            </w:r>
            <w:r>
              <w:rPr>
                <w:rFonts w:hint="eastAsia" w:ascii="Times New Roman" w:hAnsi="Times New Roman"/>
                <w:bCs/>
                <w:i/>
                <w:iCs/>
                <w:color w:val="auto"/>
                <w:kern w:val="0"/>
                <w:sz w:val="24"/>
                <w:szCs w:val="24"/>
                <w:highlight w:val="none"/>
              </w:rPr>
              <w:t>Duchesnea indica</w:t>
            </w:r>
            <w:r>
              <w:rPr>
                <w:rFonts w:hint="eastAsia" w:ascii="Times New Roman" w:hAnsi="Times New Roman"/>
                <w:bCs/>
                <w:color w:val="auto"/>
                <w:kern w:val="0"/>
                <w:sz w:val="24"/>
                <w:szCs w:val="24"/>
                <w:highlight w:val="none"/>
              </w:rPr>
              <w:t>、</w:t>
            </w:r>
            <w:r>
              <w:rPr>
                <w:rFonts w:hint="eastAsia" w:ascii="Times New Roman" w:hAnsi="宋体" w:eastAsia="宋体"/>
                <w:color w:val="auto"/>
                <w:sz w:val="24"/>
                <w:szCs w:val="24"/>
                <w:highlight w:val="none"/>
              </w:rPr>
              <w:t>白茅</w:t>
            </w:r>
            <w:r>
              <w:rPr>
                <w:rFonts w:hint="eastAsia" w:ascii="Times New Roman" w:hAnsi="宋体" w:eastAsia="宋体"/>
                <w:i/>
                <w:iCs/>
                <w:color w:val="auto"/>
                <w:sz w:val="24"/>
                <w:szCs w:val="24"/>
                <w:highlight w:val="none"/>
              </w:rPr>
              <w:t>Imperatacy</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lindrica</w:t>
            </w:r>
            <w:r>
              <w:rPr>
                <w:rFonts w:hint="eastAsia" w:ascii="Times New Roman" w:hAnsi="宋体" w:eastAsia="宋体"/>
                <w:i/>
                <w:iCs/>
                <w:color w:val="auto"/>
                <w:sz w:val="24"/>
                <w:szCs w:val="24"/>
                <w:highlight w:val="none"/>
                <w:lang w:eastAsia="zh-CN"/>
              </w:rPr>
              <w:t>、</w:t>
            </w:r>
            <w:r>
              <w:rPr>
                <w:rFonts w:hint="eastAsia" w:ascii="Times New Roman" w:hAnsi="Times New Roman"/>
                <w:bCs/>
                <w:color w:val="auto"/>
                <w:kern w:val="0"/>
                <w:sz w:val="24"/>
                <w:szCs w:val="24"/>
                <w:highlight w:val="none"/>
              </w:rPr>
              <w:t>黄茅</w:t>
            </w:r>
            <w:r>
              <w:rPr>
                <w:rFonts w:hint="eastAsia" w:ascii="Times New Roman" w:hAnsi="Times New Roman"/>
                <w:bCs/>
                <w:i/>
                <w:iCs/>
                <w:color w:val="auto"/>
                <w:kern w:val="0"/>
                <w:sz w:val="24"/>
                <w:szCs w:val="24"/>
                <w:highlight w:val="none"/>
              </w:rPr>
              <w:t>Heteropogoncontortus</w:t>
            </w:r>
            <w:r>
              <w:rPr>
                <w:rFonts w:hint="eastAsia" w:ascii="Times New Roman" w:hAnsi="Times New Roman"/>
                <w:bCs/>
                <w:color w:val="auto"/>
                <w:kern w:val="0"/>
                <w:sz w:val="24"/>
                <w:szCs w:val="24"/>
                <w:highlight w:val="none"/>
              </w:rPr>
              <w:t>、荩草</w:t>
            </w:r>
            <w:r>
              <w:rPr>
                <w:rFonts w:hint="eastAsia" w:ascii="Times New Roman" w:hAnsi="Times New Roman"/>
                <w:bCs/>
                <w:i/>
                <w:iCs/>
                <w:color w:val="auto"/>
                <w:kern w:val="0"/>
                <w:sz w:val="24"/>
                <w:szCs w:val="24"/>
                <w:highlight w:val="none"/>
              </w:rPr>
              <w:t>Arthraxonhispidus</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cs="Times New Roman"/>
                <w:i/>
                <w:iCs/>
                <w:color w:val="auto"/>
                <w:kern w:val="0"/>
                <w:sz w:val="24"/>
                <w:szCs w:val="24"/>
                <w:highlight w:val="none"/>
                <w:lang w:eastAsia="zh-CN"/>
              </w:rPr>
              <w:t>、</w:t>
            </w:r>
            <w:r>
              <w:rPr>
                <w:rFonts w:hint="eastAsia" w:cs="Times New Roman"/>
                <w:i w:val="0"/>
                <w:iCs w:val="0"/>
                <w:color w:val="auto"/>
                <w:kern w:val="0"/>
                <w:sz w:val="24"/>
                <w:szCs w:val="24"/>
                <w:highlight w:val="none"/>
                <w:lang w:val="en-US" w:eastAsia="zh-CN"/>
              </w:rPr>
              <w:t>鼠曲草</w:t>
            </w:r>
            <w:r>
              <w:rPr>
                <w:rFonts w:hint="eastAsia" w:ascii="Times New Roman" w:hAnsi="宋体" w:eastAsia="宋体" w:cs="Times New Roman"/>
                <w:i/>
                <w:iCs/>
                <w:color w:val="auto"/>
                <w:sz w:val="24"/>
                <w:szCs w:val="24"/>
                <w:highlight w:val="none"/>
              </w:rPr>
              <w:t>Herba Gnaphalii Affinis</w:t>
            </w:r>
            <w:r>
              <w:rPr>
                <w:rFonts w:hint="eastAsia" w:ascii="Times New Roman" w:hAnsi="Times New Roman"/>
                <w:bCs/>
                <w:color w:val="auto"/>
                <w:kern w:val="0"/>
                <w:sz w:val="24"/>
                <w:szCs w:val="24"/>
                <w:highlight w:val="none"/>
              </w:rPr>
              <w:t>等组成。</w:t>
            </w:r>
          </w:p>
          <w:p w14:paraId="7C1A92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②</w:t>
            </w:r>
            <w:r>
              <w:rPr>
                <w:rFonts w:hint="default" w:ascii="Times New Roman" w:hAnsi="Times New Roman" w:eastAsia="宋体" w:cs="Times New Roman"/>
                <w:bCs/>
                <w:color w:val="auto"/>
                <w:kern w:val="0"/>
                <w:sz w:val="24"/>
                <w:szCs w:val="24"/>
                <w:highlight w:val="none"/>
                <w:lang w:val="en-US" w:eastAsia="zh-CN"/>
              </w:rPr>
              <w:t>火棘</w:t>
            </w:r>
            <w:r>
              <w:rPr>
                <w:rFonts w:hint="eastAsia" w:cs="Times New Roman"/>
                <w:color w:val="auto"/>
                <w:sz w:val="24"/>
                <w:szCs w:val="24"/>
                <w:lang w:val="en-US" w:eastAsia="zh-CN"/>
              </w:rPr>
              <w:t>群落</w:t>
            </w:r>
          </w:p>
          <w:p w14:paraId="2E378801">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cs="Times New Roman"/>
                <w:color w:val="auto"/>
                <w:sz w:val="24"/>
              </w:rPr>
            </w:pPr>
            <w:r>
              <w:rPr>
                <w:rFonts w:hint="default" w:ascii="Times New Roman" w:hAnsi="Times New Roman" w:eastAsia="宋体" w:cs="Times New Roman"/>
                <w:bCs/>
                <w:color w:val="auto"/>
                <w:kern w:val="0"/>
                <w:sz w:val="24"/>
                <w:szCs w:val="24"/>
                <w:highlight w:val="none"/>
                <w:lang w:val="en-US" w:eastAsia="zh-CN"/>
              </w:rPr>
              <w:t>火棘</w:t>
            </w:r>
            <w:r>
              <w:rPr>
                <w:rFonts w:hint="eastAsia" w:ascii="宋体" w:hAnsi="宋体" w:eastAsia="宋体" w:cs="宋体"/>
                <w:color w:val="auto"/>
                <w:kern w:val="0"/>
                <w:sz w:val="24"/>
                <w:szCs w:val="24"/>
                <w:lang w:val="en-US" w:eastAsia="zh-CN" w:bidi="ar"/>
              </w:rPr>
              <w:t>群落</w:t>
            </w:r>
            <w:r>
              <w:rPr>
                <w:rFonts w:hint="default" w:ascii="Times New Roman" w:hAnsi="Times New Roman" w:cs="Times New Roman"/>
                <w:color w:val="auto"/>
                <w:kern w:val="0"/>
                <w:sz w:val="24"/>
              </w:rPr>
              <w:t>以灌木为主，种类混杂，灌木层中有较多的乔木树种的幼树，</w:t>
            </w:r>
            <w:r>
              <w:rPr>
                <w:rFonts w:hint="default" w:ascii="Times New Roman" w:hAnsi="Times New Roman" w:cs="Times New Roman"/>
                <w:color w:val="auto"/>
                <w:kern w:val="0"/>
                <w:sz w:val="24"/>
                <w:lang w:eastAsia="zh-Hans"/>
              </w:rPr>
              <w:t>若暂停干扰，便会逐渐发展成乔木林，</w:t>
            </w:r>
            <w:r>
              <w:rPr>
                <w:rFonts w:hint="default" w:ascii="Times New Roman" w:hAnsi="Times New Roman" w:cs="Times New Roman"/>
                <w:color w:val="auto"/>
                <w:sz w:val="24"/>
              </w:rPr>
              <w:t>该灌丛分布于</w:t>
            </w:r>
            <w:r>
              <w:rPr>
                <w:rFonts w:hint="default" w:ascii="Times New Roman" w:hAnsi="Times New Roman" w:cs="Times New Roman"/>
                <w:color w:val="auto"/>
                <w:sz w:val="24"/>
                <w:lang w:eastAsia="zh-Hans"/>
              </w:rPr>
              <w:t>山脚</w:t>
            </w:r>
            <w:r>
              <w:rPr>
                <w:rFonts w:hint="default" w:ascii="Times New Roman" w:hAnsi="Times New Roman" w:cs="Times New Roman"/>
                <w:color w:val="auto"/>
                <w:sz w:val="24"/>
              </w:rPr>
              <w:t>的石灰岩裸露地，土壤瘠薄，</w:t>
            </w:r>
            <w:r>
              <w:rPr>
                <w:rFonts w:hint="eastAsia" w:ascii="Times New Roman" w:hAnsi="Times New Roman" w:cs="Times New Roman"/>
                <w:color w:val="auto"/>
                <w:sz w:val="24"/>
                <w:lang w:val="en-US" w:eastAsia="zh-CN"/>
              </w:rPr>
              <w:t>水</w:t>
            </w:r>
            <w:r>
              <w:rPr>
                <w:rFonts w:hint="default" w:ascii="Times New Roman" w:hAnsi="Times New Roman" w:cs="Times New Roman"/>
                <w:color w:val="auto"/>
                <w:sz w:val="24"/>
              </w:rPr>
              <w:t>土流失严重，生境干旱，遭人为干扰十分严重的类型。群落外貌呈灰黑色，夹杂黄绿色的斑块，结构分灌木、草本两层</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分布面积小</w:t>
            </w:r>
            <w:r>
              <w:rPr>
                <w:rFonts w:hint="default" w:ascii="Times New Roman" w:hAnsi="Times New Roman" w:cs="Times New Roman"/>
                <w:color w:val="auto"/>
                <w:sz w:val="24"/>
              </w:rPr>
              <w:t>。</w:t>
            </w:r>
          </w:p>
          <w:p w14:paraId="5EA966DF">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cs="Times New Roman"/>
                <w:color w:val="auto"/>
                <w:sz w:val="24"/>
              </w:rPr>
            </w:pPr>
            <w:r>
              <w:rPr>
                <w:rFonts w:hint="default" w:ascii="Times New Roman" w:hAnsi="Times New Roman" w:cs="Times New Roman"/>
                <w:color w:val="auto"/>
                <w:sz w:val="24"/>
              </w:rPr>
              <w:t>灌木层盖度60%左右，高0.5</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4.5m，以</w:t>
            </w:r>
            <w:r>
              <w:rPr>
                <w:rFonts w:hint="eastAsia" w:ascii="宋体" w:hAnsi="宋体" w:eastAsia="宋体" w:cs="宋体"/>
                <w:color w:val="auto"/>
                <w:kern w:val="0"/>
                <w:sz w:val="24"/>
                <w:szCs w:val="24"/>
                <w:lang w:val="en-US" w:eastAsia="zh-CN" w:bidi="ar"/>
              </w:rPr>
              <w:t>火棘</w:t>
            </w:r>
            <w:r>
              <w:rPr>
                <w:rFonts w:hint="default" w:ascii="Times New Roman" w:hAnsi="Times New Roman" w:eastAsia="宋体" w:cs="Times New Roman"/>
                <w:i/>
                <w:iCs/>
                <w:color w:val="auto"/>
                <w:kern w:val="0"/>
                <w:sz w:val="24"/>
                <w:szCs w:val="24"/>
                <w:lang w:val="en-US" w:eastAsia="zh-CN" w:bidi="ar"/>
              </w:rPr>
              <w:t>Pyracantha fortuneana</w:t>
            </w:r>
            <w:r>
              <w:rPr>
                <w:rFonts w:hint="default" w:ascii="Times New Roman" w:hAnsi="Times New Roman" w:cs="Times New Roman"/>
                <w:color w:val="auto"/>
                <w:sz w:val="24"/>
              </w:rPr>
              <w:t>为主。其它零星分布的灌木，常见的有</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eastAsia" w:ascii="Times New Roman" w:hAnsi="Times New Roman" w:eastAsia="宋体" w:cs="Times New Roman"/>
                <w:bCs/>
                <w:i/>
                <w:color w:val="auto"/>
                <w:sz w:val="24"/>
                <w:lang w:eastAsia="zh-CN"/>
              </w:rPr>
              <w:t>、</w:t>
            </w:r>
            <w:r>
              <w:rPr>
                <w:rFonts w:hint="eastAsia" w:ascii="宋体" w:hAnsi="宋体" w:eastAsia="宋体" w:cs="宋体"/>
                <w:color w:val="auto"/>
                <w:kern w:val="0"/>
                <w:sz w:val="24"/>
                <w:szCs w:val="24"/>
                <w:lang w:val="en-US" w:eastAsia="zh-CN" w:bidi="ar"/>
              </w:rPr>
              <w:t>马桑</w:t>
            </w:r>
            <w:r>
              <w:rPr>
                <w:rFonts w:hint="default" w:ascii="Times New Roman" w:hAnsi="Times New Roman" w:eastAsia="宋体" w:cs="Times New Roman"/>
                <w:i/>
                <w:iCs/>
                <w:color w:val="auto"/>
                <w:kern w:val="0"/>
                <w:sz w:val="24"/>
                <w:szCs w:val="24"/>
                <w:lang w:val="en-US" w:eastAsia="zh-CN" w:bidi="ar"/>
              </w:rPr>
              <w:t>Coriaria nepalensis</w:t>
            </w:r>
            <w:r>
              <w:rPr>
                <w:rFonts w:hint="eastAsia" w:ascii="Times New Roman" w:hAnsi="Times New Roman" w:eastAsia="宋体" w:cs="Times New Roman"/>
                <w:i/>
                <w:iCs/>
                <w:color w:val="auto"/>
                <w:kern w:val="0"/>
                <w:sz w:val="24"/>
                <w:szCs w:val="24"/>
                <w:lang w:val="en-US" w:eastAsia="zh-CN" w:bidi="ar"/>
              </w:rPr>
              <w:t>、</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default" w:ascii="Times New Roman" w:hAnsi="Times New Roman" w:cs="Times New Roman"/>
                <w:color w:val="auto"/>
                <w:sz w:val="24"/>
              </w:rPr>
              <w:t>等。</w:t>
            </w:r>
          </w:p>
          <w:p w14:paraId="21C2EA98">
            <w:pPr>
              <w:keepNext w:val="0"/>
              <w:keepLines w:val="0"/>
              <w:suppressLineNumbers w:val="0"/>
              <w:adjustRightInd w:val="0"/>
              <w:spacing w:before="0" w:beforeAutospacing="0" w:after="0" w:afterAutospacing="0" w:line="360" w:lineRule="auto"/>
              <w:ind w:left="0" w:right="0" w:firstLine="484" w:firstLineChars="202"/>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草本层盖度40%左右，高度0.2</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1.5m，以</w:t>
            </w:r>
            <w:r>
              <w:rPr>
                <w:rFonts w:hint="eastAsia" w:hAnsi="宋体" w:cs="Times New Roman"/>
                <w:color w:val="auto"/>
                <w:sz w:val="24"/>
                <w:szCs w:val="24"/>
                <w:highlight w:val="none"/>
                <w:lang w:val="en-US" w:eastAsia="zh-CN"/>
              </w:rPr>
              <w:t>白莲蒿</w:t>
            </w:r>
            <w:r>
              <w:rPr>
                <w:rFonts w:hint="eastAsia" w:hAnsi="宋体" w:cs="Times New Roman"/>
                <w:i/>
                <w:iCs/>
                <w:color w:val="auto"/>
                <w:sz w:val="24"/>
                <w:szCs w:val="24"/>
                <w:highlight w:val="none"/>
                <w:lang w:val="en-US" w:eastAsia="zh-CN"/>
              </w:rPr>
              <w:t>Artemisia sacrorum</w:t>
            </w:r>
            <w:r>
              <w:rPr>
                <w:rFonts w:hint="eastAsia" w:hAnsi="宋体" w:cs="Times New Roman"/>
                <w:color w:val="auto"/>
                <w:sz w:val="24"/>
                <w:szCs w:val="24"/>
                <w:highlight w:val="none"/>
                <w:lang w:val="en-US" w:eastAsia="zh-CN"/>
              </w:rPr>
              <w:t>、</w:t>
            </w:r>
            <w:r>
              <w:rPr>
                <w:rFonts w:hint="default" w:ascii="Times New Roman" w:hAnsi="Times New Roman" w:cs="Times New Roman"/>
                <w:color w:val="auto"/>
                <w:sz w:val="24"/>
              </w:rPr>
              <w:t>为优势，其它有</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宋体" w:eastAsia="宋体" w:cs="Times New Roman"/>
                <w:color w:val="auto"/>
                <w:sz w:val="24"/>
                <w:szCs w:val="24"/>
                <w:highlight w:val="none"/>
                <w:lang w:val="en-US" w:eastAsia="zh-CN"/>
              </w:rPr>
              <w:t>、青蒿</w:t>
            </w:r>
            <w:r>
              <w:rPr>
                <w:rFonts w:hint="eastAsia" w:ascii="Times New Roman" w:hAnsi="宋体" w:eastAsia="宋体" w:cs="Times New Roman"/>
                <w:i/>
                <w:iCs/>
                <w:color w:val="auto"/>
                <w:sz w:val="24"/>
                <w:szCs w:val="24"/>
                <w:highlight w:val="none"/>
                <w:lang w:val="en-US" w:eastAsia="zh-CN"/>
              </w:rPr>
              <w:t>Artemisia carvifolia</w:t>
            </w:r>
            <w:r>
              <w:rPr>
                <w:rFonts w:hint="default" w:ascii="Times New Roman" w:hAnsi="Times New Roman" w:cs="Times New Roman"/>
                <w:color w:val="auto"/>
                <w:sz w:val="24"/>
              </w:rPr>
              <w:t>、蛇莓</w:t>
            </w:r>
            <w:r>
              <w:rPr>
                <w:rFonts w:hint="default" w:ascii="Times New Roman" w:hAnsi="Times New Roman" w:cs="Times New Roman"/>
                <w:i/>
                <w:color w:val="auto"/>
                <w:sz w:val="24"/>
              </w:rPr>
              <w:t>Duchesnea indica</w:t>
            </w:r>
            <w:r>
              <w:rPr>
                <w:rFonts w:hint="default" w:ascii="Times New Roman" w:hAnsi="Times New Roman" w:cs="Times New Roman"/>
                <w:color w:val="auto"/>
                <w:sz w:val="24"/>
              </w:rPr>
              <w:t>、</w:t>
            </w:r>
            <w:r>
              <w:rPr>
                <w:rFonts w:hint="default" w:ascii="Times New Roman" w:hAnsi="Times New Roman" w:cs="Times New Roman"/>
                <w:color w:val="auto"/>
                <w:sz w:val="24"/>
                <w:lang w:eastAsia="zh-Hans"/>
              </w:rPr>
              <w:t>金丝草</w:t>
            </w:r>
            <w:r>
              <w:rPr>
                <w:rFonts w:hint="default" w:ascii="Times New Roman" w:hAnsi="Times New Roman" w:cs="Times New Roman"/>
                <w:i/>
                <w:iCs/>
                <w:color w:val="auto"/>
                <w:sz w:val="24"/>
                <w:lang w:val="es-ES"/>
              </w:rPr>
              <w:t>Pogonatherum crinitum</w:t>
            </w:r>
            <w:r>
              <w:rPr>
                <w:rFonts w:hint="default" w:ascii="Times New Roman" w:hAnsi="Times New Roman" w:cs="Times New Roman"/>
                <w:color w:val="auto"/>
                <w:sz w:val="24"/>
              </w:rPr>
              <w:t>、狗尾草</w:t>
            </w:r>
            <w:r>
              <w:rPr>
                <w:rFonts w:hint="default" w:ascii="Times New Roman" w:hAnsi="Times New Roman" w:cs="Times New Roman"/>
                <w:i/>
                <w:color w:val="auto"/>
                <w:sz w:val="24"/>
              </w:rPr>
              <w:t>Setaria viridis</w:t>
            </w:r>
            <w:r>
              <w:rPr>
                <w:rFonts w:hint="default" w:ascii="Times New Roman" w:hAnsi="Times New Roman" w:cs="Times New Roman"/>
                <w:color w:val="auto"/>
                <w:sz w:val="24"/>
              </w:rPr>
              <w:t>等。</w:t>
            </w:r>
          </w:p>
          <w:p w14:paraId="6AFE8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Ⅳ.稀树灌木草丛</w:t>
            </w:r>
          </w:p>
          <w:p w14:paraId="0394A22B">
            <w:pPr>
              <w:keepNext w:val="0"/>
              <w:keepLines w:val="0"/>
              <w:suppressLineNumbers w:val="0"/>
              <w:adjustRightInd w:val="0"/>
              <w:spacing w:before="0" w:beforeAutospacing="0" w:after="0" w:afterAutospacing="0" w:line="360" w:lineRule="auto"/>
              <w:ind w:left="0" w:right="0" w:firstLine="484" w:firstLineChars="202"/>
              <w:rPr>
                <w:rFonts w:hint="default"/>
                <w:color w:val="auto"/>
              </w:rPr>
            </w:pPr>
            <w:r>
              <w:rPr>
                <w:rFonts w:hint="eastAsia" w:ascii="Times New Roman" w:hAnsi="Times New Roman" w:eastAsia="宋体" w:cs="Times New Roman"/>
                <w:color w:val="auto"/>
                <w:sz w:val="24"/>
                <w:lang w:val="en-US" w:eastAsia="zh-CN"/>
              </w:rPr>
              <w:t>稀树灌木草丛可分为干热性稀树灌木草丛、热性稀树灌木草丛、暖热性稀树灌木草丛和暖温性稀树灌木草丛植被亚型。本评价区海拔2070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以上，属于典型的滇中高原，仅分布有暖温性稀树灌木草丛一种植被亚型。</w:t>
            </w:r>
            <w:r>
              <w:rPr>
                <w:rFonts w:hint="eastAsia" w:cs="Times New Roman"/>
                <w:color w:val="auto"/>
                <w:sz w:val="24"/>
                <w:lang w:val="en-US" w:eastAsia="zh-CN"/>
              </w:rPr>
              <w:t>评价</w:t>
            </w:r>
            <w:r>
              <w:rPr>
                <w:rFonts w:hint="eastAsia" w:ascii="Times New Roman" w:hAnsi="Times New Roman" w:eastAsia="宋体" w:cs="Times New Roman"/>
                <w:color w:val="auto"/>
                <w:sz w:val="24"/>
                <w:lang w:val="en-US" w:eastAsia="zh-CN"/>
              </w:rPr>
              <w:t>区内仅分布有一个群系：含云南松、毛蕨的中草丛</w:t>
            </w:r>
            <w:r>
              <w:rPr>
                <w:rFonts w:hint="eastAsia" w:cs="Times New Roman"/>
                <w:color w:val="auto"/>
                <w:sz w:val="24"/>
                <w:lang w:val="en-US" w:eastAsia="zh-CN"/>
              </w:rPr>
              <w:t>，</w:t>
            </w:r>
            <w:r>
              <w:rPr>
                <w:rFonts w:hint="eastAsia" w:cs="Times New Roman"/>
                <w:color w:val="auto"/>
                <w:sz w:val="24"/>
                <w:szCs w:val="24"/>
                <w:lang w:val="en-US" w:eastAsia="zh-CN"/>
              </w:rPr>
              <w:t>一个群落：</w:t>
            </w:r>
            <w:r>
              <w:rPr>
                <w:rFonts w:hint="eastAsia" w:ascii="Times New Roman" w:hAnsi="Times New Roman" w:eastAsia="宋体" w:cs="Times New Roman"/>
                <w:color w:val="auto"/>
                <w:kern w:val="0"/>
                <w:sz w:val="24"/>
                <w:szCs w:val="24"/>
                <w:highlight w:val="none"/>
                <w:lang w:val="en-US" w:eastAsia="zh-CN" w:bidi="ar"/>
              </w:rPr>
              <w:t>含云南松、毛蕨、白茅</w:t>
            </w:r>
            <w:r>
              <w:rPr>
                <w:rFonts w:hint="eastAsia" w:cs="宋体"/>
                <w:color w:val="auto"/>
                <w:sz w:val="24"/>
                <w:szCs w:val="24"/>
                <w:highlight w:val="none"/>
                <w:lang w:val="en-US" w:eastAsia="zh-CN" w:bidi="ar"/>
              </w:rPr>
              <w:t>群落</w:t>
            </w:r>
            <w:r>
              <w:rPr>
                <w:rFonts w:hint="eastAsia" w:ascii="Times New Roman" w:hAnsi="Times New Roman" w:eastAsia="宋体" w:cs="Times New Roman"/>
                <w:color w:val="auto"/>
                <w:sz w:val="24"/>
                <w:szCs w:val="24"/>
                <w:lang w:val="en-US" w:eastAsia="zh-CN"/>
              </w:rPr>
              <w:t>。</w:t>
            </w:r>
            <w:r>
              <w:rPr>
                <w:rFonts w:hint="eastAsia" w:ascii="宋体" w:hAnsi="宋体" w:eastAsia="宋体" w:cs="宋体"/>
                <w:color w:val="auto"/>
                <w:kern w:val="0"/>
                <w:sz w:val="24"/>
                <w:szCs w:val="24"/>
                <w:lang w:val="en-US" w:eastAsia="zh-CN" w:bidi="ar"/>
              </w:rPr>
              <w:t xml:space="preserve"> </w:t>
            </w:r>
          </w:p>
          <w:p w14:paraId="45212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w:t>
            </w:r>
            <w:r>
              <w:rPr>
                <w:rFonts w:hint="eastAsia" w:cs="Times New Roman"/>
                <w:bCs/>
                <w:color w:val="auto"/>
                <w:sz w:val="24"/>
                <w:lang w:val="en-US" w:eastAsia="zh-CN"/>
              </w:rPr>
              <w:t>含</w:t>
            </w:r>
            <w:r>
              <w:rPr>
                <w:rFonts w:hint="eastAsia" w:ascii="Times New Roman" w:hAnsi="Times New Roman" w:eastAsia="宋体" w:cs="Times New Roman"/>
                <w:bCs/>
                <w:color w:val="auto"/>
                <w:sz w:val="24"/>
                <w:lang w:val="en-US" w:eastAsia="zh-CN"/>
              </w:rPr>
              <w:t>云南松、毛蕨、白茅群落</w:t>
            </w:r>
          </w:p>
          <w:p w14:paraId="3472EB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rPr>
            </w:pPr>
            <w:r>
              <w:rPr>
                <w:rFonts w:hint="eastAsia" w:ascii="Times New Roman" w:hAnsi="Times New Roman"/>
                <w:bCs/>
                <w:color w:val="auto"/>
                <w:sz w:val="24"/>
                <w:lang w:val="en-US" w:eastAsia="zh-CN"/>
              </w:rPr>
              <w:t>该</w:t>
            </w:r>
            <w:r>
              <w:rPr>
                <w:rFonts w:hint="eastAsia" w:ascii="Times New Roman" w:hAnsi="Times New Roman"/>
                <w:bCs/>
                <w:color w:val="auto"/>
                <w:sz w:val="24"/>
              </w:rPr>
              <w:t>群落是区域内各类森林、灌丛植被在长期、反复、剧烈的垦殖、放牧、砍伐等人为活动破坏下，形成的极度次生化的植被。乔木层仅有零星的云南松孤立木，灌木层分散低矮，仅草本层发育。</w:t>
            </w:r>
          </w:p>
          <w:p w14:paraId="69D199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rPr>
            </w:pPr>
            <w:r>
              <w:rPr>
                <w:rFonts w:hint="eastAsia" w:ascii="Times New Roman" w:hAnsi="Times New Roman"/>
                <w:bCs/>
                <w:color w:val="auto"/>
                <w:sz w:val="24"/>
              </w:rPr>
              <w:t>群落乔木层为零星分布的孤立木，盖度不超过1</w:t>
            </w:r>
            <w:r>
              <w:rPr>
                <w:rFonts w:hint="default" w:ascii="Times New Roman" w:hAnsi="Times New Roman"/>
                <w:bCs/>
                <w:color w:val="auto"/>
                <w:sz w:val="24"/>
              </w:rPr>
              <w:t>0%，</w:t>
            </w:r>
            <w:r>
              <w:rPr>
                <w:rFonts w:hint="eastAsia" w:ascii="Times New Roman" w:hAnsi="Times New Roman"/>
                <w:bCs/>
                <w:color w:val="auto"/>
                <w:sz w:val="24"/>
              </w:rPr>
              <w:t>高5</w:t>
            </w:r>
            <w:r>
              <w:rPr>
                <w:rFonts w:hint="eastAsia" w:ascii="Times New Roman" w:hAnsi="Times New Roman"/>
                <w:bCs/>
                <w:color w:val="auto"/>
                <w:sz w:val="24"/>
                <w:lang w:eastAsia="zh-CN"/>
              </w:rPr>
              <w:t>～</w:t>
            </w:r>
            <w:r>
              <w:rPr>
                <w:rFonts w:hint="default" w:ascii="Times New Roman" w:hAnsi="Times New Roman"/>
                <w:bCs/>
                <w:color w:val="auto"/>
                <w:sz w:val="24"/>
              </w:rPr>
              <w:t>8</w:t>
            </w:r>
            <w:r>
              <w:rPr>
                <w:rFonts w:hint="eastAsia" w:ascii="Times New Roman" w:hAnsi="Times New Roman"/>
                <w:bCs/>
                <w:color w:val="auto"/>
                <w:sz w:val="24"/>
              </w:rPr>
              <w:t>m，仅有云南松</w:t>
            </w:r>
            <w:r>
              <w:rPr>
                <w:rFonts w:hint="default" w:ascii="Times New Roman" w:hAnsi="Times New Roman"/>
                <w:bCs/>
                <w:i/>
                <w:color w:val="auto"/>
                <w:sz w:val="24"/>
              </w:rPr>
              <w:t>Pinus</w:t>
            </w:r>
            <w:r>
              <w:rPr>
                <w:rFonts w:hint="default" w:ascii="Times New Roman" w:hAnsi="Times New Roman"/>
                <w:bCs/>
                <w:color w:val="auto"/>
                <w:sz w:val="24"/>
              </w:rPr>
              <w:t xml:space="preserve"> </w:t>
            </w:r>
            <w:r>
              <w:rPr>
                <w:rFonts w:hint="default" w:ascii="Times New Roman" w:hAnsi="Times New Roman"/>
                <w:bCs/>
                <w:i/>
                <w:color w:val="auto"/>
                <w:sz w:val="24"/>
              </w:rPr>
              <w:t>yunnanensis</w:t>
            </w:r>
            <w:r>
              <w:rPr>
                <w:rFonts w:hint="eastAsia" w:ascii="Times New Roman" w:hAnsi="Times New Roman"/>
                <w:bCs/>
                <w:color w:val="auto"/>
                <w:sz w:val="24"/>
              </w:rPr>
              <w:t>一种。</w:t>
            </w:r>
          </w:p>
          <w:p w14:paraId="614804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rPr>
            </w:pPr>
            <w:r>
              <w:rPr>
                <w:rFonts w:hint="eastAsia" w:ascii="Times New Roman" w:hAnsi="Times New Roman"/>
                <w:bCs/>
                <w:color w:val="auto"/>
                <w:sz w:val="24"/>
              </w:rPr>
              <w:t>灌木层盖度约</w:t>
            </w:r>
            <w:r>
              <w:rPr>
                <w:rFonts w:hint="eastAsia" w:ascii="Times New Roman" w:hAnsi="Times New Roman"/>
                <w:bCs/>
                <w:color w:val="auto"/>
                <w:sz w:val="24"/>
                <w:lang w:eastAsia="zh-CN"/>
              </w:rPr>
              <w:t>10%</w:t>
            </w:r>
            <w:r>
              <w:rPr>
                <w:rFonts w:hint="eastAsia"/>
                <w:bCs/>
                <w:color w:val="auto"/>
                <w:sz w:val="24"/>
                <w:lang w:eastAsia="zh-CN"/>
              </w:rPr>
              <w:t>～</w:t>
            </w:r>
            <w:r>
              <w:rPr>
                <w:rFonts w:hint="eastAsia" w:ascii="Times New Roman" w:hAnsi="Times New Roman"/>
                <w:bCs/>
                <w:color w:val="auto"/>
                <w:sz w:val="24"/>
                <w:lang w:eastAsia="zh-CN"/>
              </w:rPr>
              <w:t>25%</w:t>
            </w:r>
            <w:r>
              <w:rPr>
                <w:rFonts w:hint="default" w:ascii="Times New Roman" w:hAnsi="Times New Roman"/>
                <w:bCs/>
                <w:color w:val="auto"/>
                <w:sz w:val="24"/>
              </w:rPr>
              <w:t>，</w:t>
            </w:r>
            <w:r>
              <w:rPr>
                <w:rFonts w:hint="eastAsia" w:ascii="Times New Roman" w:hAnsi="Times New Roman"/>
                <w:bCs/>
                <w:color w:val="auto"/>
                <w:sz w:val="24"/>
              </w:rPr>
              <w:t>平均高度0</w:t>
            </w:r>
            <w:r>
              <w:rPr>
                <w:rFonts w:hint="default" w:ascii="Times New Roman" w:hAnsi="Times New Roman"/>
                <w:bCs/>
                <w:color w:val="auto"/>
                <w:sz w:val="24"/>
              </w:rPr>
              <w:t>.7</w:t>
            </w:r>
            <w:r>
              <w:rPr>
                <w:rFonts w:hint="eastAsia" w:ascii="Times New Roman" w:hAnsi="Times New Roman"/>
                <w:bCs/>
                <w:color w:val="auto"/>
                <w:sz w:val="24"/>
              </w:rPr>
              <w:t>m，多为云南松</w:t>
            </w:r>
            <w:r>
              <w:rPr>
                <w:rFonts w:hint="default" w:ascii="Times New Roman" w:hAnsi="Times New Roman"/>
                <w:bCs/>
                <w:i/>
                <w:color w:val="auto"/>
                <w:sz w:val="24"/>
              </w:rPr>
              <w:t>Pinus</w:t>
            </w:r>
            <w:r>
              <w:rPr>
                <w:rFonts w:hint="default" w:ascii="Times New Roman" w:hAnsi="Times New Roman"/>
                <w:bCs/>
                <w:color w:val="auto"/>
                <w:sz w:val="24"/>
              </w:rPr>
              <w:t xml:space="preserve"> </w:t>
            </w:r>
            <w:r>
              <w:rPr>
                <w:rFonts w:hint="default" w:ascii="Times New Roman" w:hAnsi="Times New Roman"/>
                <w:bCs/>
                <w:i/>
                <w:color w:val="auto"/>
                <w:sz w:val="24"/>
              </w:rPr>
              <w:t>yunnanensis</w:t>
            </w:r>
            <w:r>
              <w:rPr>
                <w:rFonts w:hint="eastAsia" w:ascii="Times New Roman" w:hAnsi="Times New Roman"/>
                <w:bCs/>
                <w:color w:val="auto"/>
                <w:sz w:val="24"/>
              </w:rPr>
              <w:t>的幼树，</w:t>
            </w:r>
            <w:r>
              <w:rPr>
                <w:rFonts w:hint="eastAsia" w:ascii="Times New Roman" w:hAnsi="Times New Roman"/>
                <w:bCs/>
                <w:color w:val="auto"/>
                <w:sz w:val="24"/>
                <w:lang w:val="en-US" w:eastAsia="zh-CN"/>
              </w:rPr>
              <w:t>其他</w:t>
            </w:r>
            <w:r>
              <w:rPr>
                <w:rFonts w:hint="eastAsia" w:ascii="Times New Roman" w:hAnsi="Times New Roman"/>
                <w:bCs/>
                <w:color w:val="auto"/>
                <w:sz w:val="24"/>
              </w:rPr>
              <w:t>灌木植物有</w:t>
            </w:r>
            <w:r>
              <w:rPr>
                <w:rFonts w:hint="default" w:ascii="Times New Roman" w:hAnsi="Times New Roman" w:eastAsia="宋体" w:cs="Times New Roman"/>
                <w:bCs/>
                <w:color w:val="auto"/>
                <w:sz w:val="24"/>
              </w:rPr>
              <w:t>西南栒子</w:t>
            </w:r>
            <w:r>
              <w:rPr>
                <w:rFonts w:hint="default" w:ascii="Times New Roman" w:hAnsi="Times New Roman" w:eastAsia="宋体" w:cs="Times New Roman"/>
                <w:bCs/>
                <w:i/>
                <w:color w:val="auto"/>
                <w:sz w:val="24"/>
              </w:rPr>
              <w:t>Cotoneaster franchetii</w:t>
            </w:r>
            <w:r>
              <w:rPr>
                <w:rFonts w:hint="default" w:ascii="Times New Roman" w:hAnsi="Times New Roman"/>
                <w:bCs/>
                <w:color w:val="auto"/>
                <w:sz w:val="24"/>
              </w:rPr>
              <w:t>、小铁仔</w:t>
            </w:r>
            <w:r>
              <w:rPr>
                <w:rFonts w:hint="default" w:ascii="Times New Roman" w:hAnsi="Times New Roman"/>
                <w:bCs/>
                <w:i/>
                <w:color w:val="auto"/>
                <w:sz w:val="24"/>
              </w:rPr>
              <w:t>Myrsine</w:t>
            </w:r>
            <w:r>
              <w:rPr>
                <w:rFonts w:hint="default" w:ascii="Times New Roman" w:hAnsi="Times New Roman"/>
                <w:bCs/>
                <w:color w:val="auto"/>
                <w:sz w:val="24"/>
              </w:rPr>
              <w:t xml:space="preserve"> </w:t>
            </w:r>
            <w:r>
              <w:rPr>
                <w:rFonts w:hint="default" w:ascii="Times New Roman" w:hAnsi="Times New Roman"/>
                <w:bCs/>
                <w:i/>
                <w:color w:val="auto"/>
                <w:sz w:val="24"/>
              </w:rPr>
              <w:t>africana</w:t>
            </w:r>
            <w:r>
              <w:rPr>
                <w:rFonts w:hint="default" w:ascii="Times New Roman" w:hAnsi="Times New Roman"/>
                <w:bCs/>
                <w:color w:val="auto"/>
                <w:sz w:val="24"/>
              </w:rPr>
              <w:t>、</w:t>
            </w:r>
            <w:r>
              <w:rPr>
                <w:rFonts w:hint="eastAsia" w:ascii="Times New Roman" w:hAnsi="宋体" w:eastAsia="宋体"/>
                <w:color w:val="auto"/>
                <w:sz w:val="24"/>
                <w:szCs w:val="24"/>
              </w:rPr>
              <w:t>火棘</w:t>
            </w:r>
            <w:r>
              <w:rPr>
                <w:rFonts w:hint="eastAsia" w:ascii="Times New Roman" w:hAnsi="宋体" w:eastAsia="宋体"/>
                <w:i/>
                <w:iCs/>
                <w:color w:val="auto"/>
                <w:sz w:val="24"/>
                <w:szCs w:val="24"/>
              </w:rPr>
              <w:t>Pyracantha</w:t>
            </w:r>
            <w:r>
              <w:rPr>
                <w:rFonts w:hint="eastAsia" w:ascii="Times New Roman" w:hAnsi="宋体" w:eastAsia="宋体"/>
                <w:i/>
                <w:iCs/>
                <w:color w:val="auto"/>
                <w:sz w:val="24"/>
                <w:szCs w:val="24"/>
                <w:lang w:val="en-US" w:eastAsia="zh-CN"/>
              </w:rPr>
              <w:t xml:space="preserve"> </w:t>
            </w:r>
            <w:r>
              <w:rPr>
                <w:rFonts w:hint="eastAsia" w:ascii="Times New Roman" w:hAnsi="宋体" w:eastAsia="宋体"/>
                <w:i/>
                <w:iCs/>
                <w:color w:val="auto"/>
                <w:sz w:val="24"/>
                <w:szCs w:val="24"/>
              </w:rPr>
              <w:t>fortuneana</w:t>
            </w:r>
            <w:r>
              <w:rPr>
                <w:rFonts w:hint="eastAsia" w:ascii="Times New Roman" w:hAnsi="宋体" w:eastAsia="宋体"/>
                <w:color w:val="auto"/>
                <w:sz w:val="24"/>
                <w:szCs w:val="24"/>
              </w:rPr>
              <w:t>、野拔子</w:t>
            </w:r>
            <w:r>
              <w:rPr>
                <w:rFonts w:hint="eastAsia" w:ascii="Times New Roman" w:hAnsi="宋体" w:eastAsia="宋体"/>
                <w:i/>
                <w:iCs/>
                <w:color w:val="auto"/>
                <w:sz w:val="24"/>
                <w:szCs w:val="24"/>
              </w:rPr>
              <w:t>Elsholtzia rugulosa</w:t>
            </w:r>
            <w:r>
              <w:rPr>
                <w:rFonts w:hint="eastAsia" w:ascii="Times New Roman" w:hAnsi="Times New Roman"/>
                <w:bCs/>
                <w:color w:val="auto"/>
                <w:sz w:val="24"/>
              </w:rPr>
              <w:t>等。</w:t>
            </w:r>
          </w:p>
          <w:p w14:paraId="41CCF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bCs/>
                <w:color w:val="auto"/>
                <w:sz w:val="24"/>
                <w:szCs w:val="24"/>
              </w:rPr>
            </w:pPr>
            <w:r>
              <w:rPr>
                <w:rFonts w:hint="eastAsia" w:ascii="Times New Roman" w:hAnsi="Times New Roman"/>
                <w:bCs/>
                <w:color w:val="auto"/>
                <w:sz w:val="24"/>
                <w:szCs w:val="24"/>
              </w:rPr>
              <w:t>根据立地条件不同，群落草本层盖度</w:t>
            </w:r>
            <w:r>
              <w:rPr>
                <w:rFonts w:hint="eastAsia" w:ascii="Times New Roman" w:hAnsi="Times New Roman"/>
                <w:bCs/>
                <w:color w:val="auto"/>
                <w:sz w:val="24"/>
                <w:szCs w:val="24"/>
                <w:lang w:eastAsia="zh-CN"/>
              </w:rPr>
              <w:t>40%</w:t>
            </w:r>
            <w:r>
              <w:rPr>
                <w:rFonts w:hint="eastAsia"/>
                <w:bCs/>
                <w:color w:val="auto"/>
                <w:sz w:val="24"/>
                <w:szCs w:val="24"/>
                <w:lang w:eastAsia="zh-CN"/>
              </w:rPr>
              <w:t>～</w:t>
            </w:r>
            <w:r>
              <w:rPr>
                <w:rFonts w:hint="eastAsia" w:ascii="Times New Roman" w:hAnsi="Times New Roman"/>
                <w:bCs/>
                <w:color w:val="auto"/>
                <w:sz w:val="24"/>
                <w:szCs w:val="24"/>
                <w:lang w:eastAsia="zh-CN"/>
              </w:rPr>
              <w:t>90%</w:t>
            </w:r>
            <w:r>
              <w:rPr>
                <w:rFonts w:hint="default" w:ascii="Times New Roman" w:hAnsi="Times New Roman"/>
                <w:bCs/>
                <w:color w:val="auto"/>
                <w:sz w:val="24"/>
                <w:szCs w:val="24"/>
              </w:rPr>
              <w:t>，</w:t>
            </w:r>
            <w:r>
              <w:rPr>
                <w:rFonts w:hint="eastAsia" w:ascii="Times New Roman" w:hAnsi="Times New Roman"/>
                <w:bCs/>
                <w:color w:val="auto"/>
                <w:sz w:val="24"/>
                <w:szCs w:val="24"/>
              </w:rPr>
              <w:t>最高可达1</w:t>
            </w:r>
            <w:r>
              <w:rPr>
                <w:rFonts w:hint="default" w:ascii="Times New Roman" w:hAnsi="Times New Roman"/>
                <w:bCs/>
                <w:color w:val="auto"/>
                <w:sz w:val="24"/>
                <w:szCs w:val="24"/>
              </w:rPr>
              <w:t>.8</w:t>
            </w:r>
            <w:r>
              <w:rPr>
                <w:rFonts w:hint="eastAsia" w:ascii="Times New Roman" w:hAnsi="Times New Roman"/>
                <w:bCs/>
                <w:color w:val="auto"/>
                <w:sz w:val="24"/>
                <w:szCs w:val="24"/>
              </w:rPr>
              <w:t>m，以</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Times New Roman"/>
                <w:bCs/>
                <w:i/>
                <w:iCs/>
                <w:color w:val="auto"/>
                <w:kern w:val="0"/>
                <w:sz w:val="24"/>
                <w:szCs w:val="24"/>
                <w:highlight w:val="none"/>
                <w:lang w:eastAsia="zh-CN"/>
              </w:rPr>
              <w:t>、</w:t>
            </w:r>
            <w:r>
              <w:rPr>
                <w:rFonts w:hint="eastAsia" w:ascii="Times New Roman" w:hAnsi="宋体" w:eastAsia="宋体"/>
                <w:color w:val="auto"/>
                <w:sz w:val="24"/>
                <w:szCs w:val="24"/>
                <w:highlight w:val="none"/>
              </w:rPr>
              <w:t>白茅</w:t>
            </w:r>
            <w:r>
              <w:rPr>
                <w:rFonts w:hint="eastAsia" w:ascii="Times New Roman" w:hAnsi="宋体" w:eastAsia="宋体"/>
                <w:i/>
                <w:iCs/>
                <w:color w:val="auto"/>
                <w:sz w:val="24"/>
                <w:szCs w:val="24"/>
                <w:highlight w:val="none"/>
              </w:rPr>
              <w:t>Imperatacy</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lindrica</w:t>
            </w:r>
            <w:r>
              <w:rPr>
                <w:rFonts w:hint="eastAsia" w:ascii="Times New Roman" w:hAnsi="Times New Roman"/>
                <w:bCs/>
                <w:color w:val="auto"/>
                <w:sz w:val="24"/>
                <w:szCs w:val="24"/>
              </w:rPr>
              <w:t>为绝对优势，此外还常见</w:t>
            </w:r>
            <w:r>
              <w:rPr>
                <w:rFonts w:hint="eastAsia"/>
                <w:color w:val="auto"/>
                <w:sz w:val="24"/>
              </w:rPr>
              <w:t>大丁草</w:t>
            </w:r>
            <w:r>
              <w:rPr>
                <w:rFonts w:hint="eastAsia"/>
                <w:i/>
                <w:iCs/>
                <w:color w:val="auto"/>
                <w:sz w:val="24"/>
              </w:rPr>
              <w:t>Gerbera anandria</w:t>
            </w:r>
            <w:r>
              <w:rPr>
                <w:rFonts w:hint="eastAsia"/>
                <w:color w:val="auto"/>
                <w:sz w:val="24"/>
              </w:rPr>
              <w:t>、刺芒野古草</w:t>
            </w:r>
            <w:r>
              <w:rPr>
                <w:rFonts w:hint="eastAsia"/>
                <w:i/>
                <w:iCs/>
                <w:color w:val="auto"/>
                <w:sz w:val="24"/>
              </w:rPr>
              <w:t>Arundinella</w:t>
            </w:r>
            <w:r>
              <w:rPr>
                <w:rFonts w:hint="default"/>
                <w:i/>
                <w:iCs/>
                <w:color w:val="auto"/>
                <w:sz w:val="24"/>
              </w:rPr>
              <w:t xml:space="preserve"> </w:t>
            </w:r>
            <w:r>
              <w:rPr>
                <w:rFonts w:hint="eastAsia"/>
                <w:i/>
                <w:iCs/>
                <w:color w:val="auto"/>
                <w:sz w:val="24"/>
              </w:rPr>
              <w:t>setosa</w:t>
            </w:r>
            <w:r>
              <w:rPr>
                <w:rFonts w:hint="eastAsia"/>
                <w:color w:val="auto"/>
                <w:sz w:val="24"/>
              </w:rPr>
              <w:t>、荩草</w:t>
            </w:r>
            <w:r>
              <w:rPr>
                <w:rFonts w:hint="eastAsia"/>
                <w:i/>
                <w:iCs/>
                <w:color w:val="auto"/>
                <w:sz w:val="24"/>
              </w:rPr>
              <w:t>Arthraxon hispidus</w:t>
            </w:r>
            <w:r>
              <w:rPr>
                <w:rFonts w:hint="eastAsia"/>
                <w:color w:val="auto"/>
                <w:sz w:val="24"/>
              </w:rPr>
              <w:t>、旱茅</w:t>
            </w:r>
            <w:r>
              <w:rPr>
                <w:rFonts w:hint="eastAsia"/>
                <w:i/>
                <w:iCs/>
                <w:color w:val="auto"/>
                <w:sz w:val="24"/>
              </w:rPr>
              <w:t>Eremopogon delavayi</w:t>
            </w:r>
            <w:r>
              <w:rPr>
                <w:rFonts w:hint="eastAsia"/>
                <w:color w:val="auto"/>
                <w:sz w:val="24"/>
              </w:rPr>
              <w:t>、</w:t>
            </w:r>
            <w:r>
              <w:rPr>
                <w:rFonts w:hint="eastAsia"/>
                <w:color w:val="auto"/>
                <w:sz w:val="24"/>
                <w:szCs w:val="28"/>
              </w:rPr>
              <w:t>龙须草</w:t>
            </w:r>
            <w:r>
              <w:rPr>
                <w:rFonts w:hint="eastAsia"/>
                <w:i/>
                <w:iCs/>
                <w:color w:val="auto"/>
                <w:sz w:val="24"/>
                <w:szCs w:val="28"/>
              </w:rPr>
              <w:t>Eulaliopsis binata</w:t>
            </w:r>
            <w:r>
              <w:rPr>
                <w:rFonts w:hint="eastAsia"/>
                <w:color w:val="auto"/>
                <w:sz w:val="24"/>
                <w:szCs w:val="28"/>
              </w:rPr>
              <w:t>、硬秆子草</w:t>
            </w:r>
            <w:r>
              <w:rPr>
                <w:rFonts w:hint="eastAsia"/>
                <w:i/>
                <w:iCs/>
                <w:color w:val="auto"/>
                <w:sz w:val="24"/>
                <w:szCs w:val="28"/>
              </w:rPr>
              <w:t>Capillipedium glaucopsis</w:t>
            </w:r>
            <w:r>
              <w:rPr>
                <w:rFonts w:hint="eastAsia"/>
                <w:color w:val="auto"/>
                <w:sz w:val="24"/>
                <w:szCs w:val="28"/>
              </w:rPr>
              <w:t>、</w:t>
            </w:r>
            <w:r>
              <w:rPr>
                <w:rFonts w:hint="default"/>
                <w:color w:val="auto"/>
                <w:sz w:val="24"/>
                <w:szCs w:val="28"/>
              </w:rPr>
              <w:t>飞机草</w:t>
            </w:r>
            <w:r>
              <w:rPr>
                <w:rFonts w:hint="default"/>
                <w:i/>
                <w:iCs/>
                <w:color w:val="auto"/>
                <w:sz w:val="24"/>
                <w:szCs w:val="28"/>
              </w:rPr>
              <w:t>Chromolaena odoratal</w:t>
            </w:r>
            <w:r>
              <w:rPr>
                <w:rFonts w:hint="eastAsia"/>
                <w:color w:val="auto"/>
                <w:sz w:val="24"/>
                <w:szCs w:val="28"/>
              </w:rPr>
              <w:t>、车前草</w:t>
            </w:r>
            <w:r>
              <w:rPr>
                <w:rFonts w:hint="eastAsia"/>
                <w:i/>
                <w:iCs/>
                <w:color w:val="auto"/>
                <w:sz w:val="24"/>
                <w:szCs w:val="28"/>
              </w:rPr>
              <w:t>Plantago asiatica</w:t>
            </w:r>
            <w:r>
              <w:rPr>
                <w:rFonts w:hint="eastAsia"/>
                <w:color w:val="auto"/>
                <w:sz w:val="24"/>
                <w:szCs w:val="28"/>
              </w:rPr>
              <w:t>、</w:t>
            </w:r>
            <w:r>
              <w:rPr>
                <w:rFonts w:hint="eastAsia" w:ascii="Times New Roman" w:hAnsi="Times New Roman" w:eastAsia="宋体" w:cs="Times New Roman"/>
                <w:bCs/>
                <w:color w:val="auto"/>
                <w:kern w:val="0"/>
                <w:sz w:val="24"/>
                <w:szCs w:val="24"/>
                <w:highlight w:val="none"/>
              </w:rPr>
              <w:t>蛇莓</w:t>
            </w:r>
            <w:r>
              <w:rPr>
                <w:rFonts w:hint="eastAsia" w:ascii="Times New Roman" w:hAnsi="Times New Roman"/>
                <w:bCs/>
                <w:i/>
                <w:iCs/>
                <w:color w:val="auto"/>
                <w:kern w:val="0"/>
                <w:sz w:val="24"/>
                <w:szCs w:val="24"/>
                <w:highlight w:val="none"/>
              </w:rPr>
              <w:t>Duchesnea indica</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cs="Times New Roman"/>
                <w:i/>
                <w:iCs/>
                <w:color w:val="auto"/>
                <w:kern w:val="0"/>
                <w:sz w:val="24"/>
                <w:szCs w:val="24"/>
                <w:highlight w:val="none"/>
                <w:lang w:eastAsia="zh-CN"/>
              </w:rPr>
              <w:t>、</w:t>
            </w:r>
            <w:r>
              <w:rPr>
                <w:rFonts w:hint="eastAsia" w:cs="Times New Roman"/>
                <w:i w:val="0"/>
                <w:iCs w:val="0"/>
                <w:color w:val="auto"/>
                <w:kern w:val="0"/>
                <w:sz w:val="24"/>
                <w:szCs w:val="24"/>
                <w:highlight w:val="none"/>
                <w:lang w:val="en-US" w:eastAsia="zh-CN"/>
              </w:rPr>
              <w:t>鼠曲草</w:t>
            </w:r>
            <w:r>
              <w:rPr>
                <w:rFonts w:hint="eastAsia" w:ascii="Times New Roman" w:hAnsi="宋体" w:eastAsia="宋体" w:cs="Times New Roman"/>
                <w:i/>
                <w:iCs/>
                <w:color w:val="auto"/>
                <w:sz w:val="24"/>
                <w:szCs w:val="24"/>
                <w:highlight w:val="none"/>
              </w:rPr>
              <w:t>Herba Gnaphalii Affinis</w:t>
            </w:r>
            <w:r>
              <w:rPr>
                <w:rFonts w:hint="eastAsia"/>
                <w:color w:val="auto"/>
                <w:sz w:val="24"/>
                <w:szCs w:val="28"/>
              </w:rPr>
              <w:t>等</w:t>
            </w:r>
            <w:r>
              <w:rPr>
                <w:rFonts w:hint="eastAsia" w:ascii="Times New Roman" w:hAnsi="Times New Roman"/>
                <w:bCs/>
                <w:color w:val="auto"/>
                <w:sz w:val="24"/>
                <w:szCs w:val="24"/>
              </w:rPr>
              <w:t>。</w:t>
            </w:r>
          </w:p>
          <w:p w14:paraId="604BAC06">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eastAsia="宋体" w:cs="Times New Roman"/>
                <w:color w:val="auto"/>
                <w:lang w:val="en-US" w:eastAsia="zh-CN"/>
              </w:rPr>
            </w:pPr>
            <w:r>
              <w:rPr>
                <w:rFonts w:hint="eastAsia" w:ascii="Times New Roman" w:hAnsi="宋体" w:eastAsia="宋体" w:cs="Times New Roman"/>
                <w:color w:val="auto"/>
                <w:lang w:val="en-US" w:eastAsia="zh-CN"/>
              </w:rPr>
              <w:t>2）人工植被</w:t>
            </w:r>
          </w:p>
          <w:p w14:paraId="44AC40A0">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szCs w:val="28"/>
                <w:highlight w:val="none"/>
              </w:rPr>
            </w:pPr>
            <w:r>
              <w:rPr>
                <w:rFonts w:hint="eastAsia"/>
                <w:color w:val="auto"/>
                <w:sz w:val="24"/>
                <w:szCs w:val="28"/>
                <w:highlight w:val="none"/>
              </w:rPr>
              <w:t>评价区及周边区域耕地分布</w:t>
            </w:r>
            <w:r>
              <w:rPr>
                <w:rFonts w:hint="eastAsia"/>
                <w:color w:val="auto"/>
                <w:sz w:val="24"/>
                <w:szCs w:val="28"/>
                <w:highlight w:val="none"/>
                <w:lang w:val="en-US" w:eastAsia="zh-CN"/>
              </w:rPr>
              <w:t>少</w:t>
            </w:r>
            <w:r>
              <w:rPr>
                <w:rFonts w:hint="eastAsia"/>
                <w:color w:val="auto"/>
                <w:sz w:val="24"/>
                <w:szCs w:val="28"/>
                <w:highlight w:val="none"/>
              </w:rPr>
              <w:t>，面积</w:t>
            </w:r>
            <w:r>
              <w:rPr>
                <w:rFonts w:hint="eastAsia"/>
                <w:color w:val="auto"/>
                <w:sz w:val="24"/>
                <w:szCs w:val="28"/>
                <w:highlight w:val="none"/>
                <w:lang w:val="en-US" w:eastAsia="zh-CN"/>
              </w:rPr>
              <w:t>小</w:t>
            </w:r>
            <w:r>
              <w:rPr>
                <w:rFonts w:hint="eastAsia"/>
                <w:color w:val="auto"/>
                <w:sz w:val="24"/>
                <w:szCs w:val="28"/>
                <w:highlight w:val="none"/>
              </w:rPr>
              <w:t>。由于气候干燥，缺少灌溉用水，评价区的耕地为旱地，主要种植玉米、</w:t>
            </w:r>
            <w:r>
              <w:rPr>
                <w:rFonts w:hint="eastAsia"/>
                <w:color w:val="auto"/>
                <w:sz w:val="24"/>
                <w:szCs w:val="28"/>
                <w:highlight w:val="none"/>
                <w:lang w:val="en-US" w:eastAsia="zh-CN"/>
              </w:rPr>
              <w:t>烤烟</w:t>
            </w:r>
            <w:r>
              <w:rPr>
                <w:rFonts w:hint="eastAsia"/>
                <w:color w:val="auto"/>
                <w:sz w:val="24"/>
                <w:szCs w:val="28"/>
                <w:highlight w:val="none"/>
              </w:rPr>
              <w:t>等。</w:t>
            </w:r>
          </w:p>
          <w:p w14:paraId="6DB2FBEA">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宋体" w:eastAsia="宋体" w:cs="Times New Roman"/>
                <w:color w:val="auto"/>
                <w:lang w:val="en-US" w:eastAsia="zh-CN"/>
              </w:rPr>
            </w:pPr>
            <w:r>
              <w:rPr>
                <w:rFonts w:hint="eastAsia" w:ascii="Times New Roman" w:hAnsi="宋体" w:eastAsia="宋体" w:cs="Times New Roman"/>
                <w:color w:val="auto"/>
                <w:lang w:val="en-US" w:eastAsia="zh-CN"/>
              </w:rPr>
              <w:t>3</w:t>
            </w:r>
            <w:r>
              <w:rPr>
                <w:rFonts w:hint="default" w:ascii="Times New Roman" w:hAnsi="宋体" w:eastAsia="宋体" w:cs="Times New Roman"/>
                <w:color w:val="auto"/>
                <w:lang w:val="en-US" w:eastAsia="zh-CN"/>
              </w:rPr>
              <w:t>）保护植物及古树名木</w:t>
            </w:r>
          </w:p>
          <w:p w14:paraId="79BB2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①重点保护植物</w:t>
            </w:r>
            <w:r>
              <w:rPr>
                <w:rFonts w:hint="eastAsia" w:cs="Times New Roman"/>
                <w:color w:val="auto"/>
                <w:sz w:val="24"/>
                <w:szCs w:val="24"/>
                <w:lang w:val="en-US" w:eastAsia="zh-CN"/>
              </w:rPr>
              <w:t>与特有种</w:t>
            </w:r>
          </w:p>
          <w:p w14:paraId="172F4BEF">
            <w:pPr>
              <w:pStyle w:val="131"/>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eastAsia="宋体" w:cs="Times New Roman"/>
                <w:color w:val="auto"/>
                <w:kern w:val="2"/>
                <w:sz w:val="24"/>
                <w:szCs w:val="24"/>
                <w:highlight w:val="none"/>
                <w:shd w:val="clear" w:color="auto" w:fill="auto"/>
                <w:lang w:val="en-US" w:eastAsia="zh-CN" w:bidi="ar-SA"/>
              </w:rPr>
            </w:pPr>
            <w:r>
              <w:rPr>
                <w:rFonts w:hint="default" w:ascii="Times New Roman" w:hAnsi="宋体" w:eastAsia="宋体" w:cs="Times New Roman"/>
                <w:color w:val="auto"/>
                <w:kern w:val="2"/>
                <w:sz w:val="24"/>
                <w:szCs w:val="24"/>
                <w:highlight w:val="none"/>
                <w:shd w:val="clear" w:color="auto" w:fill="auto"/>
                <w:lang w:val="en-US" w:eastAsia="zh-CN" w:bidi="ar-SA"/>
              </w:rPr>
              <w:t>根据野外考察结果，本</w:t>
            </w:r>
            <w:r>
              <w:rPr>
                <w:rFonts w:hint="eastAsia" w:ascii="Times New Roman" w:hAnsi="宋体" w:eastAsia="宋体" w:cs="Times New Roman"/>
                <w:color w:val="auto"/>
                <w:kern w:val="2"/>
                <w:sz w:val="24"/>
                <w:szCs w:val="24"/>
                <w:highlight w:val="none"/>
                <w:shd w:val="clear" w:color="auto" w:fill="auto"/>
                <w:lang w:val="en-US" w:eastAsia="zh-CN" w:bidi="ar-SA"/>
              </w:rPr>
              <w:t>项目</w:t>
            </w:r>
            <w:r>
              <w:rPr>
                <w:rFonts w:hint="default" w:ascii="Times New Roman" w:hAnsi="宋体" w:eastAsia="宋体" w:cs="Times New Roman"/>
                <w:color w:val="auto"/>
                <w:kern w:val="2"/>
                <w:sz w:val="24"/>
                <w:szCs w:val="24"/>
                <w:highlight w:val="none"/>
                <w:shd w:val="clear" w:color="auto" w:fill="auto"/>
                <w:lang w:val="en-US" w:eastAsia="zh-CN" w:bidi="ar-SA"/>
              </w:rPr>
              <w:t>生态环境影响评价区内无《国家重点保护野生植物名录》（2021）记载的野生保护植物，无</w:t>
            </w:r>
            <w:r>
              <w:rPr>
                <w:rFonts w:hint="eastAsia" w:ascii="Times New Roman" w:hAnsi="宋体" w:eastAsia="宋体" w:cs="Times New Roman"/>
                <w:color w:val="auto"/>
                <w:kern w:val="2"/>
                <w:sz w:val="24"/>
                <w:szCs w:val="24"/>
                <w:highlight w:val="none"/>
                <w:shd w:val="clear" w:color="auto" w:fill="auto"/>
                <w:lang w:val="en-US" w:eastAsia="zh-CN" w:bidi="ar-SA"/>
              </w:rPr>
              <w:t>《云南省重点保护野生植物名录》（2023年）</w:t>
            </w:r>
            <w:r>
              <w:rPr>
                <w:rFonts w:hint="default" w:ascii="Times New Roman" w:hAnsi="宋体" w:eastAsia="宋体" w:cs="Times New Roman"/>
                <w:color w:val="auto"/>
                <w:kern w:val="2"/>
                <w:sz w:val="24"/>
                <w:szCs w:val="24"/>
                <w:highlight w:val="none"/>
                <w:shd w:val="clear" w:color="auto" w:fill="auto"/>
                <w:lang w:val="en-US" w:eastAsia="zh-CN" w:bidi="ar-SA"/>
              </w:rPr>
              <w:t>记载的野生保护植物</w:t>
            </w:r>
            <w:r>
              <w:rPr>
                <w:rFonts w:hint="eastAsia" w:ascii="Times New Roman" w:hAnsi="宋体" w:eastAsia="宋体" w:cs="Times New Roman"/>
                <w:color w:val="auto"/>
                <w:kern w:val="2"/>
                <w:sz w:val="24"/>
                <w:szCs w:val="24"/>
                <w:highlight w:val="none"/>
                <w:shd w:val="clear" w:color="auto" w:fill="auto"/>
                <w:lang w:val="en-US" w:eastAsia="zh-CN" w:bidi="ar-SA"/>
              </w:rPr>
              <w:t>，无《云南省极小种群野生植物保护名录》</w:t>
            </w:r>
            <w:r>
              <w:rPr>
                <w:rFonts w:hint="default" w:ascii="Times New Roman" w:hAnsi="宋体" w:eastAsia="宋体" w:cs="Times New Roman"/>
                <w:color w:val="auto"/>
                <w:kern w:val="2"/>
                <w:sz w:val="24"/>
                <w:szCs w:val="24"/>
                <w:highlight w:val="none"/>
                <w:shd w:val="clear" w:color="auto" w:fill="auto"/>
                <w:lang w:val="en-US" w:eastAsia="zh-CN" w:bidi="ar-SA"/>
              </w:rPr>
              <w:t>记载的</w:t>
            </w:r>
            <w:r>
              <w:rPr>
                <w:rFonts w:hint="eastAsia" w:ascii="Times New Roman" w:hAnsi="宋体" w:eastAsia="宋体" w:cs="Times New Roman"/>
                <w:color w:val="auto"/>
                <w:kern w:val="2"/>
                <w:sz w:val="24"/>
                <w:szCs w:val="24"/>
                <w:highlight w:val="none"/>
                <w:shd w:val="clear" w:color="auto" w:fill="auto"/>
                <w:lang w:val="en-US" w:eastAsia="zh-CN" w:bidi="ar-SA"/>
              </w:rPr>
              <w:t>极小种群野生保护植物</w:t>
            </w:r>
            <w:r>
              <w:rPr>
                <w:rFonts w:hint="default" w:ascii="Times New Roman" w:hAnsi="宋体" w:eastAsia="宋体" w:cs="Times New Roman"/>
                <w:color w:val="auto"/>
                <w:kern w:val="2"/>
                <w:sz w:val="24"/>
                <w:szCs w:val="24"/>
                <w:highlight w:val="none"/>
                <w:shd w:val="clear" w:color="auto" w:fill="auto"/>
                <w:lang w:val="en-US" w:eastAsia="zh-CN" w:bidi="ar-SA"/>
              </w:rPr>
              <w:t>。现场调查未发现区域局域分布的物种。</w:t>
            </w:r>
          </w:p>
          <w:p w14:paraId="59499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②名木古树</w:t>
            </w:r>
          </w:p>
          <w:p w14:paraId="2556797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根据云南省林业厅文件云林保护字（1996）第65号《关于印发云南省古树名木名录的通知》和实地走访，在评价区范围内未发现有名木古树分布。</w:t>
            </w:r>
          </w:p>
          <w:p w14:paraId="0343B6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eastAsia="宋体" w:cs="Times New Roman"/>
                <w:color w:val="auto"/>
                <w:sz w:val="24"/>
                <w:szCs w:val="24"/>
                <w:highlight w:val="none"/>
                <w:shd w:val="clear" w:color="auto" w:fill="auto"/>
                <w:lang w:val="en-US" w:eastAsia="zh-CN"/>
              </w:rPr>
            </w:pPr>
            <w:r>
              <w:rPr>
                <w:rFonts w:hint="eastAsia" w:ascii="Times New Roman" w:hAnsi="宋体" w:eastAsia="宋体" w:cs="Times New Roman"/>
                <w:color w:val="auto"/>
                <w:sz w:val="24"/>
                <w:szCs w:val="24"/>
                <w:highlight w:val="none"/>
                <w:shd w:val="clear" w:color="auto" w:fill="auto"/>
                <w:lang w:val="en-US" w:eastAsia="zh-CN"/>
              </w:rPr>
              <w:t>综上，根据现场调查和查阅相关资料，项目评价区内，未发现国家级和省级重点保护野生植物，也未发现珍稀濒危植物、古树名木、地方狭隘物种分布。</w:t>
            </w:r>
          </w:p>
          <w:p w14:paraId="3C491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rPr>
            </w:pPr>
            <w:r>
              <w:rPr>
                <w:rFonts w:hint="eastAsia" w:cs="Times New Roman"/>
                <w:b/>
                <w:bCs/>
                <w:color w:val="auto"/>
                <w:sz w:val="24"/>
                <w:szCs w:val="24"/>
                <w:lang w:val="en-US" w:eastAsia="zh-CN"/>
              </w:rPr>
              <w:t>4.7</w:t>
            </w:r>
            <w:r>
              <w:rPr>
                <w:rFonts w:hint="default" w:ascii="Times New Roman" w:hAnsi="Times New Roman" w:eastAsia="宋体" w:cs="Times New Roman"/>
                <w:b/>
                <w:bCs/>
                <w:color w:val="auto"/>
                <w:sz w:val="24"/>
                <w:szCs w:val="24"/>
                <w:lang w:val="en-US" w:eastAsia="zh-CN"/>
              </w:rPr>
              <w:t>陆生脊椎动物现状</w:t>
            </w:r>
          </w:p>
          <w:p w14:paraId="72563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（1）两栖类</w:t>
            </w:r>
          </w:p>
          <w:p w14:paraId="7F6EE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color w:val="auto"/>
                <w:sz w:val="24"/>
              </w:rPr>
              <w:t>评价区</w:t>
            </w:r>
            <w:r>
              <w:rPr>
                <w:rFonts w:hint="eastAsia"/>
                <w:color w:val="auto"/>
                <w:sz w:val="24"/>
              </w:rPr>
              <w:t>范围不大</w:t>
            </w:r>
            <w:r>
              <w:rPr>
                <w:rFonts w:hint="default"/>
                <w:color w:val="auto"/>
                <w:sz w:val="24"/>
              </w:rPr>
              <w:t>，生境主要</w:t>
            </w:r>
            <w:r>
              <w:rPr>
                <w:rFonts w:hint="eastAsia"/>
                <w:color w:val="auto"/>
                <w:sz w:val="24"/>
              </w:rPr>
              <w:t>是灌草丛、松林、耕地、河流等</w:t>
            </w:r>
            <w:r>
              <w:rPr>
                <w:rFonts w:hint="default"/>
                <w:color w:val="auto"/>
                <w:sz w:val="24"/>
              </w:rPr>
              <w:t>，</w:t>
            </w:r>
            <w:r>
              <w:rPr>
                <w:rFonts w:hint="eastAsia"/>
                <w:color w:val="auto"/>
                <w:sz w:val="24"/>
              </w:rPr>
              <w:t>生境类型单一，受人类干扰影响严重，且区域气候干热，</w:t>
            </w:r>
            <w:r>
              <w:rPr>
                <w:rFonts w:hint="default"/>
                <w:color w:val="auto"/>
                <w:sz w:val="24"/>
              </w:rPr>
              <w:t>两栖动物种类数量</w:t>
            </w:r>
            <w:r>
              <w:rPr>
                <w:rFonts w:hint="eastAsia"/>
                <w:color w:val="auto"/>
                <w:sz w:val="24"/>
              </w:rPr>
              <w:t>不多。根据现场</w:t>
            </w:r>
            <w:r>
              <w:rPr>
                <w:rFonts w:hint="default"/>
                <w:color w:val="auto"/>
                <w:sz w:val="24"/>
              </w:rPr>
              <w:t>调查</w:t>
            </w:r>
            <w:r>
              <w:rPr>
                <w:rFonts w:hint="eastAsia"/>
                <w:color w:val="auto"/>
                <w:sz w:val="24"/>
              </w:rPr>
              <w:t>及相关资料</w:t>
            </w:r>
            <w:r>
              <w:rPr>
                <w:rFonts w:hint="default"/>
                <w:color w:val="auto"/>
                <w:sz w:val="24"/>
              </w:rPr>
              <w:t>，</w:t>
            </w:r>
            <w:r>
              <w:rPr>
                <w:rFonts w:hint="eastAsia"/>
                <w:color w:val="auto"/>
                <w:sz w:val="24"/>
              </w:rPr>
              <w:t>项目生态环境影响</w:t>
            </w:r>
            <w:r>
              <w:rPr>
                <w:rFonts w:hint="default"/>
                <w:color w:val="auto"/>
                <w:sz w:val="24"/>
              </w:rPr>
              <w:t>评价区内</w:t>
            </w:r>
            <w:r>
              <w:rPr>
                <w:rFonts w:hint="eastAsia"/>
                <w:color w:val="auto"/>
                <w:sz w:val="24"/>
              </w:rPr>
              <w:t>分布</w:t>
            </w:r>
            <w:r>
              <w:rPr>
                <w:rFonts w:hint="default"/>
                <w:color w:val="auto"/>
                <w:sz w:val="24"/>
              </w:rPr>
              <w:t>有</w:t>
            </w:r>
            <w:r>
              <w:rPr>
                <w:rFonts w:hint="eastAsia"/>
                <w:color w:val="auto"/>
                <w:sz w:val="24"/>
              </w:rPr>
              <w:t>黑眶蟾蜍</w:t>
            </w:r>
            <w:r>
              <w:rPr>
                <w:rFonts w:hint="eastAsia"/>
                <w:i/>
                <w:iCs/>
                <w:color w:val="auto"/>
                <w:sz w:val="24"/>
              </w:rPr>
              <w:t>Duttaphrynus melanostictus</w:t>
            </w:r>
            <w:r>
              <w:rPr>
                <w:rFonts w:hint="eastAsia"/>
                <w:color w:val="auto"/>
                <w:sz w:val="24"/>
              </w:rPr>
              <w:t>、滇蛙</w:t>
            </w:r>
            <w:r>
              <w:rPr>
                <w:rFonts w:hint="eastAsia"/>
                <w:i/>
                <w:iCs/>
                <w:color w:val="auto"/>
                <w:sz w:val="24"/>
              </w:rPr>
              <w:t>Dianrana</w:t>
            </w:r>
            <w:r>
              <w:rPr>
                <w:rFonts w:hint="eastAsia"/>
                <w:color w:val="auto"/>
                <w:sz w:val="24"/>
              </w:rPr>
              <w:t xml:space="preserve"> </w:t>
            </w:r>
            <w:r>
              <w:rPr>
                <w:rFonts w:hint="eastAsia"/>
                <w:i/>
                <w:iCs/>
                <w:color w:val="auto"/>
                <w:sz w:val="24"/>
              </w:rPr>
              <w:t>pleuraden</w:t>
            </w:r>
            <w:r>
              <w:rPr>
                <w:rFonts w:hint="eastAsia"/>
                <w:color w:val="auto"/>
                <w:sz w:val="24"/>
              </w:rPr>
              <w:t>、泽蛙</w:t>
            </w:r>
            <w:r>
              <w:rPr>
                <w:rFonts w:hint="eastAsia"/>
                <w:i/>
                <w:iCs/>
                <w:color w:val="auto"/>
                <w:sz w:val="24"/>
              </w:rPr>
              <w:t>Fejervarya</w:t>
            </w:r>
            <w:r>
              <w:rPr>
                <w:rFonts w:hint="eastAsia"/>
                <w:color w:val="auto"/>
                <w:sz w:val="24"/>
              </w:rPr>
              <w:t xml:space="preserve"> </w:t>
            </w:r>
            <w:r>
              <w:rPr>
                <w:rFonts w:hint="eastAsia"/>
                <w:i/>
                <w:iCs/>
                <w:color w:val="auto"/>
                <w:sz w:val="24"/>
              </w:rPr>
              <w:t>multistriata</w:t>
            </w:r>
            <w:r>
              <w:rPr>
                <w:rFonts w:hint="eastAsia"/>
                <w:color w:val="auto"/>
                <w:sz w:val="24"/>
              </w:rPr>
              <w:t>等</w:t>
            </w:r>
            <w:r>
              <w:rPr>
                <w:rFonts w:hint="eastAsia"/>
                <w:color w:val="auto"/>
                <w:sz w:val="24"/>
                <w:lang w:eastAsia="zh-CN"/>
              </w:rPr>
              <w:t>。</w:t>
            </w:r>
          </w:p>
          <w:p w14:paraId="4B9135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olor w:val="auto"/>
                <w:sz w:val="24"/>
                <w:szCs w:val="24"/>
                <w:lang w:val="en-US" w:eastAsia="zh-CN"/>
              </w:rPr>
            </w:pPr>
            <w:r>
              <w:rPr>
                <w:rFonts w:hint="eastAsia" w:ascii="Times New Roman" w:hAnsi="宋体" w:eastAsia="宋体"/>
                <w:color w:val="auto"/>
                <w:sz w:val="24"/>
                <w:szCs w:val="24"/>
                <w:lang w:val="en-US" w:eastAsia="zh-CN"/>
              </w:rPr>
              <w:t>评价范围调查记录到的两栖动物，绝大部分在我省分布范围广、种群数量稳定，无国家或省级重点保护的两栖动物和中国脊椎动物红色名录中列为“极危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濒危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易危</w:t>
            </w:r>
            <w:r>
              <w:rPr>
                <w:rFonts w:hint="default" w:ascii="Times New Roman" w:hAnsi="宋体" w:eastAsia="宋体"/>
                <w:color w:val="auto"/>
                <w:sz w:val="24"/>
                <w:szCs w:val="24"/>
                <w:lang w:val="en-US" w:eastAsia="zh-CN"/>
              </w:rPr>
              <w:t>”</w:t>
            </w:r>
            <w:r>
              <w:rPr>
                <w:rFonts w:hint="eastAsia" w:ascii="Times New Roman" w:hAnsi="宋体" w:eastAsia="宋体"/>
                <w:color w:val="auto"/>
                <w:sz w:val="24"/>
                <w:szCs w:val="24"/>
                <w:lang w:val="en-US" w:eastAsia="zh-CN"/>
              </w:rPr>
              <w:t>的物种。</w:t>
            </w:r>
          </w:p>
          <w:p w14:paraId="60976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（2）爬行类</w:t>
            </w:r>
          </w:p>
          <w:p w14:paraId="6568C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olor w:val="auto"/>
                <w:sz w:val="24"/>
                <w:szCs w:val="24"/>
                <w:lang w:val="en-US" w:eastAsia="zh-CN"/>
              </w:rPr>
            </w:pPr>
            <w:r>
              <w:rPr>
                <w:rFonts w:hint="eastAsia" w:ascii="Times New Roman" w:hAnsi="宋体" w:eastAsia="宋体"/>
                <w:color w:val="auto"/>
                <w:sz w:val="24"/>
                <w:szCs w:val="24"/>
                <w:lang w:val="en-US" w:eastAsia="zh-CN"/>
              </w:rPr>
              <w:t>经调查，评价区分布的爬行动物种类和数量也不多，常见的主要有云南半叶趾虎</w:t>
            </w:r>
            <w:r>
              <w:rPr>
                <w:rFonts w:hint="eastAsia" w:ascii="Times New Roman" w:hAnsi="宋体" w:eastAsia="宋体"/>
                <w:i/>
                <w:iCs/>
                <w:color w:val="auto"/>
                <w:sz w:val="24"/>
                <w:szCs w:val="24"/>
                <w:lang w:val="en-US" w:eastAsia="zh-CN"/>
              </w:rPr>
              <w:t>Hemiphyllodactylus yunnanensis</w:t>
            </w:r>
            <w:r>
              <w:rPr>
                <w:rFonts w:hint="eastAsia" w:ascii="Times New Roman" w:hAnsi="宋体" w:eastAsia="宋体"/>
                <w:color w:val="auto"/>
                <w:sz w:val="24"/>
                <w:szCs w:val="24"/>
                <w:lang w:val="en-US" w:eastAsia="zh-CN"/>
              </w:rPr>
              <w:t>、蜓蜥</w:t>
            </w:r>
            <w:r>
              <w:rPr>
                <w:rFonts w:hint="eastAsia" w:ascii="Times New Roman" w:hAnsi="宋体" w:eastAsia="宋体"/>
                <w:i/>
                <w:iCs/>
                <w:color w:val="auto"/>
                <w:sz w:val="24"/>
                <w:szCs w:val="24"/>
                <w:lang w:val="en-US" w:eastAsia="zh-CN"/>
              </w:rPr>
              <w:t>Lygosomaindicum</w:t>
            </w:r>
            <w:r>
              <w:rPr>
                <w:rFonts w:hint="eastAsia" w:ascii="Times New Roman" w:hAnsi="宋体" w:eastAsia="宋体"/>
                <w:color w:val="auto"/>
                <w:sz w:val="24"/>
                <w:szCs w:val="24"/>
                <w:lang w:val="en-US" w:eastAsia="zh-CN"/>
              </w:rPr>
              <w:t>、</w:t>
            </w:r>
            <w:r>
              <w:rPr>
                <w:rFonts w:hint="eastAsia"/>
                <w:color w:val="auto"/>
                <w:sz w:val="24"/>
              </w:rPr>
              <w:t>云南攀蜥</w:t>
            </w:r>
            <w:r>
              <w:rPr>
                <w:rFonts w:hint="eastAsia"/>
                <w:i/>
                <w:iCs/>
                <w:color w:val="auto"/>
                <w:sz w:val="24"/>
              </w:rPr>
              <w:t>Japalura</w:t>
            </w:r>
            <w:r>
              <w:rPr>
                <w:rFonts w:hint="eastAsia"/>
                <w:color w:val="auto"/>
                <w:sz w:val="24"/>
              </w:rPr>
              <w:t xml:space="preserve"> </w:t>
            </w:r>
            <w:r>
              <w:rPr>
                <w:rFonts w:hint="eastAsia"/>
                <w:i/>
                <w:iCs/>
                <w:color w:val="auto"/>
                <w:sz w:val="24"/>
              </w:rPr>
              <w:t>yunnanensis</w:t>
            </w:r>
            <w:r>
              <w:rPr>
                <w:rFonts w:hint="eastAsia" w:ascii="Times New Roman" w:hAnsi="宋体" w:eastAsia="宋体"/>
                <w:color w:val="auto"/>
                <w:sz w:val="24"/>
                <w:szCs w:val="24"/>
                <w:lang w:val="en-US" w:eastAsia="zh-CN"/>
              </w:rPr>
              <w:t>、石龙子</w:t>
            </w:r>
            <w:r>
              <w:rPr>
                <w:rFonts w:hint="eastAsia" w:ascii="Times New Roman" w:hAnsi="宋体" w:eastAsia="宋体"/>
                <w:i/>
                <w:iCs/>
                <w:color w:val="auto"/>
                <w:sz w:val="24"/>
                <w:szCs w:val="24"/>
                <w:lang w:val="en-US" w:eastAsia="zh-CN"/>
              </w:rPr>
              <w:t>Humeces chinensis</w:t>
            </w:r>
            <w:r>
              <w:rPr>
                <w:rFonts w:hint="eastAsia" w:ascii="Times New Roman" w:hAnsi="宋体" w:eastAsia="宋体"/>
                <w:color w:val="auto"/>
                <w:sz w:val="24"/>
                <w:szCs w:val="24"/>
                <w:lang w:val="en-US" w:eastAsia="zh-CN"/>
              </w:rPr>
              <w:t>、多线南蜥</w:t>
            </w:r>
            <w:r>
              <w:rPr>
                <w:rFonts w:hint="eastAsia" w:ascii="Times New Roman" w:hAnsi="宋体" w:eastAsia="宋体"/>
                <w:i/>
                <w:iCs/>
                <w:color w:val="auto"/>
                <w:sz w:val="24"/>
                <w:szCs w:val="24"/>
                <w:lang w:val="en-US" w:eastAsia="zh-CN"/>
              </w:rPr>
              <w:t>Mabuya multifasciata</w:t>
            </w:r>
            <w:r>
              <w:rPr>
                <w:rFonts w:hint="eastAsia" w:ascii="Times New Roman" w:hAnsi="宋体" w:eastAsia="宋体"/>
                <w:color w:val="auto"/>
                <w:sz w:val="24"/>
                <w:szCs w:val="24"/>
                <w:lang w:val="en-US" w:eastAsia="zh-CN"/>
              </w:rPr>
              <w:t>等。</w:t>
            </w:r>
          </w:p>
          <w:p w14:paraId="238ACE70">
            <w:pPr>
              <w:pStyle w:val="163"/>
              <w:keepNext w:val="0"/>
              <w:keepLines w:val="0"/>
              <w:suppressLineNumbers w:val="0"/>
              <w:spacing w:before="0" w:beforeAutospacing="0" w:after="0" w:afterAutospacing="0" w:line="360" w:lineRule="auto"/>
              <w:ind w:left="0" w:right="0" w:firstLine="504"/>
              <w:rPr>
                <w:rFonts w:hint="eastAsia" w:ascii="Times New Roman" w:hAnsi="宋体" w:eastAsia="宋体"/>
                <w:color w:val="auto"/>
                <w:sz w:val="24"/>
                <w:szCs w:val="24"/>
                <w:lang w:val="en-US" w:eastAsia="zh-CN"/>
              </w:rPr>
            </w:pPr>
            <w:r>
              <w:rPr>
                <w:rFonts w:hint="default" w:ascii="宋体" w:hAnsi="宋体" w:eastAsia="宋体" w:cs="Times New Roman"/>
                <w:snapToGrid/>
                <w:color w:val="auto"/>
                <w:kern w:val="2"/>
                <w:sz w:val="24"/>
                <w:szCs w:val="24"/>
                <w:lang w:eastAsia="zh-CN"/>
              </w:rPr>
              <w:t>调查范围内的绝大部分物种在</w:t>
            </w:r>
            <w:r>
              <w:rPr>
                <w:rFonts w:hint="eastAsia" w:ascii="宋体" w:hAnsi="宋体" w:eastAsia="宋体" w:cs="Times New Roman"/>
                <w:snapToGrid/>
                <w:color w:val="auto"/>
                <w:kern w:val="2"/>
                <w:sz w:val="24"/>
                <w:szCs w:val="24"/>
                <w:lang w:val="en-US" w:eastAsia="zh-CN"/>
              </w:rPr>
              <w:t>云南</w:t>
            </w:r>
            <w:r>
              <w:rPr>
                <w:rFonts w:hint="default" w:ascii="宋体" w:hAnsi="宋体" w:eastAsia="宋体" w:cs="Times New Roman"/>
                <w:snapToGrid/>
                <w:color w:val="auto"/>
                <w:kern w:val="2"/>
                <w:sz w:val="24"/>
                <w:szCs w:val="24"/>
                <w:lang w:eastAsia="zh-CN"/>
              </w:rPr>
              <w:t>省分布范围广、种群数量稳定，无国家或省级重点保护和中国脊椎动物红色名录中列为</w:t>
            </w:r>
            <w:r>
              <w:rPr>
                <w:rFonts w:hint="eastAsia" w:ascii="宋体" w:hAnsi="宋体" w:eastAsia="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极危</w:t>
            </w:r>
            <w:r>
              <w:rPr>
                <w:rFonts w:hint="eastAsia" w:ascii="宋体" w:hAnsi="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濒危</w:t>
            </w:r>
            <w:r>
              <w:rPr>
                <w:rFonts w:hint="eastAsia"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val="en-US" w:eastAsia="zh-CN"/>
              </w:rPr>
              <w:t>和</w:t>
            </w:r>
            <w:r>
              <w:rPr>
                <w:rFonts w:hint="eastAsia" w:ascii="宋体" w:hAnsi="宋体" w:eastAsia="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易危</w:t>
            </w:r>
            <w:r>
              <w:rPr>
                <w:rFonts w:hint="eastAsia" w:ascii="宋体" w:hAnsi="宋体" w:eastAsia="宋体" w:cs="Times New Roman"/>
                <w:snapToGrid/>
                <w:color w:val="auto"/>
                <w:kern w:val="2"/>
                <w:sz w:val="24"/>
                <w:szCs w:val="24"/>
                <w:lang w:eastAsia="zh-CN"/>
              </w:rPr>
              <w:t>”的物种</w:t>
            </w:r>
            <w:r>
              <w:rPr>
                <w:rFonts w:hint="default" w:ascii="宋体" w:hAnsi="宋体" w:eastAsia="宋体" w:cs="Times New Roman"/>
                <w:snapToGrid/>
                <w:color w:val="auto"/>
                <w:kern w:val="2"/>
                <w:sz w:val="24"/>
                <w:szCs w:val="24"/>
                <w:lang w:eastAsia="zh-CN"/>
              </w:rPr>
              <w:t>。调查范围大部分为人类聚居区以及其活动范围，爬行动物的分布相对较少，遇见率也很低，因此受项目活动的影响不大。</w:t>
            </w:r>
          </w:p>
          <w:p w14:paraId="21EB1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（3）哺乳类</w:t>
            </w:r>
          </w:p>
          <w:p w14:paraId="322BF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宋体" w:eastAsia="宋体"/>
                <w:color w:val="auto"/>
                <w:sz w:val="24"/>
                <w:szCs w:val="24"/>
                <w:lang w:val="en-US" w:eastAsia="zh-CN"/>
              </w:rPr>
              <w:t>评价区调查记录到的哺乳动物以小型哺乳动物为主，其中以啮齿类动物居多，常见的有褐家鼠</w:t>
            </w:r>
            <w:r>
              <w:rPr>
                <w:rFonts w:hint="eastAsia" w:ascii="Times New Roman" w:hAnsi="宋体" w:eastAsia="宋体"/>
                <w:i/>
                <w:iCs/>
                <w:color w:val="auto"/>
                <w:sz w:val="24"/>
                <w:szCs w:val="24"/>
                <w:lang w:val="en-US" w:eastAsia="zh-CN"/>
              </w:rPr>
              <w:t>Rattus norvegicus</w:t>
            </w:r>
            <w:r>
              <w:rPr>
                <w:rFonts w:hint="eastAsia" w:ascii="Times New Roman" w:hAnsi="宋体" w:eastAsia="宋体"/>
                <w:color w:val="auto"/>
                <w:sz w:val="24"/>
                <w:szCs w:val="24"/>
                <w:lang w:val="en-US" w:eastAsia="zh-CN"/>
              </w:rPr>
              <w:t>、</w:t>
            </w:r>
            <w:r>
              <w:rPr>
                <w:rFonts w:hint="default"/>
                <w:color w:val="auto"/>
                <w:sz w:val="24"/>
              </w:rPr>
              <w:t>赤腹松鼠</w:t>
            </w:r>
            <w:r>
              <w:rPr>
                <w:rFonts w:hint="default"/>
                <w:i/>
                <w:iCs/>
                <w:color w:val="auto"/>
                <w:sz w:val="24"/>
              </w:rPr>
              <w:t>Callosciurus erythraeus</w:t>
            </w:r>
            <w:r>
              <w:rPr>
                <w:rFonts w:hint="eastAsia"/>
                <w:color w:val="auto"/>
                <w:sz w:val="24"/>
              </w:rPr>
              <w:t>、大足鼠</w:t>
            </w:r>
            <w:r>
              <w:rPr>
                <w:rFonts w:hint="eastAsia"/>
                <w:i/>
                <w:iCs/>
                <w:color w:val="auto"/>
                <w:sz w:val="24"/>
              </w:rPr>
              <w:t>Rattus</w:t>
            </w:r>
            <w:r>
              <w:rPr>
                <w:rFonts w:hint="eastAsia"/>
                <w:color w:val="auto"/>
                <w:sz w:val="24"/>
              </w:rPr>
              <w:t xml:space="preserve"> </w:t>
            </w:r>
            <w:r>
              <w:rPr>
                <w:rFonts w:hint="eastAsia"/>
                <w:i/>
                <w:iCs/>
                <w:color w:val="auto"/>
                <w:sz w:val="24"/>
              </w:rPr>
              <w:t>nitidus</w:t>
            </w:r>
            <w:r>
              <w:rPr>
                <w:rFonts w:hint="eastAsia" w:ascii="Times New Roman" w:hAnsi="宋体" w:eastAsia="宋体"/>
                <w:color w:val="auto"/>
                <w:sz w:val="24"/>
                <w:szCs w:val="24"/>
                <w:lang w:val="en-US" w:eastAsia="zh-CN"/>
              </w:rPr>
              <w:t>、明纹花松鼠</w:t>
            </w:r>
            <w:r>
              <w:rPr>
                <w:rFonts w:hint="eastAsia" w:ascii="Times New Roman" w:hAnsi="宋体" w:eastAsia="宋体"/>
                <w:i/>
                <w:iCs/>
                <w:color w:val="auto"/>
                <w:sz w:val="24"/>
                <w:szCs w:val="24"/>
                <w:lang w:val="en-US" w:eastAsia="zh-CN"/>
              </w:rPr>
              <w:t>Tamiops macclellandi</w:t>
            </w:r>
            <w:r>
              <w:rPr>
                <w:rFonts w:hint="eastAsia" w:ascii="Times New Roman" w:hAnsi="宋体" w:eastAsia="宋体"/>
                <w:color w:val="auto"/>
                <w:sz w:val="24"/>
                <w:szCs w:val="24"/>
                <w:lang w:val="en-US" w:eastAsia="zh-CN"/>
              </w:rPr>
              <w:t>等</w:t>
            </w:r>
            <w:r>
              <w:rPr>
                <w:rFonts w:hint="eastAsia"/>
                <w:color w:val="auto"/>
                <w:sz w:val="24"/>
              </w:rPr>
              <w:t>啮齿类小型动物</w:t>
            </w:r>
            <w:r>
              <w:rPr>
                <w:rFonts w:hint="eastAsia" w:ascii="Times New Roman" w:hAnsi="宋体" w:eastAsia="宋体"/>
                <w:color w:val="auto"/>
                <w:sz w:val="24"/>
                <w:szCs w:val="24"/>
                <w:lang w:val="en-US" w:eastAsia="zh-CN"/>
              </w:rPr>
              <w:t>，均为当地草地和农田周边常见种类。</w:t>
            </w:r>
          </w:p>
          <w:p w14:paraId="14A8A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olor w:val="auto"/>
                <w:sz w:val="24"/>
                <w:szCs w:val="24"/>
                <w:lang w:val="en-US" w:eastAsia="zh-CN"/>
              </w:rPr>
            </w:pPr>
            <w:r>
              <w:rPr>
                <w:rFonts w:hint="eastAsia" w:ascii="Times New Roman" w:hAnsi="宋体" w:eastAsia="宋体"/>
                <w:color w:val="auto"/>
                <w:sz w:val="24"/>
                <w:szCs w:val="24"/>
                <w:lang w:val="en-US" w:eastAsia="zh-CN"/>
              </w:rPr>
              <w:t>调查范围内记录到的</w:t>
            </w:r>
            <w:r>
              <w:rPr>
                <w:rFonts w:hint="default" w:ascii="Times New Roman" w:hAnsi="Times New Roman" w:eastAsia="宋体" w:cs="Times New Roman"/>
                <w:color w:val="auto"/>
                <w:sz w:val="24"/>
                <w:szCs w:val="24"/>
                <w:lang w:val="en-US" w:eastAsia="zh-CN"/>
              </w:rPr>
              <w:t>哺乳</w:t>
            </w:r>
            <w:r>
              <w:rPr>
                <w:rFonts w:hint="eastAsia" w:ascii="Times New Roman" w:hAnsi="宋体" w:eastAsia="宋体"/>
                <w:color w:val="auto"/>
                <w:sz w:val="24"/>
                <w:szCs w:val="24"/>
                <w:lang w:val="en-US" w:eastAsia="zh-CN"/>
              </w:rPr>
              <w:t>动物在云南均为广泛分布的常见种，无国家或省级重点保护的</w:t>
            </w:r>
            <w:r>
              <w:rPr>
                <w:rFonts w:hint="default" w:ascii="Times New Roman" w:hAnsi="Times New Roman" w:eastAsia="宋体" w:cs="Times New Roman"/>
                <w:color w:val="auto"/>
                <w:sz w:val="24"/>
                <w:szCs w:val="24"/>
                <w:lang w:val="en-US" w:eastAsia="zh-CN"/>
              </w:rPr>
              <w:t>哺乳</w:t>
            </w:r>
            <w:r>
              <w:rPr>
                <w:rFonts w:hint="eastAsia" w:ascii="Times New Roman" w:hAnsi="宋体" w:eastAsia="宋体"/>
                <w:color w:val="auto"/>
                <w:sz w:val="24"/>
                <w:szCs w:val="24"/>
                <w:lang w:val="en-US" w:eastAsia="zh-CN"/>
              </w:rPr>
              <w:t>动物和中国脊椎动物红色名录中列为“极危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濒危</w:t>
            </w:r>
            <w:r>
              <w:rPr>
                <w:rFonts w:hint="eastAsia" w:hAnsi="宋体"/>
                <w:color w:val="auto"/>
                <w:sz w:val="24"/>
                <w:szCs w:val="24"/>
                <w:lang w:val="en-US" w:eastAsia="zh-CN"/>
              </w:rPr>
              <w:t>”“</w:t>
            </w:r>
            <w:r>
              <w:rPr>
                <w:rFonts w:hint="eastAsia" w:ascii="Times New Roman" w:hAnsi="宋体" w:eastAsia="宋体"/>
                <w:color w:val="auto"/>
                <w:sz w:val="24"/>
                <w:szCs w:val="24"/>
                <w:lang w:val="en-US" w:eastAsia="zh-CN"/>
              </w:rPr>
              <w:t>易危</w:t>
            </w:r>
            <w:r>
              <w:rPr>
                <w:rFonts w:hint="default" w:ascii="Times New Roman" w:hAnsi="宋体" w:eastAsia="宋体"/>
                <w:color w:val="auto"/>
                <w:sz w:val="24"/>
                <w:szCs w:val="24"/>
                <w:lang w:val="en-US" w:eastAsia="zh-CN"/>
              </w:rPr>
              <w:t>”</w:t>
            </w:r>
            <w:r>
              <w:rPr>
                <w:rFonts w:hint="eastAsia" w:ascii="Times New Roman" w:hAnsi="宋体" w:eastAsia="宋体"/>
                <w:color w:val="auto"/>
                <w:sz w:val="24"/>
                <w:szCs w:val="24"/>
                <w:lang w:val="en-US" w:eastAsia="zh-CN"/>
              </w:rPr>
              <w:t>的物种。</w:t>
            </w:r>
          </w:p>
          <w:p w14:paraId="18D40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（4）鸟类</w:t>
            </w:r>
          </w:p>
          <w:p w14:paraId="075703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宋体" w:eastAsia="宋体"/>
                <w:color w:val="auto"/>
                <w:sz w:val="24"/>
                <w:szCs w:val="24"/>
                <w:lang w:val="en-US" w:eastAsia="zh-CN"/>
              </w:rPr>
              <w:t>通过现场调查、访问调查以及查阅相关资料，在评价区内记录的一般鸟类有大杜鹃</w:t>
            </w:r>
            <w:r>
              <w:rPr>
                <w:rFonts w:hint="eastAsia" w:ascii="Times New Roman" w:hAnsi="宋体" w:eastAsia="宋体" w:cs="Times New Roman"/>
                <w:i/>
                <w:iCs/>
                <w:color w:val="auto"/>
                <w:kern w:val="2"/>
                <w:sz w:val="24"/>
                <w:szCs w:val="24"/>
                <w:lang w:val="en-US" w:eastAsia="zh-CN" w:bidi="ar-SA"/>
              </w:rPr>
              <w:t>Cuculus canorus、</w:t>
            </w:r>
            <w:r>
              <w:rPr>
                <w:rFonts w:hint="eastAsia" w:ascii="Times New Roman" w:hAnsi="宋体" w:eastAsia="宋体"/>
                <w:color w:val="auto"/>
                <w:sz w:val="24"/>
                <w:szCs w:val="24"/>
                <w:lang w:val="en-US" w:eastAsia="zh-CN"/>
              </w:rPr>
              <w:t>黑卷尾</w:t>
            </w:r>
            <w:r>
              <w:rPr>
                <w:rFonts w:hint="eastAsia" w:ascii="Times New Roman" w:hAnsi="宋体" w:eastAsia="宋体"/>
                <w:i/>
                <w:iCs/>
                <w:color w:val="auto"/>
                <w:sz w:val="24"/>
                <w:szCs w:val="24"/>
                <w:lang w:val="en-US" w:eastAsia="zh-CN"/>
              </w:rPr>
              <w:t>Dicrurus macrocercus</w:t>
            </w:r>
            <w:r>
              <w:rPr>
                <w:rFonts w:hint="eastAsia" w:ascii="Times New Roman" w:hAnsi="宋体" w:eastAsia="宋体"/>
                <w:color w:val="auto"/>
                <w:sz w:val="24"/>
                <w:szCs w:val="24"/>
                <w:lang w:val="en-US" w:eastAsia="zh-CN"/>
              </w:rPr>
              <w:t>、松鸦</w:t>
            </w:r>
            <w:r>
              <w:rPr>
                <w:rFonts w:hint="eastAsia" w:ascii="Times New Roman" w:hAnsi="宋体" w:eastAsia="宋体"/>
                <w:i/>
                <w:iCs/>
                <w:color w:val="auto"/>
                <w:sz w:val="24"/>
                <w:szCs w:val="24"/>
                <w:lang w:val="en-US" w:eastAsia="zh-CN"/>
              </w:rPr>
              <w:t>Garrulus glandarius</w:t>
            </w:r>
            <w:r>
              <w:rPr>
                <w:rFonts w:hint="eastAsia" w:ascii="Times New Roman" w:hAnsi="宋体" w:eastAsia="宋体"/>
                <w:color w:val="auto"/>
                <w:sz w:val="24"/>
                <w:szCs w:val="24"/>
                <w:lang w:val="en-US" w:eastAsia="zh-CN"/>
              </w:rPr>
              <w:t>、大嘴乌鸦</w:t>
            </w:r>
            <w:r>
              <w:rPr>
                <w:rFonts w:hint="eastAsia" w:ascii="Times New Roman" w:hAnsi="宋体" w:eastAsia="宋体"/>
                <w:i/>
                <w:iCs/>
                <w:color w:val="auto"/>
                <w:sz w:val="24"/>
                <w:szCs w:val="24"/>
                <w:lang w:val="en-US" w:eastAsia="zh-CN"/>
              </w:rPr>
              <w:t>Corvus macrorhynchos</w:t>
            </w:r>
            <w:r>
              <w:rPr>
                <w:rFonts w:hint="eastAsia" w:ascii="Times New Roman" w:hAnsi="宋体" w:eastAsia="宋体"/>
                <w:color w:val="auto"/>
                <w:sz w:val="24"/>
                <w:szCs w:val="24"/>
                <w:lang w:val="en-US" w:eastAsia="zh-CN"/>
              </w:rPr>
              <w:t>、北红尾鸲</w:t>
            </w:r>
            <w:r>
              <w:rPr>
                <w:rFonts w:hint="eastAsia" w:ascii="Times New Roman" w:hAnsi="宋体" w:eastAsia="宋体"/>
                <w:i/>
                <w:iCs/>
                <w:color w:val="auto"/>
                <w:sz w:val="24"/>
                <w:szCs w:val="24"/>
                <w:lang w:val="en-US" w:eastAsia="zh-CN"/>
              </w:rPr>
              <w:t>Phoenicurus auroreus</w:t>
            </w:r>
            <w:r>
              <w:rPr>
                <w:rFonts w:hint="eastAsia" w:ascii="Times New Roman" w:hAnsi="宋体" w:eastAsia="宋体"/>
                <w:color w:val="auto"/>
                <w:sz w:val="24"/>
                <w:szCs w:val="24"/>
                <w:lang w:val="en-US" w:eastAsia="zh-CN"/>
              </w:rPr>
              <w:t>、大山雀</w:t>
            </w:r>
            <w:r>
              <w:rPr>
                <w:rFonts w:hint="eastAsia" w:ascii="Times New Roman" w:hAnsi="宋体" w:eastAsia="宋体"/>
                <w:i/>
                <w:iCs/>
                <w:color w:val="auto"/>
                <w:sz w:val="24"/>
                <w:szCs w:val="24"/>
                <w:lang w:val="en-US" w:eastAsia="zh-CN"/>
              </w:rPr>
              <w:t>Parus major</w:t>
            </w:r>
            <w:r>
              <w:rPr>
                <w:rFonts w:hint="eastAsia" w:ascii="Times New Roman" w:hAnsi="宋体" w:eastAsia="宋体"/>
                <w:color w:val="auto"/>
                <w:sz w:val="24"/>
                <w:szCs w:val="24"/>
                <w:lang w:val="en-US" w:eastAsia="zh-CN"/>
              </w:rPr>
              <w:t>、山麻雀</w:t>
            </w:r>
            <w:r>
              <w:rPr>
                <w:rFonts w:hint="eastAsia" w:ascii="Times New Roman" w:hAnsi="宋体" w:eastAsia="宋体"/>
                <w:i/>
                <w:iCs/>
                <w:color w:val="auto"/>
                <w:sz w:val="24"/>
                <w:szCs w:val="24"/>
                <w:lang w:val="en-US" w:eastAsia="zh-CN"/>
              </w:rPr>
              <w:t>Passer rutilans</w:t>
            </w:r>
            <w:r>
              <w:rPr>
                <w:rFonts w:hint="eastAsia" w:ascii="Times New Roman" w:hAnsi="宋体" w:eastAsia="宋体"/>
                <w:color w:val="auto"/>
                <w:sz w:val="24"/>
                <w:szCs w:val="24"/>
                <w:lang w:val="en-US" w:eastAsia="zh-CN"/>
              </w:rPr>
              <w:t>、家燕</w:t>
            </w:r>
            <w:r>
              <w:rPr>
                <w:rFonts w:hint="eastAsia" w:ascii="Times New Roman" w:hAnsi="宋体" w:eastAsia="宋体"/>
                <w:i/>
                <w:iCs/>
                <w:color w:val="auto"/>
                <w:sz w:val="24"/>
                <w:szCs w:val="24"/>
                <w:lang w:val="en-US" w:eastAsia="zh-CN"/>
              </w:rPr>
              <w:t>Hirundorustica</w:t>
            </w:r>
            <w:r>
              <w:rPr>
                <w:rFonts w:hint="eastAsia" w:ascii="Times New Roman" w:hAnsi="宋体" w:eastAsia="宋体"/>
                <w:color w:val="auto"/>
                <w:sz w:val="24"/>
                <w:szCs w:val="24"/>
                <w:lang w:val="en-US" w:eastAsia="zh-CN"/>
              </w:rPr>
              <w:t>、</w:t>
            </w:r>
            <w:r>
              <w:rPr>
                <w:rFonts w:hint="eastAsia" w:ascii="Times New Roman" w:hAnsi="宋体" w:eastAsia="宋体" w:cs="Times New Roman"/>
                <w:color w:val="auto"/>
                <w:sz w:val="24"/>
                <w:szCs w:val="24"/>
                <w:lang w:val="en-US" w:eastAsia="zh-CN"/>
              </w:rPr>
              <w:t>山斑鸠</w:t>
            </w:r>
            <w:r>
              <w:rPr>
                <w:rFonts w:hint="eastAsia" w:ascii="Times New Roman" w:hAnsi="宋体" w:eastAsia="宋体" w:cs="Times New Roman"/>
                <w:i/>
                <w:iCs/>
                <w:color w:val="auto"/>
                <w:sz w:val="24"/>
                <w:szCs w:val="24"/>
                <w:lang w:val="en-US" w:eastAsia="zh-CN"/>
              </w:rPr>
              <w:t>Streptopelia orientalis</w:t>
            </w:r>
            <w:r>
              <w:rPr>
                <w:rFonts w:hint="eastAsia" w:ascii="Times New Roman" w:hAnsi="宋体" w:eastAsia="宋体"/>
                <w:color w:val="auto"/>
                <w:sz w:val="24"/>
                <w:szCs w:val="24"/>
                <w:lang w:val="en-US" w:eastAsia="zh-CN"/>
              </w:rPr>
              <w:t>等。</w:t>
            </w:r>
          </w:p>
          <w:p w14:paraId="5BE28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rPr>
            </w:pPr>
            <w:r>
              <w:rPr>
                <w:rFonts w:hint="eastAsia" w:ascii="Times New Roman" w:hAnsi="Times New Roman" w:eastAsia="宋体" w:cs="Times New Roman"/>
                <w:b w:val="0"/>
                <w:bCs w:val="0"/>
                <w:color w:val="auto"/>
                <w:kern w:val="2"/>
                <w:sz w:val="24"/>
                <w:szCs w:val="24"/>
                <w:highlight w:val="none"/>
                <w:lang w:val="en-US" w:eastAsia="zh-CN" w:bidi="ar-SA"/>
              </w:rPr>
              <w:t>调查范围内无国家或省级重点保护的鸟类，根据中国脊椎动物红色物名录，评价区域无</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极危</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濒危</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和</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易危</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鸟类。总体而言，调查区域记录到的鸟类均为我省广泛分布的常见种，受威胁程度较低。</w:t>
            </w:r>
          </w:p>
          <w:p w14:paraId="765A63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环境敏感区</w:t>
            </w:r>
          </w:p>
          <w:p w14:paraId="21C36156">
            <w:pPr>
              <w:pStyle w:val="3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项目评价区不涉及国家公园、自然保护区、自然公园、风景名胜区等自然保护地、世界自然遗产等区域，不涉及占用特有种、极小种群动植物。</w:t>
            </w:r>
            <w:r>
              <w:rPr>
                <w:rFonts w:hint="default" w:ascii="Times New Roman" w:hAnsi="Times New Roman" w:eastAsia="宋体" w:cs="Times New Roman"/>
                <w:b w:val="0"/>
                <w:bCs w:val="0"/>
                <w:color w:val="auto"/>
                <w:kern w:val="2"/>
                <w:sz w:val="24"/>
                <w:szCs w:val="24"/>
                <w:highlight w:val="none"/>
                <w:lang w:val="en-US" w:eastAsia="zh-CN" w:bidi="ar-SA"/>
              </w:rPr>
              <w:t>经叠图分析</w:t>
            </w:r>
            <w:r>
              <w:rPr>
                <w:rFonts w:hint="eastAsia" w:ascii="Times New Roman" w:hAnsi="Times New Roman" w:eastAsia="宋体" w:cs="Times New Roman"/>
                <w:b w:val="0"/>
                <w:bCs w:val="0"/>
                <w:color w:val="auto"/>
                <w:kern w:val="2"/>
                <w:sz w:val="24"/>
                <w:szCs w:val="24"/>
                <w:highlight w:val="none"/>
                <w:lang w:val="en-US" w:eastAsia="zh-CN" w:bidi="ar-SA"/>
              </w:rPr>
              <w:t>（详见附图16）</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项目8#方阵距离寻甸省级森林自然公园边界1.032km</w:t>
            </w:r>
            <w:r>
              <w:rPr>
                <w:rFonts w:hint="default" w:ascii="Times New Roman" w:hAnsi="Times New Roman" w:eastAsia="宋体" w:cs="Times New Roman"/>
                <w:b w:val="0"/>
                <w:bCs w:val="0"/>
                <w:color w:val="auto"/>
                <w:kern w:val="2"/>
                <w:sz w:val="24"/>
                <w:szCs w:val="24"/>
                <w:highlight w:val="none"/>
                <w:lang w:val="en-US" w:eastAsia="zh-CN" w:bidi="ar-SA"/>
              </w:rPr>
              <w:t>。</w:t>
            </w:r>
            <w:bookmarkEnd w:id="20"/>
            <w:bookmarkEnd w:id="21"/>
            <w:bookmarkEnd w:id="22"/>
          </w:p>
          <w:p w14:paraId="038969F7">
            <w:pPr>
              <w:keepNext w:val="0"/>
              <w:keepLines w:val="0"/>
              <w:suppressLineNumbers w:val="0"/>
              <w:bidi w:val="0"/>
              <w:adjustRightInd w:val="0"/>
              <w:spacing w:before="0" w:beforeAutospacing="0" w:after="0" w:afterAutospacing="0" w:line="360" w:lineRule="auto"/>
              <w:ind w:left="0" w:right="0" w:firstLine="480" w:firstLineChars="200"/>
              <w:textAlignment w:val="baseline"/>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根据叠图分析，项目与环境敏感区的位置关系如下：</w:t>
            </w:r>
          </w:p>
          <w:p w14:paraId="4A1041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黑体" w:hAnsi="黑体" w:eastAsia="黑体" w:cs="黑体"/>
                <w:b w:val="0"/>
                <w:bCs/>
                <w:color w:val="auto"/>
                <w:sz w:val="21"/>
                <w:szCs w:val="20"/>
                <w:highlight w:val="none"/>
                <w:lang w:val="en-US" w:eastAsia="zh-CN" w:bidi="ar-SA"/>
              </w:rPr>
            </w:pPr>
            <w:r>
              <w:rPr>
                <w:rFonts w:hint="default" w:ascii="Times New Roman" w:hAnsi="Times New Roman" w:eastAsia="宋体" w:cs="Times New Roman"/>
                <w:b/>
                <w:bCs w:val="0"/>
                <w:color w:val="auto"/>
                <w:sz w:val="21"/>
                <w:szCs w:val="20"/>
                <w:highlight w:val="none"/>
                <w:lang w:val="en-US" w:eastAsia="zh-CN" w:bidi="ar-SA"/>
              </w:rPr>
              <w:t>表3-</w:t>
            </w:r>
            <w:r>
              <w:rPr>
                <w:rFonts w:hint="eastAsia" w:cs="Times New Roman"/>
                <w:b/>
                <w:bCs w:val="0"/>
                <w:color w:val="auto"/>
                <w:sz w:val="21"/>
                <w:szCs w:val="20"/>
                <w:highlight w:val="none"/>
                <w:lang w:val="en-US" w:eastAsia="zh-CN" w:bidi="ar-SA"/>
              </w:rPr>
              <w:t>5</w:t>
            </w:r>
            <w:r>
              <w:rPr>
                <w:rFonts w:hint="eastAsia" w:ascii="Times New Roman" w:hAnsi="Times New Roman" w:eastAsia="宋体" w:cs="Times New Roman"/>
                <w:b/>
                <w:bCs w:val="0"/>
                <w:color w:val="auto"/>
                <w:sz w:val="21"/>
                <w:szCs w:val="20"/>
                <w:highlight w:val="none"/>
                <w:lang w:val="en-US" w:eastAsia="zh-CN" w:bidi="ar-SA"/>
              </w:rPr>
              <w:t xml:space="preserve">  </w:t>
            </w:r>
            <w:r>
              <w:rPr>
                <w:rFonts w:hint="default" w:ascii="Times New Roman" w:hAnsi="Times New Roman" w:eastAsia="宋体" w:cs="Times New Roman"/>
                <w:b/>
                <w:bCs w:val="0"/>
                <w:color w:val="auto"/>
                <w:sz w:val="21"/>
                <w:szCs w:val="20"/>
                <w:highlight w:val="none"/>
                <w:lang w:val="en-US" w:eastAsia="zh-CN" w:bidi="ar-SA"/>
              </w:rPr>
              <w:t>项目与环境敏感区的位置关系</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2"/>
              <w:gridCol w:w="3712"/>
            </w:tblGrid>
            <w:tr w14:paraId="190B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4ABCF47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敏感区</w:t>
                  </w:r>
                </w:p>
              </w:tc>
              <w:tc>
                <w:tcPr>
                  <w:tcW w:w="2357" w:type="pct"/>
                  <w:noWrap w:val="0"/>
                  <w:vAlign w:val="center"/>
                </w:tcPr>
                <w:p w14:paraId="3317541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项目与敏感区的位置关系（最近距离）</w:t>
                  </w:r>
                </w:p>
              </w:tc>
            </w:tr>
            <w:tr w14:paraId="5CE8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62119DB6">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生态保护红线</w:t>
                  </w:r>
                  <w:r>
                    <w:rPr>
                      <w:rFonts w:hint="eastAsia"/>
                      <w:color w:val="auto"/>
                      <w:lang w:eastAsia="zh-CN"/>
                    </w:rPr>
                    <w:t>（高原湖泊及牛栏江上游水源涵养生态保护红线）</w:t>
                  </w:r>
                </w:p>
              </w:tc>
              <w:tc>
                <w:tcPr>
                  <w:tcW w:w="2357" w:type="pct"/>
                  <w:noWrap w:val="0"/>
                  <w:vAlign w:val="center"/>
                </w:tcPr>
                <w:p w14:paraId="7AEDCAA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color w:val="auto"/>
                      <w:sz w:val="21"/>
                      <w:szCs w:val="21"/>
                      <w:highlight w:val="none"/>
                      <w:lang w:val="en-US" w:eastAsia="zh-CN"/>
                    </w:rPr>
                    <w:t>7#方阵东侧1.34m</w:t>
                  </w:r>
                </w:p>
              </w:tc>
            </w:tr>
            <w:tr w14:paraId="05DA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58655ACB">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永久基本农田</w:t>
                  </w:r>
                </w:p>
              </w:tc>
              <w:tc>
                <w:tcPr>
                  <w:tcW w:w="2357" w:type="pct"/>
                  <w:noWrap w:val="0"/>
                  <w:vAlign w:val="center"/>
                </w:tcPr>
                <w:p w14:paraId="2F3CB2D2">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color w:val="auto"/>
                      <w:sz w:val="21"/>
                      <w:szCs w:val="21"/>
                      <w:highlight w:val="none"/>
                      <w:lang w:val="en-US" w:eastAsia="zh-CN"/>
                    </w:rPr>
                    <w:t>3#方阵南侧83.33m</w:t>
                  </w:r>
                </w:p>
              </w:tc>
            </w:tr>
            <w:tr w14:paraId="5C8D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7D75DD19">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Times New Roman"/>
                      <w:color w:val="auto"/>
                      <w:sz w:val="21"/>
                      <w:szCs w:val="21"/>
                      <w:lang w:val="zh-CN"/>
                    </w:rPr>
                    <w:t>昆明市寻甸县河口镇化桃箐水库饮用水水源保护区</w:t>
                  </w:r>
                </w:p>
              </w:tc>
              <w:tc>
                <w:tcPr>
                  <w:tcW w:w="2357" w:type="pct"/>
                  <w:noWrap w:val="0"/>
                  <w:vAlign w:val="center"/>
                </w:tcPr>
                <w:p w14:paraId="3F6F34B9">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8#</w:t>
                  </w:r>
                  <w:r>
                    <w:rPr>
                      <w:rFonts w:hint="eastAsia" w:ascii="Times New Roman" w:hAnsi="Times New Roman" w:eastAsia="宋体" w:cs="Times New Roman"/>
                      <w:b w:val="0"/>
                      <w:bCs w:val="0"/>
                      <w:color w:val="auto"/>
                      <w:kern w:val="2"/>
                      <w:sz w:val="21"/>
                      <w:szCs w:val="21"/>
                      <w:highlight w:val="none"/>
                      <w:lang w:val="en-US" w:eastAsia="zh-CN" w:bidi="ar-SA"/>
                    </w:rPr>
                    <w:t>方阵</w:t>
                  </w:r>
                  <w:r>
                    <w:rPr>
                      <w:rFonts w:hint="eastAsia" w:cs="Times New Roman"/>
                      <w:b w:val="0"/>
                      <w:bCs w:val="0"/>
                      <w:color w:val="auto"/>
                      <w:kern w:val="2"/>
                      <w:sz w:val="21"/>
                      <w:szCs w:val="21"/>
                      <w:highlight w:val="none"/>
                      <w:lang w:val="en-US" w:eastAsia="zh-CN" w:bidi="ar-SA"/>
                    </w:rPr>
                    <w:t>东</w:t>
                  </w:r>
                  <w:r>
                    <w:rPr>
                      <w:rFonts w:hint="eastAsia" w:ascii="Times New Roman" w:hAnsi="Times New Roman" w:cs="Times New Roman"/>
                      <w:color w:val="auto"/>
                      <w:sz w:val="21"/>
                      <w:szCs w:val="21"/>
                      <w:highlight w:val="none"/>
                      <w:lang w:val="en-US" w:eastAsia="zh-CN"/>
                    </w:rPr>
                    <w:t>侧</w:t>
                  </w:r>
                  <w:r>
                    <w:rPr>
                      <w:rFonts w:hint="eastAsia" w:cs="Times New Roman"/>
                      <w:color w:val="auto"/>
                      <w:sz w:val="21"/>
                      <w:szCs w:val="21"/>
                      <w:highlight w:val="none"/>
                      <w:lang w:val="en-US" w:eastAsia="zh-CN"/>
                    </w:rPr>
                    <w:t>1.5</w:t>
                  </w:r>
                  <w:r>
                    <w:rPr>
                      <w:rFonts w:hint="eastAsia" w:ascii="Times New Roman" w:hAnsi="Times New Roman" w:cs="Times New Roman"/>
                      <w:color w:val="auto"/>
                      <w:sz w:val="21"/>
                      <w:szCs w:val="21"/>
                      <w:highlight w:val="none"/>
                      <w:lang w:val="en-US" w:eastAsia="zh-CN"/>
                    </w:rPr>
                    <w:t>m</w:t>
                  </w:r>
                </w:p>
              </w:tc>
            </w:tr>
            <w:tr w14:paraId="1EC5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5E998908">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yellow"/>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寻甸省级森林自然公园</w:t>
                  </w:r>
                </w:p>
              </w:tc>
              <w:tc>
                <w:tcPr>
                  <w:tcW w:w="2357" w:type="pct"/>
                  <w:noWrap w:val="0"/>
                  <w:vAlign w:val="center"/>
                </w:tcPr>
                <w:p w14:paraId="15364058">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cs="Times New Roman"/>
                      <w:color w:val="auto"/>
                      <w:sz w:val="21"/>
                      <w:szCs w:val="21"/>
                      <w:highlight w:val="yellow"/>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项目8#方阵</w:t>
                  </w:r>
                  <w:r>
                    <w:rPr>
                      <w:rFonts w:hint="eastAsia" w:cs="Times New Roman"/>
                      <w:b w:val="0"/>
                      <w:bCs w:val="0"/>
                      <w:color w:val="auto"/>
                      <w:kern w:val="2"/>
                      <w:sz w:val="21"/>
                      <w:szCs w:val="21"/>
                      <w:highlight w:val="none"/>
                      <w:lang w:val="en-US" w:eastAsia="zh-CN" w:bidi="ar-SA"/>
                    </w:rPr>
                    <w:t>西北侧</w:t>
                  </w:r>
                  <w:r>
                    <w:rPr>
                      <w:rFonts w:hint="eastAsia" w:cs="Times New Roman"/>
                      <w:color w:val="auto"/>
                      <w:sz w:val="21"/>
                      <w:szCs w:val="21"/>
                      <w:highlight w:val="none"/>
                      <w:lang w:val="en-US" w:eastAsia="zh-CN"/>
                    </w:rPr>
                    <w:t>1.032</w:t>
                  </w:r>
                  <w:r>
                    <w:rPr>
                      <w:rFonts w:hint="eastAsia" w:ascii="Times New Roman" w:hAnsi="Times New Roman" w:cs="Times New Roman"/>
                      <w:color w:val="auto"/>
                      <w:sz w:val="21"/>
                      <w:szCs w:val="21"/>
                      <w:highlight w:val="none"/>
                      <w:lang w:val="en-US" w:eastAsia="zh-CN"/>
                    </w:rPr>
                    <w:t>km</w:t>
                  </w:r>
                </w:p>
              </w:tc>
            </w:tr>
            <w:tr w14:paraId="71E7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2" w:type="pct"/>
                  <w:noWrap w:val="0"/>
                  <w:vAlign w:val="center"/>
                </w:tcPr>
                <w:p w14:paraId="55DD220F">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沾益海峰自然保护区</w:t>
                  </w:r>
                </w:p>
              </w:tc>
              <w:tc>
                <w:tcPr>
                  <w:tcW w:w="2357" w:type="pct"/>
                  <w:noWrap w:val="0"/>
                  <w:vAlign w:val="center"/>
                </w:tcPr>
                <w:p w14:paraId="75FE865F">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w:t>
                  </w:r>
                  <w:r>
                    <w:rPr>
                      <w:rFonts w:hint="eastAsia" w:cs="Times New Roman"/>
                      <w:b w:val="0"/>
                      <w:bCs w:val="0"/>
                      <w:color w:val="auto"/>
                      <w:kern w:val="2"/>
                      <w:sz w:val="21"/>
                      <w:szCs w:val="21"/>
                      <w:highlight w:val="none"/>
                      <w:lang w:val="en-US" w:eastAsia="zh-CN" w:bidi="ar-SA"/>
                    </w:rPr>
                    <w:t>7</w:t>
                  </w:r>
                  <w:r>
                    <w:rPr>
                      <w:rFonts w:hint="eastAsia" w:ascii="Times New Roman" w:hAnsi="Times New Roman" w:eastAsia="宋体" w:cs="Times New Roman"/>
                      <w:b w:val="0"/>
                      <w:bCs w:val="0"/>
                      <w:color w:val="auto"/>
                      <w:kern w:val="2"/>
                      <w:sz w:val="21"/>
                      <w:szCs w:val="21"/>
                      <w:highlight w:val="none"/>
                      <w:lang w:val="en-US" w:eastAsia="zh-CN" w:bidi="ar-SA"/>
                    </w:rPr>
                    <w:t>#方阵</w:t>
                  </w:r>
                  <w:r>
                    <w:rPr>
                      <w:rFonts w:hint="eastAsia" w:ascii="Times New Roman" w:hAnsi="Times New Roman" w:cs="Times New Roman"/>
                      <w:color w:val="auto"/>
                      <w:sz w:val="21"/>
                      <w:szCs w:val="21"/>
                      <w:highlight w:val="none"/>
                      <w:lang w:val="en-US" w:eastAsia="zh-CN"/>
                    </w:rPr>
                    <w:t>东侧5.7</w:t>
                  </w:r>
                  <w:r>
                    <w:rPr>
                      <w:rFonts w:hint="eastAsia" w:cs="Times New Roman"/>
                      <w:color w:val="auto"/>
                      <w:sz w:val="21"/>
                      <w:szCs w:val="21"/>
                      <w:highlight w:val="none"/>
                      <w:lang w:val="en-US" w:eastAsia="zh-CN"/>
                    </w:rPr>
                    <w:t>75</w:t>
                  </w:r>
                  <w:r>
                    <w:rPr>
                      <w:rFonts w:hint="eastAsia" w:ascii="Times New Roman" w:hAnsi="Times New Roman" w:cs="Times New Roman"/>
                      <w:color w:val="auto"/>
                      <w:sz w:val="21"/>
                      <w:szCs w:val="21"/>
                      <w:highlight w:val="none"/>
                      <w:lang w:val="en-US" w:eastAsia="zh-CN"/>
                    </w:rPr>
                    <w:t>km</w:t>
                  </w:r>
                </w:p>
              </w:tc>
            </w:tr>
          </w:tbl>
          <w:p w14:paraId="4DBCCBB7">
            <w:pPr>
              <w:keepNext w:val="0"/>
              <w:keepLines w:val="0"/>
              <w:suppressLineNumbers w:val="0"/>
              <w:bidi w:val="0"/>
              <w:adjustRightInd w:val="0"/>
              <w:spacing w:before="0" w:beforeAutospacing="0" w:after="0" w:afterAutospacing="0" w:line="360" w:lineRule="auto"/>
              <w:ind w:left="0" w:right="0" w:firstLine="480" w:firstLineChars="200"/>
              <w:textAlignment w:val="baseline"/>
              <w:rPr>
                <w:rFonts w:hint="eastAsia"/>
                <w:b/>
                <w:bCs/>
                <w:color w:val="auto"/>
                <w:kern w:val="0"/>
                <w:sz w:val="24"/>
                <w:lang w:val="en-US" w:eastAsia="zh-CN"/>
              </w:rPr>
            </w:pPr>
            <w:r>
              <w:rPr>
                <w:rFonts w:hint="eastAsia" w:cs="Times New Roman"/>
                <w:b w:val="0"/>
                <w:bCs w:val="0"/>
                <w:color w:val="auto"/>
                <w:sz w:val="24"/>
                <w:highlight w:val="none"/>
                <w:lang w:val="en-US" w:eastAsia="zh-CN"/>
              </w:rPr>
              <w:t>根据上表分析，项目选址不涉及自然保护区、生态保护红线、饮用水水源保护区、森林公园等环境敏感区。</w:t>
            </w:r>
          </w:p>
          <w:p w14:paraId="6E741B88">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rPr>
            </w:pPr>
            <w:r>
              <w:rPr>
                <w:rFonts w:hint="eastAsia"/>
                <w:b/>
                <w:bCs/>
                <w:color w:val="auto"/>
                <w:kern w:val="0"/>
                <w:sz w:val="24"/>
                <w:lang w:val="en-US" w:eastAsia="zh-CN"/>
              </w:rPr>
              <w:t>5</w:t>
            </w:r>
            <w:r>
              <w:rPr>
                <w:rFonts w:hint="eastAsia"/>
                <w:b/>
                <w:bCs/>
                <w:color w:val="auto"/>
                <w:kern w:val="0"/>
                <w:sz w:val="24"/>
              </w:rPr>
              <w:t>、</w:t>
            </w:r>
            <w:r>
              <w:rPr>
                <w:rFonts w:hint="default"/>
                <w:b/>
                <w:bCs/>
                <w:color w:val="auto"/>
                <w:kern w:val="0"/>
                <w:sz w:val="24"/>
              </w:rPr>
              <w:t>地表水环境质量现状</w:t>
            </w:r>
          </w:p>
          <w:p w14:paraId="16DCD7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w:t>
            </w:r>
            <w:r>
              <w:rPr>
                <w:rFonts w:hint="eastAsia" w:cs="Times New Roman"/>
                <w:color w:val="auto"/>
                <w:kern w:val="0"/>
                <w:sz w:val="24"/>
                <w:szCs w:val="24"/>
                <w:lang w:val="en-US" w:eastAsia="zh-CN" w:bidi="ar-SA"/>
              </w:rPr>
              <w:t>东北片区</w:t>
            </w:r>
            <w:r>
              <w:rPr>
                <w:rFonts w:hint="eastAsia" w:ascii="Times New Roman" w:hAnsi="Times New Roman" w:eastAsia="宋体" w:cs="Times New Roman"/>
                <w:color w:val="auto"/>
                <w:kern w:val="0"/>
                <w:sz w:val="24"/>
                <w:szCs w:val="24"/>
                <w:lang w:val="en-US" w:eastAsia="zh-CN" w:bidi="ar-SA"/>
              </w:rPr>
              <w:t>涉及的地表水为</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cs="Times New Roman"/>
                <w:color w:val="auto"/>
                <w:kern w:val="0"/>
                <w:sz w:val="24"/>
                <w:szCs w:val="24"/>
                <w:lang w:val="en-US" w:eastAsia="zh-CN" w:bidi="ar-SA"/>
              </w:rPr>
              <w:t>、干河以及牛栏江</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ascii="Times New Roman" w:hAnsi="Times New Roman" w:cs="Times New Roman"/>
                <w:color w:val="auto"/>
                <w:kern w:val="0"/>
                <w:sz w:val="24"/>
                <w:szCs w:val="24"/>
                <w:lang w:val="en-US" w:eastAsia="zh-CN" w:bidi="ar-SA"/>
              </w:rPr>
              <w:t>流入</w:t>
            </w:r>
            <w:r>
              <w:rPr>
                <w:rFonts w:hint="eastAsia" w:cs="Times New Roman"/>
                <w:color w:val="auto"/>
                <w:kern w:val="0"/>
                <w:sz w:val="24"/>
                <w:szCs w:val="24"/>
                <w:lang w:val="en-US" w:eastAsia="zh-CN" w:bidi="ar-SA"/>
              </w:rPr>
              <w:t>干河再</w:t>
            </w:r>
            <w:r>
              <w:rPr>
                <w:rFonts w:hint="eastAsia" w:ascii="Times New Roman" w:hAnsi="Times New Roman" w:cs="Times New Roman"/>
                <w:color w:val="auto"/>
                <w:kern w:val="0"/>
                <w:sz w:val="24"/>
                <w:szCs w:val="24"/>
                <w:lang w:val="en-US" w:eastAsia="zh-CN" w:bidi="ar-SA"/>
              </w:rPr>
              <w:t>汇入</w:t>
            </w:r>
            <w:r>
              <w:rPr>
                <w:rFonts w:hint="eastAsia" w:cs="Times New Roman"/>
                <w:color w:val="auto"/>
                <w:kern w:val="0"/>
                <w:sz w:val="24"/>
                <w:szCs w:val="24"/>
                <w:lang w:val="en-US" w:eastAsia="zh-CN" w:bidi="ar-SA"/>
              </w:rPr>
              <w:t>牛栏江</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西南片区</w:t>
            </w:r>
            <w:r>
              <w:rPr>
                <w:rFonts w:hint="eastAsia" w:ascii="Times New Roman" w:hAnsi="Times New Roman" w:eastAsia="宋体" w:cs="Times New Roman"/>
                <w:color w:val="auto"/>
                <w:kern w:val="0"/>
                <w:sz w:val="24"/>
                <w:szCs w:val="24"/>
                <w:lang w:val="en-US" w:eastAsia="zh-CN" w:bidi="ar-SA"/>
              </w:rPr>
              <w:t>涉及的地表水为长地箐</w:t>
            </w:r>
            <w:r>
              <w:rPr>
                <w:rFonts w:hint="eastAsia" w:cs="Times New Roman"/>
                <w:color w:val="auto"/>
                <w:kern w:val="0"/>
                <w:sz w:val="24"/>
                <w:szCs w:val="24"/>
                <w:lang w:val="en-US" w:eastAsia="zh-CN" w:bidi="ar-SA"/>
              </w:rPr>
              <w:t>、</w:t>
            </w:r>
            <w:r>
              <w:rPr>
                <w:rFonts w:hint="eastAsia" w:ascii="Times New Roman" w:cs="Times New Roman"/>
                <w:color w:val="auto"/>
                <w:sz w:val="24"/>
                <w:szCs w:val="24"/>
                <w:vertAlign w:val="baseline"/>
                <w:lang w:val="en-US" w:eastAsia="zh-CN"/>
              </w:rPr>
              <w:t>小石岩沟</w:t>
            </w:r>
            <w:r>
              <w:rPr>
                <w:rFonts w:hint="eastAsia" w:ascii="Times New Roman" w:hAnsi="Times New Roman" w:eastAsia="宋体" w:cs="Times New Roman"/>
                <w:color w:val="auto"/>
                <w:kern w:val="0"/>
                <w:sz w:val="24"/>
                <w:szCs w:val="24"/>
                <w:lang w:val="en-US" w:eastAsia="zh-CN" w:bidi="ar-SA"/>
              </w:rPr>
              <w:t>和化桃箐水库，</w:t>
            </w:r>
            <w:r>
              <w:rPr>
                <w:rFonts w:hint="eastAsia" w:cs="Times New Roman"/>
                <w:color w:val="auto"/>
                <w:kern w:val="0"/>
                <w:sz w:val="24"/>
                <w:szCs w:val="24"/>
                <w:lang w:val="en-US" w:eastAsia="zh-CN" w:bidi="ar-SA"/>
              </w:rPr>
              <w:t>长地箐流入小石岩沟，最终汇入牛栏江。</w:t>
            </w:r>
            <w:r>
              <w:rPr>
                <w:rFonts w:hint="eastAsia" w:ascii="Times New Roman" w:hAnsi="Times New Roman" w:eastAsia="宋体" w:cs="Times New Roman"/>
                <w:color w:val="auto"/>
                <w:kern w:val="0"/>
                <w:sz w:val="24"/>
                <w:szCs w:val="24"/>
                <w:lang w:val="en-US" w:eastAsia="zh-CN" w:bidi="ar-SA"/>
              </w:rPr>
              <w:t>化桃箐水库</w:t>
            </w:r>
            <w:r>
              <w:rPr>
                <w:rFonts w:hint="default" w:ascii="Times New Roman" w:hAnsi="Times New Roman"/>
                <w:color w:val="auto"/>
                <w:sz w:val="24"/>
                <w:szCs w:val="24"/>
              </w:rPr>
              <w:t>位于化桃箐河上游，化桃箐发源于寻甸县河口镇的诺戛梁子，属于长江流域金沙江水系牛栏江左岸一级支流。</w:t>
            </w:r>
          </w:p>
          <w:p w14:paraId="2D4443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根据《牛栏江流域（云南部分）水环境保护规划报告（2009-2030年）》，牛栏江水质规划目标为Ⅲ类水，执行《地表水环境质量标准》（GB3838</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2002）Ⅲ类标准。</w:t>
            </w:r>
          </w:p>
          <w:p w14:paraId="55D29C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SA"/>
              </w:rPr>
              <w:t>根据《</w:t>
            </w:r>
            <w:r>
              <w:rPr>
                <w:rFonts w:hint="eastAsia" w:cs="Times New Roman"/>
                <w:color w:val="auto"/>
                <w:kern w:val="0"/>
                <w:sz w:val="24"/>
                <w:szCs w:val="24"/>
                <w:lang w:val="en-US" w:eastAsia="zh-CN" w:bidi="ar-SA"/>
              </w:rPr>
              <w:t>云南省</w:t>
            </w:r>
            <w:r>
              <w:rPr>
                <w:rFonts w:hint="eastAsia" w:ascii="Times New Roman" w:hAnsi="Times New Roman" w:eastAsia="宋体" w:cs="Times New Roman"/>
                <w:color w:val="auto"/>
                <w:kern w:val="0"/>
                <w:sz w:val="24"/>
                <w:szCs w:val="24"/>
                <w:lang w:val="en-US" w:eastAsia="zh-CN" w:bidi="ar-SA"/>
              </w:rPr>
              <w:t>牛栏江保护条例》（云南省第十一届人民代表大会常务委员会公告第68号公布）总则第八条，牛栏江流域水体水质按照《地表水环境质量标准》Ⅲ类水质标准进行保护。</w:t>
            </w:r>
          </w:p>
          <w:p w14:paraId="2E3A8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综上，该段河道地表水水质执行《地表水环境质量标准》（GB3838</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2002）Ⅲ类标准。</w:t>
            </w:r>
          </w:p>
          <w:p w14:paraId="08C385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根据《昆明市寻甸县河口镇化桃箐水库饮用水水源保护区划定方案》，化桃箐水库</w:t>
            </w:r>
            <w:r>
              <w:rPr>
                <w:rFonts w:hint="eastAsia" w:ascii="Times New Roman" w:hAnsi="Times New Roman" w:eastAsia="宋体" w:cs="Times New Roman"/>
                <w:color w:val="auto"/>
                <w:sz w:val="24"/>
                <w:szCs w:val="24"/>
                <w:lang w:val="en-US" w:eastAsia="zh-CN"/>
              </w:rPr>
              <w:t>按照Ⅲ类水体保护，</w:t>
            </w:r>
            <w:r>
              <w:rPr>
                <w:rFonts w:hint="eastAsia" w:cs="Times New Roman"/>
                <w:color w:val="auto"/>
                <w:kern w:val="0"/>
                <w:sz w:val="24"/>
                <w:szCs w:val="24"/>
                <w:lang w:val="en-US" w:eastAsia="zh-CN" w:bidi="ar-SA"/>
              </w:rPr>
              <w:t>执行</w:t>
            </w:r>
            <w:r>
              <w:rPr>
                <w:rFonts w:hint="eastAsia" w:ascii="Times New Roman" w:hAnsi="Times New Roman" w:eastAsia="宋体" w:cs="Times New Roman"/>
                <w:color w:val="auto"/>
                <w:kern w:val="0"/>
                <w:sz w:val="24"/>
                <w:szCs w:val="24"/>
                <w:lang w:val="en-US" w:eastAsia="zh-CN" w:bidi="ar-SA"/>
              </w:rPr>
              <w:t>《地表水环境质量标准》（GB3838</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2002）Ⅲ类标准。</w:t>
            </w:r>
          </w:p>
          <w:p w14:paraId="30E22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（1）牛栏江水质情况</w:t>
            </w:r>
          </w:p>
          <w:p w14:paraId="50767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根据2024</w:t>
            </w:r>
            <w:r>
              <w:rPr>
                <w:rFonts w:hint="eastAsia" w:cs="Times New Roman"/>
                <w:color w:val="auto"/>
                <w:kern w:val="0"/>
                <w:sz w:val="24"/>
                <w:szCs w:val="24"/>
                <w:lang w:val="en-US" w:eastAsia="zh-CN" w:bidi="ar-SA"/>
              </w:rPr>
              <w:t>年</w:t>
            </w:r>
            <w:r>
              <w:rPr>
                <w:rFonts w:hint="eastAsia" w:ascii="Times New Roman" w:hAnsi="Times New Roman" w:eastAsia="宋体" w:cs="Times New Roman"/>
                <w:color w:val="auto"/>
                <w:kern w:val="0"/>
                <w:sz w:val="24"/>
                <w:szCs w:val="24"/>
                <w:lang w:val="en-US" w:eastAsia="zh-CN" w:bidi="ar-SA"/>
              </w:rPr>
              <w:t>7</w:t>
            </w:r>
            <w:r>
              <w:rPr>
                <w:rFonts w:hint="eastAsia" w:cs="Times New Roman"/>
                <w:color w:val="auto"/>
                <w:kern w:val="0"/>
                <w:sz w:val="24"/>
                <w:szCs w:val="24"/>
                <w:lang w:val="en-US" w:eastAsia="zh-CN" w:bidi="ar-SA"/>
              </w:rPr>
              <w:t>月</w:t>
            </w:r>
            <w:r>
              <w:rPr>
                <w:rFonts w:hint="eastAsia" w:ascii="Times New Roman" w:hAnsi="Times New Roman" w:eastAsia="宋体" w:cs="Times New Roman"/>
                <w:color w:val="auto"/>
                <w:kern w:val="0"/>
                <w:sz w:val="24"/>
                <w:szCs w:val="24"/>
                <w:lang w:val="en-US" w:eastAsia="zh-CN" w:bidi="ar-SA"/>
              </w:rPr>
              <w:t>15</w:t>
            </w:r>
            <w:r>
              <w:rPr>
                <w:rFonts w:hint="eastAsia" w:cs="Times New Roman"/>
                <w:color w:val="auto"/>
                <w:kern w:val="0"/>
                <w:sz w:val="24"/>
                <w:szCs w:val="24"/>
                <w:lang w:val="en-US" w:eastAsia="zh-CN" w:bidi="ar-SA"/>
              </w:rPr>
              <w:t>日寻甸县</w:t>
            </w:r>
            <w:r>
              <w:rPr>
                <w:rFonts w:hint="eastAsia" w:ascii="Times New Roman" w:hAnsi="Times New Roman" w:eastAsia="宋体" w:cs="Times New Roman"/>
                <w:color w:val="auto"/>
                <w:kern w:val="0"/>
                <w:sz w:val="24"/>
                <w:szCs w:val="24"/>
                <w:lang w:val="en-US" w:eastAsia="zh-CN" w:bidi="ar-SA"/>
              </w:rPr>
              <w:t>人民政府</w:t>
            </w:r>
            <w:r>
              <w:rPr>
                <w:rFonts w:hint="eastAsia" w:cs="Times New Roman"/>
                <w:color w:val="auto"/>
                <w:kern w:val="0"/>
                <w:sz w:val="24"/>
                <w:szCs w:val="24"/>
                <w:lang w:val="en-US" w:eastAsia="zh-CN" w:bidi="ar-SA"/>
              </w:rPr>
              <w:t>生态</w:t>
            </w:r>
            <w:r>
              <w:rPr>
                <w:rFonts w:hint="eastAsia" w:ascii="Times New Roman" w:hAnsi="Times New Roman" w:eastAsia="宋体" w:cs="Times New Roman"/>
                <w:color w:val="auto"/>
                <w:kern w:val="0"/>
                <w:sz w:val="24"/>
                <w:szCs w:val="24"/>
                <w:lang w:val="en-US" w:eastAsia="zh-CN" w:bidi="ar-SA"/>
              </w:rPr>
              <w:t>环境信息公开《寻甸县2024年第二季度环境质量公报》显示，</w:t>
            </w:r>
            <w:r>
              <w:rPr>
                <w:rFonts w:hint="eastAsia" w:cs="Times New Roman"/>
                <w:color w:val="auto"/>
                <w:kern w:val="0"/>
                <w:sz w:val="24"/>
                <w:szCs w:val="24"/>
                <w:lang w:val="en-US" w:eastAsia="zh-CN" w:bidi="ar-SA"/>
              </w:rPr>
              <w:t>牛栏江</w:t>
            </w:r>
            <w:r>
              <w:rPr>
                <w:rFonts w:hint="eastAsia" w:ascii="Times New Roman" w:hAnsi="Times New Roman" w:eastAsia="宋体" w:cs="Times New Roman"/>
                <w:color w:val="auto"/>
                <w:kern w:val="0"/>
                <w:sz w:val="24"/>
                <w:szCs w:val="24"/>
                <w:lang w:val="en-US" w:eastAsia="zh-CN" w:bidi="ar-SA"/>
              </w:rPr>
              <w:t>河口糯基桥断面水质类别为Ⅱ类，具体情况见图</w:t>
            </w:r>
            <w:r>
              <w:rPr>
                <w:rFonts w:hint="default" w:ascii="Times New Roman" w:hAnsi="Times New Roman" w:eastAsia="宋体" w:cs="Times New Roman"/>
                <w:color w:val="auto"/>
                <w:kern w:val="0"/>
                <w:sz w:val="24"/>
                <w:szCs w:val="24"/>
                <w:lang w:val="en-US" w:eastAsia="zh-CN" w:bidi="ar-SA"/>
              </w:rPr>
              <w:t>3-1</w:t>
            </w:r>
            <w:r>
              <w:rPr>
                <w:rFonts w:hint="eastAsia" w:ascii="Times New Roman" w:hAnsi="Times New Roman" w:eastAsia="宋体" w:cs="Times New Roman"/>
                <w:color w:val="auto"/>
                <w:kern w:val="0"/>
                <w:sz w:val="24"/>
                <w:szCs w:val="24"/>
                <w:lang w:val="en-US" w:eastAsia="zh-CN" w:bidi="ar-SA"/>
              </w:rPr>
              <w:t>。</w:t>
            </w:r>
          </w:p>
          <w:p w14:paraId="5B0C73AF">
            <w:pPr>
              <w:keepNext w:val="0"/>
              <w:keepLines w:val="0"/>
              <w:suppressLineNumbers w:val="0"/>
              <w:autoSpaceDE w:val="0"/>
              <w:autoSpaceDN w:val="0"/>
              <w:spacing w:before="0" w:beforeAutospacing="0" w:after="0" w:afterAutospacing="0" w:line="360" w:lineRule="auto"/>
              <w:ind w:left="0" w:right="0"/>
              <w:jc w:val="center"/>
              <w:rPr>
                <w:rFonts w:hint="eastAsia" w:ascii="Times New Roman" w:hAnsi="Times New Roman" w:eastAsia="宋体"/>
                <w:bCs/>
                <w:color w:val="auto"/>
                <w:sz w:val="24"/>
                <w:lang w:val="en-US" w:eastAsia="zh-CN"/>
              </w:rPr>
            </w:pPr>
            <w:r>
              <w:rPr>
                <w:rFonts w:hint="default"/>
                <w:color w:val="auto"/>
              </w:rPr>
              <w:drawing>
                <wp:inline distT="0" distB="0" distL="114300" distR="114300">
                  <wp:extent cx="4508500" cy="6020435"/>
                  <wp:effectExtent l="0" t="0" r="6350" b="184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2"/>
                          <a:stretch>
                            <a:fillRect/>
                          </a:stretch>
                        </pic:blipFill>
                        <pic:spPr>
                          <a:xfrm>
                            <a:off x="0" y="0"/>
                            <a:ext cx="4508500" cy="6020435"/>
                          </a:xfrm>
                          <a:prstGeom prst="rect">
                            <a:avLst/>
                          </a:prstGeom>
                          <a:noFill/>
                          <a:ln>
                            <a:noFill/>
                          </a:ln>
                        </pic:spPr>
                      </pic:pic>
                    </a:graphicData>
                  </a:graphic>
                </wp:inline>
              </w:drawing>
            </w:r>
          </w:p>
          <w:p w14:paraId="5496B188">
            <w:pPr>
              <w:keepNext w:val="0"/>
              <w:keepLines w:val="0"/>
              <w:widowControl/>
              <w:suppressLineNumbers w:val="0"/>
              <w:spacing w:before="0" w:beforeAutospacing="0" w:after="0" w:afterAutospacing="0"/>
              <w:ind w:left="0" w:right="0"/>
              <w:jc w:val="center"/>
              <w:rPr>
                <w:rFonts w:hint="default"/>
                <w:color w:val="auto"/>
                <w:sz w:val="21"/>
                <w:szCs w:val="21"/>
              </w:rPr>
            </w:pPr>
            <w:r>
              <w:rPr>
                <w:rFonts w:hint="eastAsia" w:ascii="宋体" w:hAnsi="宋体" w:eastAsia="宋体" w:cs="宋体"/>
                <w:b/>
                <w:bCs/>
                <w:color w:val="auto"/>
                <w:kern w:val="0"/>
                <w:sz w:val="21"/>
                <w:szCs w:val="21"/>
                <w:lang w:val="en-US" w:eastAsia="zh-CN" w:bidi="ar"/>
              </w:rPr>
              <w:t>图</w:t>
            </w:r>
            <w:r>
              <w:rPr>
                <w:rFonts w:hint="default" w:ascii="Times New Roman" w:hAnsi="Times New Roman" w:eastAsia="宋体" w:cs="Times New Roman"/>
                <w:b/>
                <w:bCs/>
                <w:color w:val="auto"/>
                <w:kern w:val="0"/>
                <w:sz w:val="21"/>
                <w:szCs w:val="21"/>
                <w:lang w:val="en-US" w:eastAsia="zh-CN" w:bidi="ar"/>
              </w:rPr>
              <w:t>3-1</w:t>
            </w:r>
            <w:r>
              <w:rPr>
                <w:rFonts w:hint="eastAsia" w:ascii="Times New Roman" w:hAnsi="Times New Roman" w:eastAsia="宋体" w:cs="Times New Roman"/>
                <w:b/>
                <w:bCs/>
                <w:color w:val="auto"/>
                <w:kern w:val="0"/>
                <w:sz w:val="21"/>
                <w:szCs w:val="21"/>
                <w:lang w:val="en-US" w:eastAsia="zh-CN" w:bidi="ar"/>
              </w:rPr>
              <w:t xml:space="preserve">  </w:t>
            </w:r>
            <w:r>
              <w:rPr>
                <w:rFonts w:hint="eastAsia" w:ascii="宋体" w:hAnsi="宋体" w:cs="宋体"/>
                <w:b/>
                <w:bCs/>
                <w:color w:val="auto"/>
                <w:kern w:val="0"/>
                <w:sz w:val="21"/>
                <w:szCs w:val="21"/>
                <w:lang w:val="en-US" w:eastAsia="zh-CN" w:bidi="ar"/>
              </w:rPr>
              <w:t>寻甸</w:t>
            </w:r>
            <w:r>
              <w:rPr>
                <w:rFonts w:hint="eastAsia" w:ascii="宋体" w:hAnsi="宋体" w:eastAsia="宋体" w:cs="宋体"/>
                <w:b/>
                <w:bCs/>
                <w:color w:val="auto"/>
                <w:kern w:val="0"/>
                <w:sz w:val="21"/>
                <w:szCs w:val="21"/>
                <w:lang w:val="en-US" w:eastAsia="zh-CN" w:bidi="ar"/>
              </w:rPr>
              <w:t>县</w:t>
            </w:r>
            <w:r>
              <w:rPr>
                <w:rFonts w:hint="default" w:ascii="Times New Roman" w:hAnsi="Times New Roman" w:eastAsia="宋体" w:cs="Times New Roman"/>
                <w:b/>
                <w:bCs/>
                <w:color w:val="auto"/>
                <w:kern w:val="0"/>
                <w:sz w:val="21"/>
                <w:szCs w:val="21"/>
                <w:lang w:val="en-US" w:eastAsia="zh-CN" w:bidi="ar"/>
              </w:rPr>
              <w:t>202</w:t>
            </w:r>
            <w:r>
              <w:rPr>
                <w:rFonts w:hint="eastAsia" w:cs="Times New Roman"/>
                <w:b/>
                <w:bCs/>
                <w:color w:val="auto"/>
                <w:kern w:val="0"/>
                <w:sz w:val="21"/>
                <w:szCs w:val="21"/>
                <w:lang w:val="en-US" w:eastAsia="zh-CN" w:bidi="ar"/>
              </w:rPr>
              <w:t>4</w:t>
            </w:r>
            <w:r>
              <w:rPr>
                <w:rFonts w:hint="eastAsia" w:ascii="宋体" w:hAnsi="宋体" w:eastAsia="宋体" w:cs="宋体"/>
                <w:b/>
                <w:bCs/>
                <w:color w:val="auto"/>
                <w:kern w:val="0"/>
                <w:sz w:val="21"/>
                <w:szCs w:val="21"/>
                <w:lang w:val="en-US" w:eastAsia="zh-CN" w:bidi="ar"/>
              </w:rPr>
              <w:t>年</w:t>
            </w:r>
            <w:r>
              <w:rPr>
                <w:rFonts w:hint="eastAsia" w:ascii="宋体" w:hAnsi="宋体" w:cs="宋体"/>
                <w:b/>
                <w:bCs/>
                <w:color w:val="auto"/>
                <w:kern w:val="0"/>
                <w:sz w:val="21"/>
                <w:szCs w:val="21"/>
                <w:lang w:val="en-US" w:eastAsia="zh-CN" w:bidi="ar"/>
              </w:rPr>
              <w:t>第二季度</w:t>
            </w:r>
            <w:r>
              <w:rPr>
                <w:rFonts w:hint="eastAsia" w:ascii="宋体" w:hAnsi="宋体" w:eastAsia="宋体" w:cs="宋体"/>
                <w:b/>
                <w:bCs/>
                <w:color w:val="auto"/>
                <w:kern w:val="0"/>
                <w:sz w:val="21"/>
                <w:szCs w:val="21"/>
                <w:lang w:val="en-US" w:eastAsia="zh-CN" w:bidi="ar"/>
              </w:rPr>
              <w:t>环境质量</w:t>
            </w:r>
            <w:r>
              <w:rPr>
                <w:rFonts w:hint="eastAsia" w:ascii="宋体" w:hAnsi="宋体" w:cs="宋体"/>
                <w:b/>
                <w:bCs/>
                <w:color w:val="auto"/>
                <w:kern w:val="0"/>
                <w:sz w:val="21"/>
                <w:szCs w:val="21"/>
                <w:lang w:val="en-US" w:eastAsia="zh-CN" w:bidi="ar"/>
              </w:rPr>
              <w:t>公报</w:t>
            </w:r>
            <w:r>
              <w:rPr>
                <w:rFonts w:hint="eastAsia" w:ascii="宋体" w:hAnsi="宋体" w:eastAsia="宋体" w:cs="宋体"/>
                <w:b/>
                <w:bCs/>
                <w:color w:val="auto"/>
                <w:kern w:val="0"/>
                <w:sz w:val="21"/>
                <w:szCs w:val="21"/>
                <w:lang w:val="en-US" w:eastAsia="zh-CN" w:bidi="ar"/>
              </w:rPr>
              <w:t>截图</w:t>
            </w:r>
          </w:p>
          <w:p w14:paraId="0F5726D2">
            <w:pPr>
              <w:keepNext w:val="0"/>
              <w:keepLines w:val="0"/>
              <w:suppressLineNumbers w:val="0"/>
              <w:autoSpaceDE w:val="0"/>
              <w:autoSpaceDN w:val="0"/>
              <w:spacing w:before="0" w:beforeAutospacing="0" w:after="0" w:afterAutospacing="0" w:line="360" w:lineRule="auto"/>
              <w:ind w:left="0" w:right="0" w:firstLine="480"/>
              <w:rPr>
                <w:rFonts w:hint="default" w:ascii="Times New Roman" w:hAnsi="Times New Roman" w:eastAsia="宋体"/>
                <w:bCs/>
                <w:color w:val="auto"/>
                <w:sz w:val="24"/>
                <w:lang w:val="en-US" w:eastAsia="zh-CN"/>
              </w:rPr>
            </w:pPr>
            <w:r>
              <w:rPr>
                <w:rFonts w:hint="eastAsia" w:cs="Times New Roman"/>
                <w:color w:val="auto"/>
                <w:kern w:val="0"/>
                <w:sz w:val="24"/>
                <w:szCs w:val="24"/>
                <w:lang w:val="en-US" w:eastAsia="zh-CN" w:bidi="ar-SA"/>
              </w:rPr>
              <w:t>综上，牛栏江</w:t>
            </w:r>
            <w:r>
              <w:rPr>
                <w:rFonts w:hint="eastAsia" w:ascii="Times New Roman" w:hAnsi="Times New Roman" w:eastAsia="宋体" w:cs="Times New Roman"/>
                <w:color w:val="auto"/>
                <w:kern w:val="0"/>
                <w:sz w:val="24"/>
                <w:szCs w:val="24"/>
                <w:lang w:val="en-US" w:eastAsia="zh-CN" w:bidi="ar-SA"/>
              </w:rPr>
              <w:t>河口糯基桥断面水质类别为Ⅱ类水</w:t>
            </w:r>
            <w:r>
              <w:rPr>
                <w:rFonts w:hint="eastAsia"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能满足</w:t>
            </w:r>
            <w:r>
              <w:rPr>
                <w:rFonts w:hint="eastAsia" w:ascii="Times New Roman" w:hAnsi="Times New Roman" w:eastAsia="宋体" w:cs="Times New Roman"/>
                <w:color w:val="auto"/>
                <w:kern w:val="0"/>
                <w:sz w:val="24"/>
                <w:szCs w:val="24"/>
                <w:lang w:val="en-US" w:eastAsia="zh-CN"/>
              </w:rPr>
              <w:t>《地表水环境质量标准》（</w:t>
            </w:r>
            <w:r>
              <w:rPr>
                <w:rFonts w:hint="default" w:ascii="Times New Roman" w:hAnsi="Times New Roman" w:eastAsia="宋体" w:cs="Times New Roman"/>
                <w:color w:val="auto"/>
                <w:kern w:val="0"/>
                <w:sz w:val="24"/>
                <w:szCs w:val="24"/>
                <w:lang w:val="en-US" w:eastAsia="zh-CN"/>
              </w:rPr>
              <w:t>GB3838-2002</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Ⅲ</w:t>
            </w:r>
            <w:r>
              <w:rPr>
                <w:rFonts w:hint="eastAsia" w:ascii="Times New Roman" w:hAnsi="Times New Roman" w:eastAsia="宋体" w:cs="Times New Roman"/>
                <w:color w:val="auto"/>
                <w:kern w:val="0"/>
                <w:sz w:val="24"/>
                <w:szCs w:val="24"/>
                <w:lang w:val="en-US" w:eastAsia="zh-CN"/>
              </w:rPr>
              <w:t>类标准</w:t>
            </w:r>
            <w:r>
              <w:rPr>
                <w:rFonts w:hint="eastAsia" w:cs="Times New Roman"/>
                <w:color w:val="auto"/>
                <w:kern w:val="0"/>
                <w:sz w:val="24"/>
                <w:szCs w:val="24"/>
                <w:lang w:val="en-US" w:eastAsia="zh-CN"/>
              </w:rPr>
              <w:t>。</w:t>
            </w:r>
            <w:r>
              <w:rPr>
                <w:rFonts w:hint="eastAsia" w:ascii="Times New Roman" w:hAnsi="Times New Roman" w:eastAsia="宋体" w:cs="Times New Roman"/>
                <w:color w:val="auto"/>
                <w:sz w:val="24"/>
                <w:lang w:val="en-US" w:eastAsia="zh-CN"/>
              </w:rPr>
              <w:t>项目所在区域内无较大的工业污染源分布，位于项目场区范围内的</w:t>
            </w:r>
            <w:r>
              <w:rPr>
                <w:rFonts w:hint="eastAsia" w:ascii="Times New Roman" w:hAnsi="Times New Roman" w:cs="Times New Roman"/>
                <w:color w:val="auto"/>
                <w:sz w:val="24"/>
                <w:szCs w:val="24"/>
                <w:lang w:val="en-US" w:eastAsia="zh-CN"/>
              </w:rPr>
              <w:t>牛栏江</w:t>
            </w:r>
            <w:r>
              <w:rPr>
                <w:rFonts w:hint="eastAsia" w:ascii="Times New Roman" w:hAnsi="Times New Roman" w:eastAsia="宋体" w:cs="Times New Roman"/>
                <w:color w:val="auto"/>
                <w:sz w:val="24"/>
                <w:lang w:val="en-US" w:eastAsia="zh-CN"/>
              </w:rPr>
              <w:t>支流</w:t>
            </w:r>
            <w:r>
              <w:rPr>
                <w:rFonts w:hint="eastAsia" w:cs="Times New Roman"/>
                <w:color w:val="auto"/>
                <w:sz w:val="24"/>
                <w:lang w:val="en-US" w:eastAsia="zh-CN"/>
              </w:rPr>
              <w:t>长地箐、</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cs="Times New Roman"/>
                <w:color w:val="auto"/>
                <w:kern w:val="0"/>
                <w:sz w:val="24"/>
                <w:szCs w:val="24"/>
                <w:lang w:val="en-US" w:eastAsia="zh-CN" w:bidi="ar-SA"/>
              </w:rPr>
              <w:t>、干河</w:t>
            </w:r>
            <w:r>
              <w:rPr>
                <w:rFonts w:hint="eastAsia" w:ascii="Times New Roman" w:hAnsi="Times New Roman" w:eastAsia="宋体" w:cs="Times New Roman"/>
                <w:bCs/>
                <w:color w:val="auto"/>
                <w:sz w:val="24"/>
                <w:szCs w:val="24"/>
                <w:highlight w:val="none"/>
                <w:lang w:val="en-US" w:eastAsia="zh-CN"/>
              </w:rPr>
              <w:t>水质状况良好</w:t>
            </w:r>
            <w:r>
              <w:rPr>
                <w:rFonts w:hint="eastAsia" w:ascii="Times New Roman" w:hAnsi="Times New Roman" w:eastAsia="宋体" w:cs="Times New Roman"/>
                <w:color w:val="auto"/>
                <w:sz w:val="24"/>
                <w:lang w:val="en-US" w:eastAsia="zh-CN"/>
              </w:rPr>
              <w:t>，属于水环境质量达标区。</w:t>
            </w:r>
          </w:p>
          <w:p w14:paraId="04F578A9">
            <w:pPr>
              <w:keepNext w:val="0"/>
              <w:keepLines w:val="0"/>
              <w:suppressLineNumbers w:val="0"/>
              <w:adjustRightInd w:val="0"/>
              <w:snapToGrid w:val="0"/>
              <w:spacing w:before="0" w:beforeAutospacing="0" w:after="0" w:afterAutospacing="0" w:line="360" w:lineRule="auto"/>
              <w:ind w:left="0" w:right="0"/>
              <w:jc w:val="left"/>
              <w:rPr>
                <w:rFonts w:hint="default"/>
                <w:b w:val="0"/>
                <w:bCs w:val="0"/>
                <w:color w:val="auto"/>
                <w:kern w:val="0"/>
                <w:sz w:val="24"/>
                <w:lang w:val="en-US" w:eastAsia="zh-CN"/>
              </w:rPr>
            </w:pPr>
            <w:r>
              <w:rPr>
                <w:rFonts w:hint="eastAsia"/>
                <w:b w:val="0"/>
                <w:bCs w:val="0"/>
                <w:color w:val="auto"/>
                <w:kern w:val="0"/>
                <w:sz w:val="24"/>
                <w:lang w:val="en-US" w:eastAsia="zh-CN"/>
              </w:rPr>
              <w:t xml:space="preserve">   （2）化桃箐水库水质现状</w:t>
            </w:r>
          </w:p>
          <w:p w14:paraId="4074F20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bCs/>
                <w:color w:val="auto"/>
                <w:kern w:val="0"/>
                <w:sz w:val="24"/>
                <w:szCs w:val="24"/>
                <w:lang w:val="en-US" w:eastAsia="zh-CN"/>
              </w:rPr>
            </w:pPr>
            <w:r>
              <w:rPr>
                <w:rFonts w:hint="eastAsia"/>
                <w:b w:val="0"/>
                <w:bCs w:val="0"/>
                <w:color w:val="auto"/>
                <w:kern w:val="0"/>
                <w:sz w:val="24"/>
                <w:szCs w:val="24"/>
                <w:lang w:val="en-US" w:eastAsia="zh-CN"/>
              </w:rPr>
              <w:t>化桃箐水库</w:t>
            </w:r>
            <w:r>
              <w:rPr>
                <w:rFonts w:hint="default"/>
                <w:color w:val="auto"/>
                <w:sz w:val="24"/>
                <w:szCs w:val="24"/>
              </w:rPr>
              <w:t>水质</w:t>
            </w:r>
            <w:r>
              <w:rPr>
                <w:rFonts w:hint="default" w:ascii="Times New Roman" w:hAnsi="Times New Roman" w:eastAsia="宋体" w:cs="Times New Roman"/>
                <w:b w:val="0"/>
                <w:bCs w:val="0"/>
                <w:color w:val="auto"/>
                <w:kern w:val="0"/>
                <w:sz w:val="24"/>
                <w:szCs w:val="24"/>
                <w:lang w:val="en-US" w:eastAsia="zh-CN"/>
              </w:rPr>
              <w:t>引用</w:t>
            </w:r>
            <w:r>
              <w:rPr>
                <w:rFonts w:hint="eastAsia"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b w:val="0"/>
                <w:bCs w:val="0"/>
                <w:color w:val="auto"/>
                <w:kern w:val="0"/>
                <w:sz w:val="24"/>
                <w:szCs w:val="24"/>
                <w:lang w:val="en-US" w:eastAsia="zh-CN"/>
              </w:rPr>
              <w:t>竹园沟光伏发电项目环境质量现状检测</w:t>
            </w:r>
            <w:r>
              <w:rPr>
                <w:rFonts w:hint="eastAsia" w:ascii="Times New Roman" w:hAnsi="Times New Roman" w:eastAsia="宋体" w:cs="Times New Roman"/>
                <w:b w:val="0"/>
                <w:bCs w:val="0"/>
                <w:color w:val="auto"/>
                <w:kern w:val="0"/>
                <w:sz w:val="24"/>
                <w:szCs w:val="24"/>
                <w:lang w:val="en-US" w:eastAsia="zh-CN"/>
              </w:rPr>
              <w:t>》（科环检字【2024】-0830002）中建设单位委托云南科环环境工程咨询有限公司于2024年9月16日至9月18日连续3天对</w:t>
            </w:r>
            <w:r>
              <w:rPr>
                <w:rFonts w:hint="eastAsia"/>
                <w:b w:val="0"/>
                <w:bCs w:val="0"/>
                <w:color w:val="auto"/>
                <w:kern w:val="0"/>
                <w:sz w:val="24"/>
                <w:szCs w:val="24"/>
                <w:lang w:val="en-US" w:eastAsia="zh-CN"/>
              </w:rPr>
              <w:t>化桃箐水库</w:t>
            </w:r>
            <w:r>
              <w:rPr>
                <w:rFonts w:hint="eastAsia"/>
                <w:color w:val="auto"/>
                <w:sz w:val="24"/>
                <w:szCs w:val="24"/>
              </w:rPr>
              <w:t>水质现状进行</w:t>
            </w:r>
            <w:r>
              <w:rPr>
                <w:rFonts w:hint="eastAsia"/>
                <w:color w:val="auto"/>
                <w:sz w:val="24"/>
                <w:szCs w:val="24"/>
                <w:lang w:eastAsia="zh-CN"/>
              </w:rPr>
              <w:t>的</w:t>
            </w:r>
            <w:r>
              <w:rPr>
                <w:rFonts w:hint="eastAsia"/>
                <w:color w:val="auto"/>
                <w:sz w:val="24"/>
                <w:szCs w:val="24"/>
              </w:rPr>
              <w:t>监测。</w:t>
            </w:r>
          </w:p>
          <w:p w14:paraId="68B7DC5C">
            <w:pPr>
              <w:keepNext w:val="0"/>
              <w:keepLines w:val="0"/>
              <w:suppressLineNumbers w:val="0"/>
              <w:autoSpaceDE w:val="0"/>
              <w:autoSpaceDN w:val="0"/>
              <w:adjustRightInd w:val="0"/>
              <w:spacing w:before="0" w:beforeAutospacing="0" w:after="0" w:afterAutospacing="0" w:line="360" w:lineRule="auto"/>
              <w:ind w:left="0" w:right="0" w:firstLine="470" w:firstLineChars="196"/>
              <w:jc w:val="left"/>
              <w:textAlignment w:val="baseline"/>
              <w:rPr>
                <w:rFonts w:hint="default"/>
                <w:b w:val="0"/>
                <w:bCs/>
                <w:color w:val="auto"/>
                <w:kern w:val="0"/>
                <w:sz w:val="24"/>
                <w:szCs w:val="24"/>
              </w:rPr>
            </w:pPr>
            <w:r>
              <w:rPr>
                <w:rFonts w:hint="eastAsia"/>
                <w:b w:val="0"/>
                <w:bCs/>
                <w:color w:val="auto"/>
                <w:sz w:val="24"/>
                <w:szCs w:val="24"/>
              </w:rPr>
              <w:t>监测项目：</w:t>
            </w:r>
            <w:r>
              <w:rPr>
                <w:rFonts w:hint="eastAsia"/>
                <w:b w:val="0"/>
                <w:bCs/>
                <w:color w:val="auto"/>
                <w:kern w:val="0"/>
                <w:sz w:val="24"/>
                <w:szCs w:val="24"/>
                <w:highlight w:val="none"/>
              </w:rPr>
              <w:t>p</w:t>
            </w:r>
            <w:r>
              <w:rPr>
                <w:rFonts w:hint="default"/>
                <w:b w:val="0"/>
                <w:bCs/>
                <w:color w:val="auto"/>
                <w:kern w:val="0"/>
                <w:sz w:val="24"/>
                <w:szCs w:val="24"/>
                <w:highlight w:val="none"/>
              </w:rPr>
              <w:t>H</w:t>
            </w:r>
            <w:r>
              <w:rPr>
                <w:rFonts w:hint="eastAsia"/>
                <w:b w:val="0"/>
                <w:bCs/>
                <w:color w:val="auto"/>
                <w:kern w:val="0"/>
                <w:sz w:val="24"/>
                <w:szCs w:val="24"/>
                <w:highlight w:val="none"/>
              </w:rPr>
              <w:t>、DO、</w:t>
            </w:r>
            <w:r>
              <w:rPr>
                <w:rFonts w:hint="default"/>
                <w:b w:val="0"/>
                <w:bCs/>
                <w:color w:val="auto"/>
                <w:kern w:val="0"/>
                <w:sz w:val="24"/>
                <w:szCs w:val="24"/>
                <w:highlight w:val="none"/>
              </w:rPr>
              <w:t>COD</w:t>
            </w:r>
            <w:r>
              <w:rPr>
                <w:rFonts w:hint="eastAsia"/>
                <w:b w:val="0"/>
                <w:bCs/>
                <w:color w:val="auto"/>
                <w:kern w:val="0"/>
                <w:sz w:val="24"/>
                <w:szCs w:val="24"/>
                <w:highlight w:val="none"/>
              </w:rPr>
              <w:t>、</w:t>
            </w:r>
            <w:r>
              <w:rPr>
                <w:rFonts w:hint="default"/>
                <w:b w:val="0"/>
                <w:bCs/>
                <w:color w:val="auto"/>
                <w:kern w:val="0"/>
                <w:sz w:val="24"/>
                <w:szCs w:val="24"/>
                <w:highlight w:val="none"/>
              </w:rPr>
              <w:t>BOD</w:t>
            </w:r>
            <w:r>
              <w:rPr>
                <w:rFonts w:hint="default"/>
                <w:b w:val="0"/>
                <w:bCs/>
                <w:color w:val="auto"/>
                <w:kern w:val="0"/>
                <w:sz w:val="24"/>
                <w:szCs w:val="24"/>
                <w:highlight w:val="none"/>
                <w:vertAlign w:val="subscript"/>
              </w:rPr>
              <w:t>5</w:t>
            </w:r>
            <w:r>
              <w:rPr>
                <w:rFonts w:hint="eastAsia"/>
                <w:b w:val="0"/>
                <w:bCs/>
                <w:color w:val="auto"/>
                <w:kern w:val="0"/>
                <w:sz w:val="24"/>
                <w:szCs w:val="24"/>
                <w:highlight w:val="none"/>
              </w:rPr>
              <w:t>、</w:t>
            </w:r>
            <w:r>
              <w:rPr>
                <w:rFonts w:hint="default"/>
                <w:b w:val="0"/>
                <w:bCs/>
                <w:color w:val="auto"/>
                <w:kern w:val="0"/>
                <w:sz w:val="24"/>
                <w:szCs w:val="24"/>
                <w:highlight w:val="none"/>
              </w:rPr>
              <w:t>NH</w:t>
            </w:r>
            <w:r>
              <w:rPr>
                <w:rFonts w:hint="default"/>
                <w:b w:val="0"/>
                <w:bCs/>
                <w:color w:val="auto"/>
                <w:kern w:val="0"/>
                <w:sz w:val="24"/>
                <w:szCs w:val="24"/>
                <w:highlight w:val="none"/>
                <w:vertAlign w:val="subscript"/>
              </w:rPr>
              <w:t>3</w:t>
            </w:r>
            <w:r>
              <w:rPr>
                <w:rFonts w:hint="default"/>
                <w:b w:val="0"/>
                <w:bCs/>
                <w:color w:val="auto"/>
                <w:kern w:val="0"/>
                <w:sz w:val="24"/>
                <w:szCs w:val="24"/>
                <w:highlight w:val="none"/>
              </w:rPr>
              <w:t>-N</w:t>
            </w:r>
            <w:r>
              <w:rPr>
                <w:rFonts w:hint="eastAsia"/>
                <w:b w:val="0"/>
                <w:bCs/>
                <w:color w:val="auto"/>
                <w:kern w:val="0"/>
                <w:sz w:val="24"/>
                <w:szCs w:val="24"/>
                <w:highlight w:val="none"/>
              </w:rPr>
              <w:t>、</w:t>
            </w:r>
            <w:r>
              <w:rPr>
                <w:rFonts w:hint="eastAsia"/>
                <w:b w:val="0"/>
                <w:bCs/>
                <w:color w:val="auto"/>
                <w:kern w:val="0"/>
                <w:sz w:val="24"/>
                <w:szCs w:val="24"/>
                <w:highlight w:val="none"/>
                <w:lang w:val="en-US" w:eastAsia="zh-CN"/>
              </w:rPr>
              <w:t>TN、</w:t>
            </w:r>
            <w:r>
              <w:rPr>
                <w:rFonts w:hint="default"/>
                <w:b w:val="0"/>
                <w:bCs/>
                <w:color w:val="auto"/>
                <w:kern w:val="0"/>
                <w:sz w:val="24"/>
                <w:szCs w:val="24"/>
                <w:highlight w:val="none"/>
              </w:rPr>
              <w:t>TP</w:t>
            </w:r>
            <w:r>
              <w:rPr>
                <w:rFonts w:hint="eastAsia"/>
                <w:b w:val="0"/>
                <w:bCs/>
                <w:color w:val="auto"/>
                <w:kern w:val="0"/>
                <w:sz w:val="24"/>
                <w:szCs w:val="24"/>
                <w:highlight w:val="none"/>
              </w:rPr>
              <w:t>、石油类</w:t>
            </w:r>
            <w:r>
              <w:rPr>
                <w:rFonts w:hint="eastAsia"/>
                <w:b w:val="0"/>
                <w:bCs/>
                <w:color w:val="auto"/>
                <w:sz w:val="24"/>
                <w:szCs w:val="24"/>
                <w:highlight w:val="none"/>
              </w:rPr>
              <w:t>。</w:t>
            </w:r>
          </w:p>
          <w:p w14:paraId="34C44177">
            <w:pPr>
              <w:keepNext w:val="0"/>
              <w:keepLines w:val="0"/>
              <w:suppressLineNumbers w:val="0"/>
              <w:adjustRightInd w:val="0"/>
              <w:spacing w:before="0" w:beforeAutospacing="0" w:after="0" w:afterAutospacing="0" w:line="360" w:lineRule="auto"/>
              <w:ind w:left="0" w:right="0" w:firstLine="482"/>
              <w:jc w:val="both"/>
              <w:textAlignment w:val="baseline"/>
              <w:rPr>
                <w:rFonts w:hint="default"/>
                <w:b w:val="0"/>
                <w:bCs/>
                <w:color w:val="auto"/>
                <w:sz w:val="24"/>
                <w:szCs w:val="24"/>
              </w:rPr>
            </w:pPr>
            <w:r>
              <w:rPr>
                <w:rFonts w:hint="eastAsia"/>
                <w:b w:val="0"/>
                <w:bCs/>
                <w:color w:val="auto"/>
                <w:sz w:val="24"/>
                <w:szCs w:val="24"/>
              </w:rPr>
              <w:t>监测布点：</w:t>
            </w:r>
            <w:r>
              <w:rPr>
                <w:rFonts w:hint="eastAsia" w:ascii="Times New Roman" w:hAnsi="Times New Roman"/>
                <w:b w:val="0"/>
                <w:bCs/>
                <w:color w:val="auto"/>
                <w:sz w:val="24"/>
                <w:szCs w:val="24"/>
                <w:highlight w:val="none"/>
                <w:lang w:val="en-US" w:eastAsia="zh-CN"/>
              </w:rPr>
              <w:t>化桃箐</w:t>
            </w:r>
            <w:r>
              <w:rPr>
                <w:rFonts w:hint="eastAsia" w:ascii="Times New Roman" w:hAnsi="Times New Roman"/>
                <w:b w:val="0"/>
                <w:bCs/>
                <w:color w:val="auto"/>
                <w:sz w:val="24"/>
                <w:szCs w:val="24"/>
                <w:lang w:val="en-US" w:eastAsia="zh-CN"/>
              </w:rPr>
              <w:t>水库坝址处布设1</w:t>
            </w:r>
            <w:r>
              <w:rPr>
                <w:rFonts w:hint="eastAsia" w:ascii="Times New Roman" w:hAnsi="Times New Roman"/>
                <w:b w:val="0"/>
                <w:bCs/>
                <w:color w:val="auto"/>
                <w:sz w:val="24"/>
                <w:szCs w:val="24"/>
              </w:rPr>
              <w:t>个监测点</w:t>
            </w:r>
            <w:r>
              <w:rPr>
                <w:rFonts w:hint="eastAsia"/>
                <w:b w:val="0"/>
                <w:bCs/>
                <w:color w:val="auto"/>
                <w:sz w:val="24"/>
                <w:szCs w:val="24"/>
              </w:rPr>
              <w:t>，监测点位见附图；</w:t>
            </w:r>
          </w:p>
          <w:p w14:paraId="2DBB033C">
            <w:pPr>
              <w:keepNext w:val="0"/>
              <w:keepLines w:val="0"/>
              <w:widowControl/>
              <w:suppressLineNumbers w:val="0"/>
              <w:adjustRightInd w:val="0"/>
              <w:snapToGrid w:val="0"/>
              <w:spacing w:before="0" w:beforeAutospacing="0" w:after="0" w:afterAutospacing="0" w:line="360" w:lineRule="auto"/>
              <w:ind w:left="0" w:right="0" w:firstLine="482"/>
              <w:jc w:val="left"/>
              <w:textAlignment w:val="baseline"/>
              <w:rPr>
                <w:rFonts w:hint="eastAsia"/>
                <w:b w:val="0"/>
                <w:bCs/>
                <w:color w:val="auto"/>
                <w:sz w:val="24"/>
                <w:szCs w:val="24"/>
              </w:rPr>
            </w:pPr>
            <w:r>
              <w:rPr>
                <w:rFonts w:hint="eastAsia"/>
                <w:b w:val="0"/>
                <w:bCs/>
                <w:color w:val="auto"/>
                <w:sz w:val="24"/>
                <w:szCs w:val="24"/>
              </w:rPr>
              <w:t>监测时间和频率：</w:t>
            </w:r>
            <w:r>
              <w:rPr>
                <w:rFonts w:hint="eastAsia"/>
                <w:b w:val="0"/>
                <w:bCs/>
                <w:color w:val="auto"/>
                <w:sz w:val="24"/>
                <w:szCs w:val="24"/>
                <w:highlight w:val="none"/>
              </w:rPr>
              <w:t>连续监测</w:t>
            </w:r>
            <w:r>
              <w:rPr>
                <w:rFonts w:hint="default"/>
                <w:b w:val="0"/>
                <w:bCs/>
                <w:color w:val="auto"/>
                <w:sz w:val="24"/>
                <w:szCs w:val="24"/>
                <w:highlight w:val="none"/>
              </w:rPr>
              <w:t>3</w:t>
            </w:r>
            <w:r>
              <w:rPr>
                <w:rFonts w:hint="eastAsia"/>
                <w:b w:val="0"/>
                <w:bCs/>
                <w:color w:val="auto"/>
                <w:sz w:val="24"/>
                <w:szCs w:val="24"/>
                <w:highlight w:val="none"/>
              </w:rPr>
              <w:t>天，每天一次</w:t>
            </w:r>
            <w:r>
              <w:rPr>
                <w:rFonts w:hint="eastAsia"/>
                <w:b w:val="0"/>
                <w:bCs/>
                <w:color w:val="auto"/>
                <w:sz w:val="24"/>
                <w:szCs w:val="24"/>
              </w:rPr>
              <w:t>；</w:t>
            </w:r>
          </w:p>
          <w:p w14:paraId="68D622D5">
            <w:pPr>
              <w:keepNext w:val="0"/>
              <w:keepLines w:val="0"/>
              <w:widowControl/>
              <w:suppressLineNumbers w:val="0"/>
              <w:adjustRightInd w:val="0"/>
              <w:snapToGrid w:val="0"/>
              <w:spacing w:before="0" w:beforeAutospacing="0" w:after="0" w:afterAutospacing="0" w:line="360" w:lineRule="auto"/>
              <w:ind w:left="0" w:right="0" w:firstLine="482"/>
              <w:jc w:val="left"/>
              <w:textAlignment w:val="baseline"/>
              <w:rPr>
                <w:rFonts w:hint="eastAsia" w:eastAsia="宋体" w:cs="Times New Roman"/>
                <w:b w:val="0"/>
                <w:bCs/>
                <w:color w:val="auto"/>
                <w:sz w:val="24"/>
                <w:szCs w:val="24"/>
                <w:lang w:eastAsia="zh-CN"/>
              </w:rPr>
            </w:pPr>
            <w:r>
              <w:rPr>
                <w:rFonts w:hint="eastAsia"/>
                <w:b w:val="0"/>
                <w:bCs/>
                <w:color w:val="auto"/>
                <w:sz w:val="24"/>
                <w:szCs w:val="24"/>
              </w:rPr>
              <w:t>执行标准：《地表水环境质量标准》（</w:t>
            </w:r>
            <w:r>
              <w:rPr>
                <w:rFonts w:hint="default"/>
                <w:b w:val="0"/>
                <w:bCs/>
                <w:color w:val="auto"/>
                <w:sz w:val="24"/>
                <w:szCs w:val="24"/>
              </w:rPr>
              <w:t>GB3838-2002</w:t>
            </w:r>
            <w:r>
              <w:rPr>
                <w:rFonts w:hint="eastAsia"/>
                <w:b w:val="0"/>
                <w:bCs/>
                <w:color w:val="auto"/>
                <w:sz w:val="24"/>
                <w:szCs w:val="24"/>
              </w:rPr>
              <w:t>）</w:t>
            </w:r>
            <w:r>
              <w:rPr>
                <w:rFonts w:hint="default" w:ascii="Times New Roman" w:hAnsi="Times New Roman" w:eastAsia="宋体" w:cs="Times New Roman"/>
                <w:b w:val="0"/>
                <w:bCs/>
                <w:color w:val="auto"/>
                <w:kern w:val="0"/>
                <w:sz w:val="24"/>
                <w:szCs w:val="24"/>
                <w:lang w:val="en-US" w:eastAsia="zh-CN"/>
              </w:rPr>
              <w:t>Ⅲ</w:t>
            </w:r>
            <w:r>
              <w:rPr>
                <w:rFonts w:hint="eastAsia"/>
                <w:b w:val="0"/>
                <w:bCs/>
                <w:color w:val="auto"/>
                <w:sz w:val="24"/>
                <w:szCs w:val="24"/>
              </w:rPr>
              <w:t>类标准</w:t>
            </w:r>
            <w:r>
              <w:rPr>
                <w:rFonts w:hint="eastAsia"/>
                <w:b w:val="0"/>
                <w:bCs/>
                <w:color w:val="auto"/>
                <w:sz w:val="24"/>
                <w:szCs w:val="24"/>
                <w:lang w:eastAsia="zh-CN"/>
              </w:rPr>
              <w:t>；</w:t>
            </w:r>
          </w:p>
          <w:p w14:paraId="0FD4A7BD">
            <w:pPr>
              <w:keepNext w:val="0"/>
              <w:keepLines w:val="0"/>
              <w:suppressLineNumbers w:val="0"/>
              <w:adjustRightInd w:val="0"/>
              <w:spacing w:before="0" w:beforeAutospacing="0" w:after="0" w:afterAutospacing="0" w:line="360" w:lineRule="auto"/>
              <w:ind w:left="0" w:right="0" w:firstLine="482"/>
              <w:jc w:val="both"/>
              <w:textAlignment w:val="baseline"/>
              <w:rPr>
                <w:rFonts w:hint="default" w:cs="Times New Roman"/>
                <w:color w:val="auto"/>
                <w:sz w:val="24"/>
                <w:szCs w:val="24"/>
              </w:rPr>
            </w:pPr>
            <w:r>
              <w:rPr>
                <w:rFonts w:hint="eastAsia" w:cs="Times New Roman"/>
                <w:b w:val="0"/>
                <w:bCs/>
                <w:color w:val="auto"/>
                <w:sz w:val="24"/>
                <w:szCs w:val="24"/>
              </w:rPr>
              <w:t>评价方法</w:t>
            </w:r>
            <w:r>
              <w:rPr>
                <w:rFonts w:hint="eastAsia" w:cs="Times New Roman"/>
                <w:b w:val="0"/>
                <w:bCs/>
                <w:color w:val="auto"/>
                <w:sz w:val="24"/>
                <w:szCs w:val="24"/>
                <w:lang w:eastAsia="zh-CN"/>
              </w:rPr>
              <w:t>：</w:t>
            </w:r>
            <w:r>
              <w:rPr>
                <w:rFonts w:hint="default" w:cs="Times New Roman"/>
                <w:color w:val="auto"/>
                <w:sz w:val="24"/>
                <w:szCs w:val="24"/>
              </w:rPr>
              <w:t>水质评价方法采用单因子指数评价。单项标准指数法如下：</w:t>
            </w:r>
          </w:p>
          <w:p w14:paraId="64AC6A00">
            <w:pPr>
              <w:keepNext w:val="0"/>
              <w:keepLines w:val="0"/>
              <w:widowControl/>
              <w:suppressLineNumbers w:val="0"/>
              <w:adjustRightInd w:val="0"/>
              <w:spacing w:before="0" w:beforeAutospacing="0" w:after="0" w:afterAutospacing="0" w:line="360" w:lineRule="auto"/>
              <w:ind w:left="0" w:right="0" w:firstLine="480"/>
              <w:jc w:val="left"/>
              <w:textAlignment w:val="baseline"/>
              <w:rPr>
                <w:rFonts w:hint="default" w:cs="Times New Roman"/>
                <w:color w:val="auto"/>
                <w:sz w:val="24"/>
                <w:szCs w:val="24"/>
              </w:rPr>
            </w:pPr>
            <w:bookmarkStart w:id="23" w:name="_Toc18001_WPSOffice_Level3"/>
            <w:bookmarkStart w:id="24" w:name="_Toc11734_WPSOffice_Level3"/>
            <w:bookmarkStart w:id="25" w:name="_Toc17158_WPSOffice_Level3"/>
            <w:bookmarkStart w:id="26" w:name="_Toc26641_WPSOffice_Level3"/>
            <w:bookmarkStart w:id="27" w:name="_Toc15829_WPSOffice_Level3"/>
            <w:bookmarkStart w:id="28" w:name="_Toc29063_WPSOffice_Level3"/>
            <w:r>
              <w:rPr>
                <w:rFonts w:hint="eastAsia" w:cs="Times New Roman"/>
                <w:color w:val="auto"/>
                <w:sz w:val="24"/>
                <w:szCs w:val="24"/>
              </w:rPr>
              <w:t>①</w:t>
            </w:r>
            <w:r>
              <w:rPr>
                <w:rFonts w:hint="default" w:cs="Times New Roman"/>
                <w:color w:val="auto"/>
                <w:sz w:val="24"/>
                <w:szCs w:val="24"/>
              </w:rPr>
              <w:t>一般污染物的指标指数</w:t>
            </w:r>
            <w:bookmarkEnd w:id="23"/>
            <w:bookmarkEnd w:id="24"/>
            <w:bookmarkEnd w:id="25"/>
            <w:bookmarkEnd w:id="26"/>
            <w:bookmarkEnd w:id="27"/>
            <w:bookmarkEnd w:id="28"/>
          </w:p>
          <w:p w14:paraId="14899E17">
            <w:pPr>
              <w:keepNext w:val="0"/>
              <w:keepLines w:val="0"/>
              <w:suppressLineNumbers w:val="0"/>
              <w:adjustRightInd w:val="0"/>
              <w:spacing w:before="0" w:beforeAutospacing="0" w:after="0" w:afterAutospacing="0" w:line="360" w:lineRule="auto"/>
              <w:ind w:left="0" w:right="0" w:firstLine="480"/>
              <w:jc w:val="center"/>
              <w:textAlignment w:val="baseline"/>
              <w:rPr>
                <w:rFonts w:hint="default" w:cs="Times New Roman"/>
                <w:color w:val="auto"/>
                <w:sz w:val="24"/>
                <w:szCs w:val="24"/>
              </w:rPr>
            </w:pPr>
            <w:r>
              <w:rPr>
                <w:rFonts w:hint="default" w:cs="Times New Roman"/>
                <w:color w:val="auto"/>
                <w:position w:val="-30"/>
                <w:sz w:val="24"/>
                <w:szCs w:val="24"/>
              </w:rPr>
              <w:object>
                <v:shape id="_x0000_i1025" o:spt="75" type="#_x0000_t75" style="height:33.75pt;width:39pt;" o:ole="t" filled="f" o:preferrelative="t" stroked="f" coordsize="21600,21600">
                  <v:path/>
                  <v:fill on="f" focussize="0,0"/>
                  <v:stroke on="f" joinstyle="miter"/>
                  <v:imagedata r:id="rId14" embosscolor="#FFFFFF" o:title=""/>
                  <o:lock v:ext="edit" aspectratio="t"/>
                  <w10:wrap type="none"/>
                  <w10:anchorlock/>
                </v:shape>
                <o:OLEObject Type="Embed" ProgID="Equation.3" ShapeID="_x0000_i1025" DrawAspect="Content" ObjectID="_1468075725" r:id="rId13">
                  <o:LockedField>false</o:LockedField>
                </o:OLEObject>
              </w:object>
            </w:r>
          </w:p>
          <w:p w14:paraId="764246C6">
            <w:pPr>
              <w:keepNext w:val="0"/>
              <w:keepLines w:val="0"/>
              <w:suppressLineNumbers w:val="0"/>
              <w:adjustRightInd w:val="0"/>
              <w:spacing w:before="0" w:beforeAutospacing="0" w:after="0" w:afterAutospacing="0" w:line="360" w:lineRule="auto"/>
              <w:ind w:left="0" w:right="0" w:firstLine="480"/>
              <w:jc w:val="both"/>
              <w:textAlignment w:val="baseline"/>
              <w:rPr>
                <w:rFonts w:hint="default" w:cs="Times New Roman"/>
                <w:color w:val="auto"/>
                <w:sz w:val="24"/>
                <w:szCs w:val="24"/>
              </w:rPr>
            </w:pPr>
            <w:r>
              <w:rPr>
                <w:rFonts w:hint="default" w:cs="Times New Roman"/>
                <w:color w:val="auto"/>
                <w:sz w:val="24"/>
                <w:szCs w:val="24"/>
              </w:rPr>
              <w:t>其中：I</w:t>
            </w:r>
            <w:r>
              <w:rPr>
                <w:rFonts w:hint="default" w:cs="Times New Roman"/>
                <w:color w:val="auto"/>
                <w:sz w:val="24"/>
                <w:szCs w:val="24"/>
                <w:vertAlign w:val="subscript"/>
              </w:rPr>
              <w:t>i</w:t>
            </w:r>
            <w:r>
              <w:rPr>
                <w:rFonts w:hint="default" w:cs="Times New Roman"/>
                <w:color w:val="auto"/>
                <w:sz w:val="24"/>
                <w:szCs w:val="24"/>
              </w:rPr>
              <w:t>——i污染物的标准指数；</w:t>
            </w:r>
          </w:p>
          <w:p w14:paraId="6366AE69">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s="Times New Roman"/>
                <w:color w:val="auto"/>
                <w:sz w:val="24"/>
                <w:szCs w:val="24"/>
              </w:rPr>
            </w:pPr>
            <w:r>
              <w:rPr>
                <w:rFonts w:hint="default" w:cs="Times New Roman"/>
                <w:color w:val="auto"/>
                <w:sz w:val="24"/>
                <w:szCs w:val="24"/>
              </w:rPr>
              <w:t>C</w:t>
            </w:r>
            <w:r>
              <w:rPr>
                <w:rFonts w:hint="default" w:cs="Times New Roman"/>
                <w:color w:val="auto"/>
                <w:sz w:val="24"/>
                <w:szCs w:val="24"/>
                <w:vertAlign w:val="subscript"/>
              </w:rPr>
              <w:t>i</w:t>
            </w:r>
            <w:r>
              <w:rPr>
                <w:rFonts w:hint="default" w:cs="Times New Roman"/>
                <w:color w:val="auto"/>
                <w:sz w:val="24"/>
                <w:szCs w:val="24"/>
              </w:rPr>
              <w:t>——i污染物的实测平均浓度（mg/l）</w:t>
            </w:r>
          </w:p>
          <w:p w14:paraId="6FAAA47C">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s="Times New Roman"/>
                <w:color w:val="auto"/>
                <w:sz w:val="24"/>
                <w:szCs w:val="24"/>
              </w:rPr>
            </w:pPr>
            <w:r>
              <w:rPr>
                <w:rFonts w:hint="default" w:cs="Times New Roman"/>
                <w:color w:val="auto"/>
                <w:sz w:val="24"/>
                <w:szCs w:val="24"/>
              </w:rPr>
              <w:t>C</w:t>
            </w:r>
            <w:r>
              <w:rPr>
                <w:rFonts w:hint="default" w:cs="Times New Roman"/>
                <w:color w:val="auto"/>
                <w:sz w:val="24"/>
                <w:szCs w:val="24"/>
                <w:vertAlign w:val="subscript"/>
              </w:rPr>
              <w:t>s</w:t>
            </w:r>
            <w:r>
              <w:rPr>
                <w:rFonts w:hint="default" w:cs="Times New Roman"/>
                <w:color w:val="auto"/>
                <w:sz w:val="24"/>
                <w:szCs w:val="24"/>
              </w:rPr>
              <w:t>——污染物i的评价标准（mg/l）</w:t>
            </w:r>
          </w:p>
          <w:p w14:paraId="540C96CB">
            <w:pPr>
              <w:keepNext w:val="0"/>
              <w:keepLines w:val="0"/>
              <w:suppressLineNumbers w:val="0"/>
              <w:adjustRightInd w:val="0"/>
              <w:spacing w:before="0" w:beforeAutospacing="0" w:after="0" w:afterAutospacing="0" w:line="360" w:lineRule="auto"/>
              <w:ind w:left="0" w:right="0" w:firstLine="480"/>
              <w:jc w:val="both"/>
              <w:textAlignment w:val="baseline"/>
              <w:rPr>
                <w:rFonts w:hint="default" w:cs="Times New Roman"/>
                <w:color w:val="auto"/>
                <w:sz w:val="24"/>
                <w:szCs w:val="24"/>
              </w:rPr>
            </w:pPr>
            <w:bookmarkStart w:id="29" w:name="_Toc228_WPSOffice_Level3"/>
            <w:bookmarkStart w:id="30" w:name="_Toc19560_WPSOffice_Level3"/>
            <w:bookmarkStart w:id="31" w:name="_Toc22849_WPSOffice_Level3"/>
            <w:bookmarkStart w:id="32" w:name="_Toc20400_WPSOffice_Level3"/>
            <w:bookmarkStart w:id="33" w:name="_Toc23435_WPSOffice_Level3"/>
            <w:bookmarkStart w:id="34" w:name="_Toc1874_WPSOffice_Level3"/>
            <w:r>
              <w:rPr>
                <w:rFonts w:hint="eastAsia" w:cs="Times New Roman"/>
                <w:color w:val="auto"/>
                <w:sz w:val="24"/>
                <w:szCs w:val="24"/>
              </w:rPr>
              <w:t>②</w:t>
            </w:r>
            <w:r>
              <w:rPr>
                <w:rFonts w:hint="default" w:cs="Times New Roman"/>
                <w:color w:val="auto"/>
                <w:sz w:val="24"/>
                <w:szCs w:val="24"/>
              </w:rPr>
              <w:t>pH的标准指数</w:t>
            </w:r>
            <w:bookmarkEnd w:id="29"/>
            <w:bookmarkEnd w:id="30"/>
            <w:bookmarkEnd w:id="31"/>
            <w:bookmarkEnd w:id="32"/>
            <w:bookmarkEnd w:id="33"/>
            <w:bookmarkEnd w:id="34"/>
          </w:p>
          <w:p w14:paraId="413A8121">
            <w:pPr>
              <w:keepNext w:val="0"/>
              <w:keepLines w:val="0"/>
              <w:suppressLineNumbers w:val="0"/>
              <w:adjustRightInd w:val="0"/>
              <w:spacing w:before="0" w:beforeAutospacing="0" w:after="0" w:afterAutospacing="0" w:line="360" w:lineRule="auto"/>
              <w:ind w:left="0" w:right="0" w:firstLine="900" w:firstLineChars="375"/>
              <w:jc w:val="center"/>
              <w:textAlignment w:val="baseline"/>
              <w:rPr>
                <w:rFonts w:hint="default" w:cs="Times New Roman"/>
                <w:color w:val="auto"/>
                <w:sz w:val="24"/>
                <w:szCs w:val="24"/>
              </w:rPr>
            </w:pPr>
            <w:r>
              <w:rPr>
                <w:rFonts w:hint="default" w:cs="Times New Roman"/>
                <w:color w:val="auto"/>
                <w:position w:val="-30"/>
                <w:sz w:val="24"/>
                <w:szCs w:val="24"/>
              </w:rPr>
              <w:object>
                <v:shape id="_x0000_i1026" o:spt="75" type="#_x0000_t75" style="height:34pt;width:93pt;" o:ole="t" filled="f" o:preferrelative="t" stroked="f" coordsize="21600,21600">
                  <v:path/>
                  <v:fill on="f" focussize="0,0"/>
                  <v:stroke on="f" joinstyle="miter"/>
                  <v:imagedata r:id="rId16" embosscolor="#FFFFFF" o:title=""/>
                  <o:lock v:ext="edit" aspectratio="t"/>
                  <w10:wrap type="none"/>
                  <w10:anchorlock/>
                </v:shape>
                <o:OLEObject Type="Embed" ProgID="Equation.3" ShapeID="_x0000_i1026" DrawAspect="Content" ObjectID="_1468075726" r:id="rId15">
                  <o:LockedField>false</o:LockedField>
                </o:OLEObject>
              </w:object>
            </w:r>
            <w:r>
              <w:rPr>
                <w:rFonts w:hint="default" w:cs="Times New Roman"/>
                <w:color w:val="auto"/>
                <w:sz w:val="24"/>
                <w:szCs w:val="24"/>
              </w:rPr>
              <w:t xml:space="preserve">       pH</w:t>
            </w:r>
            <w:r>
              <w:rPr>
                <w:rFonts w:hint="default" w:cs="Times New Roman"/>
                <w:color w:val="auto"/>
                <w:sz w:val="24"/>
                <w:szCs w:val="24"/>
                <w:vertAlign w:val="subscript"/>
              </w:rPr>
              <w:t>j</w:t>
            </w:r>
            <w:r>
              <w:rPr>
                <w:rFonts w:hint="default" w:cs="Times New Roman"/>
                <w:color w:val="auto"/>
                <w:sz w:val="24"/>
                <w:szCs w:val="24"/>
              </w:rPr>
              <w:t>≤7.0</w:t>
            </w:r>
          </w:p>
          <w:p w14:paraId="0184970A">
            <w:pPr>
              <w:keepNext w:val="0"/>
              <w:keepLines w:val="0"/>
              <w:suppressLineNumbers w:val="0"/>
              <w:adjustRightInd w:val="0"/>
              <w:spacing w:before="0" w:beforeAutospacing="0" w:after="0" w:afterAutospacing="0" w:line="360" w:lineRule="auto"/>
              <w:ind w:left="0" w:right="0" w:firstLine="900" w:firstLineChars="375"/>
              <w:jc w:val="center"/>
              <w:textAlignment w:val="baseline"/>
              <w:rPr>
                <w:rFonts w:hint="default" w:cs="Times New Roman"/>
                <w:color w:val="auto"/>
                <w:sz w:val="24"/>
                <w:szCs w:val="24"/>
              </w:rPr>
            </w:pPr>
            <w:r>
              <w:rPr>
                <w:rFonts w:hint="default" w:cs="Times New Roman"/>
                <w:color w:val="auto"/>
                <w:position w:val="-30"/>
                <w:sz w:val="24"/>
                <w:szCs w:val="24"/>
              </w:rPr>
              <w:object>
                <v:shape id="_x0000_i1027" o:spt="75" type="#_x0000_t75" style="height:34pt;width:93pt;" o:ole="t" filled="f" o:preferrelative="t" stroked="f" coordsize="21600,21600">
                  <v:path/>
                  <v:fill on="f" focussize="0,0"/>
                  <v:stroke on="f" joinstyle="miter"/>
                  <v:imagedata r:id="rId18" embosscolor="#FFFFFF" o:title=""/>
                  <o:lock v:ext="edit" aspectratio="t"/>
                  <w10:wrap type="none"/>
                  <w10:anchorlock/>
                </v:shape>
                <o:OLEObject Type="Embed" ProgID="Equation.3" ShapeID="_x0000_i1027" DrawAspect="Content" ObjectID="_1468075727" r:id="rId17">
                  <o:LockedField>false</o:LockedField>
                </o:OLEObject>
              </w:object>
            </w:r>
            <w:r>
              <w:rPr>
                <w:rFonts w:hint="default" w:cs="Times New Roman"/>
                <w:color w:val="auto"/>
                <w:sz w:val="24"/>
                <w:szCs w:val="24"/>
              </w:rPr>
              <w:t xml:space="preserve">       pH</w:t>
            </w:r>
            <w:r>
              <w:rPr>
                <w:rFonts w:hint="default" w:cs="Times New Roman"/>
                <w:color w:val="auto"/>
                <w:sz w:val="24"/>
                <w:szCs w:val="24"/>
                <w:vertAlign w:val="subscript"/>
              </w:rPr>
              <w:t>j</w:t>
            </w:r>
            <w:r>
              <w:rPr>
                <w:rFonts w:hint="default" w:cs="Times New Roman"/>
                <w:color w:val="auto"/>
                <w:sz w:val="24"/>
                <w:szCs w:val="24"/>
              </w:rPr>
              <w:t>&gt;7.0</w:t>
            </w:r>
          </w:p>
          <w:p w14:paraId="56021107">
            <w:pPr>
              <w:keepNext w:val="0"/>
              <w:keepLines w:val="0"/>
              <w:suppressLineNumbers w:val="0"/>
              <w:adjustRightInd w:val="0"/>
              <w:spacing w:before="0" w:beforeAutospacing="0" w:after="0" w:afterAutospacing="0" w:line="360" w:lineRule="auto"/>
              <w:ind w:left="0" w:right="0" w:firstLine="480"/>
              <w:jc w:val="both"/>
              <w:textAlignment w:val="baseline"/>
              <w:rPr>
                <w:rFonts w:hint="default" w:cs="Times New Roman"/>
                <w:color w:val="auto"/>
                <w:sz w:val="24"/>
                <w:szCs w:val="24"/>
              </w:rPr>
            </w:pPr>
            <w:r>
              <w:rPr>
                <w:rFonts w:hint="default" w:cs="Times New Roman"/>
                <w:color w:val="auto"/>
                <w:sz w:val="24"/>
                <w:szCs w:val="24"/>
              </w:rPr>
              <w:t>其中：</w:t>
            </w:r>
          </w:p>
          <w:p w14:paraId="0855468A">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s="Times New Roman"/>
                <w:color w:val="auto"/>
                <w:sz w:val="24"/>
                <w:szCs w:val="24"/>
              </w:rPr>
            </w:pPr>
            <w:r>
              <w:rPr>
                <w:rFonts w:hint="default" w:cs="Times New Roman"/>
                <w:color w:val="auto"/>
                <w:sz w:val="24"/>
                <w:szCs w:val="24"/>
              </w:rPr>
              <w:t>I</w:t>
            </w:r>
            <w:r>
              <w:rPr>
                <w:rFonts w:hint="default" w:cs="Times New Roman"/>
                <w:color w:val="auto"/>
                <w:sz w:val="24"/>
                <w:szCs w:val="24"/>
                <w:vertAlign w:val="subscript"/>
              </w:rPr>
              <w:t>pH，j</w:t>
            </w:r>
            <w:r>
              <w:rPr>
                <w:rFonts w:hint="default" w:cs="Times New Roman"/>
                <w:color w:val="auto"/>
                <w:sz w:val="24"/>
                <w:szCs w:val="24"/>
              </w:rPr>
              <w:t>——pH的标准指数，无量纲</w:t>
            </w:r>
          </w:p>
          <w:p w14:paraId="30C4E16D">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s="Times New Roman"/>
                <w:color w:val="auto"/>
                <w:sz w:val="24"/>
                <w:szCs w:val="24"/>
              </w:rPr>
            </w:pPr>
            <w:r>
              <w:rPr>
                <w:rFonts w:hint="default" w:cs="Times New Roman"/>
                <w:color w:val="auto"/>
                <w:sz w:val="24"/>
                <w:szCs w:val="24"/>
              </w:rPr>
              <w:t>pH</w:t>
            </w:r>
            <w:r>
              <w:rPr>
                <w:rFonts w:hint="default" w:cs="Times New Roman"/>
                <w:color w:val="auto"/>
                <w:sz w:val="24"/>
                <w:szCs w:val="24"/>
                <w:vertAlign w:val="subscript"/>
              </w:rPr>
              <w:t>h</w:t>
            </w:r>
            <w:r>
              <w:rPr>
                <w:rFonts w:hint="default" w:cs="Times New Roman"/>
                <w:color w:val="auto"/>
                <w:sz w:val="24"/>
                <w:szCs w:val="24"/>
              </w:rPr>
              <w:t>——采样点的pH值</w:t>
            </w:r>
          </w:p>
          <w:p w14:paraId="31BC6400">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s="Times New Roman"/>
                <w:color w:val="auto"/>
                <w:sz w:val="24"/>
                <w:szCs w:val="24"/>
              </w:rPr>
            </w:pPr>
            <w:r>
              <w:rPr>
                <w:rFonts w:hint="default" w:cs="Times New Roman"/>
                <w:color w:val="auto"/>
                <w:sz w:val="24"/>
                <w:szCs w:val="24"/>
              </w:rPr>
              <w:t>pH</w:t>
            </w:r>
            <w:r>
              <w:rPr>
                <w:rFonts w:hint="default" w:cs="Times New Roman"/>
                <w:color w:val="auto"/>
                <w:sz w:val="24"/>
                <w:szCs w:val="24"/>
                <w:vertAlign w:val="subscript"/>
              </w:rPr>
              <w:t>su</w:t>
            </w:r>
            <w:r>
              <w:rPr>
                <w:rFonts w:hint="default" w:cs="Times New Roman"/>
                <w:color w:val="auto"/>
                <w:sz w:val="24"/>
                <w:szCs w:val="24"/>
              </w:rPr>
              <w:t>——标准pH值的上限值</w:t>
            </w:r>
          </w:p>
          <w:p w14:paraId="1994E04C">
            <w:pPr>
              <w:keepNext w:val="0"/>
              <w:keepLines w:val="0"/>
              <w:suppressLineNumbers w:val="0"/>
              <w:adjustRightInd w:val="0"/>
              <w:spacing w:before="0" w:beforeAutospacing="0" w:after="0" w:afterAutospacing="0" w:line="360" w:lineRule="auto"/>
              <w:ind w:left="0" w:right="0" w:firstLine="1200" w:firstLineChars="500"/>
              <w:jc w:val="both"/>
              <w:textAlignment w:val="baseline"/>
              <w:rPr>
                <w:rFonts w:hint="default"/>
                <w:color w:val="auto"/>
                <w:sz w:val="24"/>
                <w:szCs w:val="24"/>
              </w:rPr>
            </w:pPr>
            <w:r>
              <w:rPr>
                <w:rFonts w:hint="default" w:cs="Times New Roman"/>
                <w:color w:val="auto"/>
                <w:sz w:val="24"/>
                <w:szCs w:val="24"/>
              </w:rPr>
              <w:t>pH</w:t>
            </w:r>
            <w:r>
              <w:rPr>
                <w:rFonts w:hint="default" w:cs="Times New Roman"/>
                <w:color w:val="auto"/>
                <w:sz w:val="24"/>
                <w:szCs w:val="24"/>
                <w:vertAlign w:val="subscript"/>
              </w:rPr>
              <w:t>sd</w:t>
            </w:r>
            <w:r>
              <w:rPr>
                <w:rFonts w:hint="default" w:cs="Times New Roman"/>
                <w:color w:val="auto"/>
                <w:sz w:val="24"/>
                <w:szCs w:val="24"/>
              </w:rPr>
              <w:t>——标准pH值的下限值。</w:t>
            </w:r>
          </w:p>
          <w:p w14:paraId="1ED84CE4">
            <w:pPr>
              <w:pStyle w:val="154"/>
              <w:keepNext w:val="0"/>
              <w:keepLines w:val="0"/>
              <w:suppressLineNumbers w:val="0"/>
              <w:adjustRightInd w:val="0"/>
              <w:spacing w:before="0" w:beforeAutospacing="0" w:after="0" w:afterAutospacing="0" w:line="360" w:lineRule="auto"/>
              <w:ind w:left="0" w:right="0" w:firstLine="480"/>
              <w:jc w:val="both"/>
              <w:textAlignment w:val="baseline"/>
              <w:rPr>
                <w:rFonts w:hint="default" w:cs="Times New Roman"/>
                <w:color w:val="auto"/>
                <w:sz w:val="24"/>
                <w:szCs w:val="24"/>
              </w:rPr>
            </w:pPr>
            <w:r>
              <w:rPr>
                <w:rFonts w:hint="eastAsia" w:cs="Times New Roman"/>
                <w:color w:val="auto"/>
                <w:sz w:val="24"/>
                <w:szCs w:val="24"/>
              </w:rPr>
              <w:t>③溶解氧</w:t>
            </w:r>
            <w:r>
              <w:rPr>
                <w:rFonts w:hint="default" w:cs="Times New Roman"/>
                <w:color w:val="auto"/>
                <w:sz w:val="24"/>
                <w:szCs w:val="24"/>
              </w:rPr>
              <w:t>的标准指数</w:t>
            </w:r>
          </w:p>
          <w:p w14:paraId="5B342201">
            <w:pPr>
              <w:pStyle w:val="154"/>
              <w:keepNext w:val="0"/>
              <w:keepLines w:val="0"/>
              <w:suppressLineNumbers w:val="0"/>
              <w:adjustRightInd w:val="0"/>
              <w:spacing w:before="0" w:beforeAutospacing="0" w:after="0" w:afterAutospacing="0"/>
              <w:ind w:left="0" w:right="0" w:firstLine="0" w:firstLineChars="0"/>
              <w:jc w:val="center"/>
              <w:textAlignment w:val="baseline"/>
              <w:rPr>
                <w:rFonts w:hint="default" w:cs="Times New Roman"/>
                <w:color w:val="auto"/>
              </w:rPr>
            </w:pPr>
            <w:r>
              <w:rPr>
                <w:rFonts w:hint="default"/>
                <w:color w:val="auto"/>
              </w:rPr>
              <w:drawing>
                <wp:inline distT="0" distB="0" distL="114300" distR="114300">
                  <wp:extent cx="1950720" cy="1181100"/>
                  <wp:effectExtent l="0" t="0" r="11430" b="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19"/>
                          <a:stretch>
                            <a:fillRect/>
                          </a:stretch>
                        </pic:blipFill>
                        <pic:spPr>
                          <a:xfrm>
                            <a:off x="0" y="0"/>
                            <a:ext cx="1950720" cy="1181100"/>
                          </a:xfrm>
                          <a:prstGeom prst="rect">
                            <a:avLst/>
                          </a:prstGeom>
                          <a:noFill/>
                          <a:ln w="9525">
                            <a:noFill/>
                            <a:miter/>
                          </a:ln>
                        </pic:spPr>
                      </pic:pic>
                    </a:graphicData>
                  </a:graphic>
                </wp:inline>
              </w:drawing>
            </w:r>
          </w:p>
          <w:p w14:paraId="11336D7B">
            <w:pPr>
              <w:keepNext w:val="0"/>
              <w:keepLines w:val="0"/>
              <w:suppressLineNumbers w:val="0"/>
              <w:adjustRightInd w:val="0"/>
              <w:spacing w:before="0" w:beforeAutospacing="0" w:after="0" w:afterAutospacing="0"/>
              <w:ind w:left="0" w:right="0" w:firstLine="480"/>
              <w:jc w:val="both"/>
              <w:textAlignment w:val="baseline"/>
              <w:rPr>
                <w:rFonts w:hint="default" w:cs="Times New Roman"/>
                <w:color w:val="auto"/>
              </w:rPr>
            </w:pPr>
            <w:r>
              <w:rPr>
                <w:rFonts w:hint="default" w:cs="Times New Roman"/>
                <w:color w:val="auto"/>
              </w:rPr>
              <w:t>其中：</w:t>
            </w:r>
          </w:p>
          <w:p w14:paraId="20409283">
            <w:pPr>
              <w:pStyle w:val="154"/>
              <w:keepNext w:val="0"/>
              <w:keepLines w:val="0"/>
              <w:suppressLineNumbers w:val="0"/>
              <w:adjustRightInd w:val="0"/>
              <w:spacing w:before="0" w:beforeAutospacing="0" w:after="0" w:afterAutospacing="0"/>
              <w:ind w:left="0" w:right="0" w:firstLine="0" w:firstLineChars="0"/>
              <w:jc w:val="center"/>
              <w:textAlignment w:val="baseline"/>
              <w:rPr>
                <w:rFonts w:hint="default"/>
                <w:b/>
                <w:bCs/>
                <w:color w:val="auto"/>
              </w:rPr>
            </w:pPr>
            <w:r>
              <w:rPr>
                <w:rFonts w:hint="default"/>
                <w:color w:val="auto"/>
              </w:rPr>
              <w:drawing>
                <wp:inline distT="0" distB="0" distL="114300" distR="114300">
                  <wp:extent cx="2000250" cy="695325"/>
                  <wp:effectExtent l="0" t="0" r="0" b="952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20"/>
                          <a:stretch>
                            <a:fillRect/>
                          </a:stretch>
                        </pic:blipFill>
                        <pic:spPr>
                          <a:xfrm>
                            <a:off x="0" y="0"/>
                            <a:ext cx="2000250" cy="695325"/>
                          </a:xfrm>
                          <a:prstGeom prst="rect">
                            <a:avLst/>
                          </a:prstGeom>
                          <a:noFill/>
                          <a:ln w="9525">
                            <a:noFill/>
                            <a:miter/>
                          </a:ln>
                        </pic:spPr>
                      </pic:pic>
                    </a:graphicData>
                  </a:graphic>
                </wp:inline>
              </w:drawing>
            </w:r>
          </w:p>
          <w:p w14:paraId="3AB712BA">
            <w:pPr>
              <w:pStyle w:val="154"/>
              <w:keepNext w:val="0"/>
              <w:keepLines w:val="0"/>
              <w:suppressLineNumbers w:val="0"/>
              <w:adjustRightInd w:val="0"/>
              <w:spacing w:before="0" w:beforeAutospacing="0" w:after="0" w:afterAutospacing="0" w:line="360" w:lineRule="auto"/>
              <w:ind w:left="0" w:right="0" w:firstLine="480"/>
              <w:jc w:val="both"/>
              <w:textAlignment w:val="baseline"/>
              <w:rPr>
                <w:rFonts w:hint="default"/>
                <w:color w:val="auto"/>
                <w:sz w:val="24"/>
                <w:szCs w:val="24"/>
              </w:rPr>
            </w:pPr>
            <w:r>
              <w:rPr>
                <w:rFonts w:hint="eastAsia"/>
                <w:color w:val="auto"/>
                <w:sz w:val="24"/>
                <w:szCs w:val="24"/>
              </w:rPr>
              <w:t>监测结果见表3-</w:t>
            </w:r>
            <w:r>
              <w:rPr>
                <w:rFonts w:hint="eastAsia"/>
                <w:color w:val="auto"/>
                <w:sz w:val="24"/>
                <w:szCs w:val="24"/>
                <w:lang w:val="en-US" w:eastAsia="zh-CN"/>
              </w:rPr>
              <w:t>6</w:t>
            </w:r>
            <w:r>
              <w:rPr>
                <w:rFonts w:hint="eastAsia"/>
                <w:color w:val="auto"/>
                <w:sz w:val="24"/>
                <w:szCs w:val="24"/>
              </w:rPr>
              <w:t>。</w:t>
            </w:r>
          </w:p>
          <w:p w14:paraId="57AC60EC">
            <w:pPr>
              <w:pStyle w:val="155"/>
              <w:keepNext w:val="0"/>
              <w:keepLines w:val="0"/>
              <w:suppressLineNumbers w:val="0"/>
              <w:adjustRightInd w:val="0"/>
              <w:spacing w:before="0" w:beforeAutospacing="0" w:after="0" w:afterAutospacing="0" w:line="240" w:lineRule="auto"/>
              <w:ind w:left="0" w:right="0"/>
              <w:textAlignment w:val="baseline"/>
              <w:rPr>
                <w:rFonts w:hint="default"/>
                <w:color w:val="auto"/>
                <w:sz w:val="21"/>
                <w:szCs w:val="21"/>
              </w:rPr>
            </w:pPr>
            <w:r>
              <w:rPr>
                <w:rFonts w:hint="eastAsia"/>
                <w:color w:val="auto"/>
                <w:sz w:val="21"/>
                <w:szCs w:val="21"/>
              </w:rPr>
              <w:t>表3-</w:t>
            </w:r>
            <w:r>
              <w:rPr>
                <w:rFonts w:hint="eastAsia"/>
                <w:color w:val="auto"/>
                <w:sz w:val="21"/>
                <w:szCs w:val="21"/>
                <w:lang w:val="en-US" w:eastAsia="zh-CN"/>
              </w:rPr>
              <w:t>6</w:t>
            </w:r>
            <w:r>
              <w:rPr>
                <w:rFonts w:hint="eastAsia"/>
                <w:color w:val="auto"/>
                <w:sz w:val="21"/>
                <w:szCs w:val="21"/>
              </w:rPr>
              <w:t xml:space="preserve">  </w:t>
            </w:r>
            <w:r>
              <w:rPr>
                <w:rFonts w:hint="eastAsia"/>
                <w:color w:val="auto"/>
                <w:sz w:val="21"/>
                <w:szCs w:val="21"/>
                <w:lang w:val="en-US" w:eastAsia="zh-CN"/>
              </w:rPr>
              <w:t>化桃箐水库</w:t>
            </w:r>
            <w:r>
              <w:rPr>
                <w:rFonts w:hint="eastAsia"/>
                <w:color w:val="auto"/>
                <w:sz w:val="21"/>
                <w:szCs w:val="21"/>
              </w:rPr>
              <w:t>水质状况评价表</w:t>
            </w:r>
          </w:p>
          <w:tbl>
            <w:tblPr>
              <w:tblStyle w:val="42"/>
              <w:tblW w:w="4996" w:type="pct"/>
              <w:tblInd w:w="0" w:type="dxa"/>
              <w:tblLayout w:type="fixed"/>
              <w:tblCellMar>
                <w:top w:w="0" w:type="dxa"/>
                <w:left w:w="0" w:type="dxa"/>
                <w:bottom w:w="0" w:type="dxa"/>
                <w:right w:w="0" w:type="dxa"/>
              </w:tblCellMar>
            </w:tblPr>
            <w:tblGrid>
              <w:gridCol w:w="583"/>
              <w:gridCol w:w="732"/>
              <w:gridCol w:w="594"/>
              <w:gridCol w:w="979"/>
              <w:gridCol w:w="1000"/>
              <w:gridCol w:w="1200"/>
              <w:gridCol w:w="773"/>
              <w:gridCol w:w="732"/>
              <w:gridCol w:w="670"/>
              <w:gridCol w:w="618"/>
            </w:tblGrid>
            <w:tr w14:paraId="0A7230FE">
              <w:tblPrEx>
                <w:tblCellMar>
                  <w:top w:w="0" w:type="dxa"/>
                  <w:left w:w="0" w:type="dxa"/>
                  <w:bottom w:w="0" w:type="dxa"/>
                  <w:right w:w="0" w:type="dxa"/>
                </w:tblCellMar>
              </w:tblPrEx>
              <w:trPr>
                <w:trHeight w:val="285" w:hRule="atLeast"/>
              </w:trPr>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65035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b/>
                      <w:bCs/>
                      <w:color w:val="auto"/>
                      <w:sz w:val="21"/>
                      <w:szCs w:val="21"/>
                    </w:rPr>
                    <w:t>采样</w:t>
                  </w:r>
                </w:p>
                <w:p w14:paraId="6EBD644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b/>
                      <w:bCs/>
                      <w:color w:val="auto"/>
                      <w:sz w:val="21"/>
                      <w:szCs w:val="21"/>
                    </w:rPr>
                    <w:t>点位</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BF7A4">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b/>
                      <w:bCs/>
                      <w:color w:val="auto"/>
                      <w:sz w:val="21"/>
                      <w:szCs w:val="21"/>
                    </w:rPr>
                    <w:t>检测</w:t>
                  </w:r>
                </w:p>
                <w:p w14:paraId="2188DDC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b/>
                      <w:bCs/>
                      <w:color w:val="auto"/>
                      <w:sz w:val="21"/>
                      <w:szCs w:val="21"/>
                    </w:rPr>
                    <w:t>项目</w:t>
                  </w:r>
                </w:p>
              </w:tc>
              <w:tc>
                <w:tcPr>
                  <w:tcW w:w="37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FF233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b/>
                      <w:bCs/>
                      <w:color w:val="auto"/>
                      <w:sz w:val="21"/>
                      <w:szCs w:val="21"/>
                    </w:rPr>
                    <w:t>单位</w:t>
                  </w:r>
                </w:p>
              </w:tc>
              <w:tc>
                <w:tcPr>
                  <w:tcW w:w="2016"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6B6A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监测结果</w:t>
                  </w:r>
                </w:p>
              </w:tc>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14CF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default" w:ascii="Times New Roman" w:hAnsi="Times New Roman" w:eastAsia="宋体" w:cs="Times New Roman"/>
                      <w:b w:val="0"/>
                      <w:bCs/>
                      <w:color w:val="auto"/>
                      <w:kern w:val="0"/>
                      <w:sz w:val="21"/>
                      <w:szCs w:val="21"/>
                      <w:lang w:val="en-US" w:eastAsia="zh-CN"/>
                    </w:rPr>
                    <w:t>Ⅲ</w:t>
                  </w:r>
                  <w:r>
                    <w:rPr>
                      <w:rFonts w:hint="eastAsia"/>
                      <w:b/>
                      <w:bCs/>
                      <w:color w:val="auto"/>
                      <w:sz w:val="21"/>
                      <w:szCs w:val="21"/>
                    </w:rPr>
                    <w:t>类</w:t>
                  </w:r>
                </w:p>
                <w:p w14:paraId="54A2084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标准</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8AF53">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最大标准指数</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170A7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最大超标倍数</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996F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达标</w:t>
                  </w:r>
                </w:p>
                <w:p w14:paraId="05B99CA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b/>
                      <w:bCs/>
                      <w:color w:val="auto"/>
                      <w:sz w:val="21"/>
                      <w:szCs w:val="21"/>
                    </w:rPr>
                  </w:pPr>
                  <w:r>
                    <w:rPr>
                      <w:rFonts w:hint="eastAsia"/>
                      <w:b/>
                      <w:bCs/>
                      <w:color w:val="auto"/>
                      <w:sz w:val="21"/>
                      <w:szCs w:val="21"/>
                    </w:rPr>
                    <w:t>情况</w:t>
                  </w:r>
                </w:p>
              </w:tc>
            </w:tr>
            <w:tr w14:paraId="2BC70B0F">
              <w:tblPrEx>
                <w:tblCellMar>
                  <w:top w:w="0" w:type="dxa"/>
                  <w:left w:w="0" w:type="dxa"/>
                  <w:bottom w:w="0" w:type="dxa"/>
                  <w:right w:w="0" w:type="dxa"/>
                </w:tblCellMar>
              </w:tblPrEx>
              <w:trPr>
                <w:trHeight w:val="28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73136">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2C18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37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05E2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34498">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b/>
                      <w:bCs/>
                      <w:color w:val="auto"/>
                      <w:sz w:val="21"/>
                      <w:szCs w:val="21"/>
                      <w:highlight w:val="none"/>
                      <w:lang w:eastAsia="zh-CN"/>
                    </w:rPr>
                  </w:pPr>
                  <w:r>
                    <w:rPr>
                      <w:rFonts w:hint="default"/>
                      <w:b/>
                      <w:bCs/>
                      <w:color w:val="auto"/>
                      <w:sz w:val="21"/>
                      <w:szCs w:val="21"/>
                      <w:highlight w:val="none"/>
                    </w:rPr>
                    <w:t>202</w:t>
                  </w:r>
                  <w:r>
                    <w:rPr>
                      <w:rFonts w:hint="eastAsia"/>
                      <w:b/>
                      <w:bCs/>
                      <w:color w:val="auto"/>
                      <w:sz w:val="21"/>
                      <w:szCs w:val="21"/>
                      <w:highlight w:val="none"/>
                      <w:lang w:val="en-US" w:eastAsia="zh-CN"/>
                    </w:rPr>
                    <w:t>4</w:t>
                  </w:r>
                  <w:r>
                    <w:rPr>
                      <w:rFonts w:hint="default"/>
                      <w:b/>
                      <w:bCs/>
                      <w:color w:val="auto"/>
                      <w:sz w:val="21"/>
                      <w:szCs w:val="21"/>
                      <w:highlight w:val="none"/>
                    </w:rPr>
                    <w:t>.0</w:t>
                  </w:r>
                  <w:r>
                    <w:rPr>
                      <w:rFonts w:hint="eastAsia"/>
                      <w:b/>
                      <w:bCs/>
                      <w:color w:val="auto"/>
                      <w:sz w:val="21"/>
                      <w:szCs w:val="21"/>
                      <w:highlight w:val="none"/>
                      <w:lang w:val="en-US" w:eastAsia="zh-CN"/>
                    </w:rPr>
                    <w:t>9</w:t>
                  </w:r>
                  <w:r>
                    <w:rPr>
                      <w:rFonts w:hint="default"/>
                      <w:b/>
                      <w:bCs/>
                      <w:color w:val="auto"/>
                      <w:sz w:val="21"/>
                      <w:szCs w:val="21"/>
                      <w:highlight w:val="none"/>
                    </w:rPr>
                    <w:t>.1</w:t>
                  </w:r>
                  <w:r>
                    <w:rPr>
                      <w:rFonts w:hint="eastAsia"/>
                      <w:b/>
                      <w:bCs/>
                      <w:color w:val="auto"/>
                      <w:sz w:val="21"/>
                      <w:szCs w:val="21"/>
                      <w:highlight w:val="none"/>
                      <w:lang w:val="en-US" w:eastAsia="zh-CN"/>
                    </w:rPr>
                    <w:t>6</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366F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b/>
                      <w:bCs/>
                      <w:color w:val="auto"/>
                      <w:sz w:val="21"/>
                      <w:szCs w:val="21"/>
                      <w:highlight w:val="none"/>
                      <w:lang w:eastAsia="zh-CN"/>
                    </w:rPr>
                  </w:pPr>
                  <w:r>
                    <w:rPr>
                      <w:rFonts w:hint="default"/>
                      <w:b/>
                      <w:bCs/>
                      <w:color w:val="auto"/>
                      <w:sz w:val="21"/>
                      <w:szCs w:val="21"/>
                      <w:highlight w:val="none"/>
                    </w:rPr>
                    <w:t>202</w:t>
                  </w:r>
                  <w:r>
                    <w:rPr>
                      <w:rFonts w:hint="eastAsia"/>
                      <w:b/>
                      <w:bCs/>
                      <w:color w:val="auto"/>
                      <w:sz w:val="21"/>
                      <w:szCs w:val="21"/>
                      <w:highlight w:val="none"/>
                      <w:lang w:val="en-US" w:eastAsia="zh-CN"/>
                    </w:rPr>
                    <w:t>4</w:t>
                  </w:r>
                  <w:r>
                    <w:rPr>
                      <w:rFonts w:hint="default"/>
                      <w:b/>
                      <w:bCs/>
                      <w:color w:val="auto"/>
                      <w:sz w:val="21"/>
                      <w:szCs w:val="21"/>
                      <w:highlight w:val="none"/>
                    </w:rPr>
                    <w:t>.0</w:t>
                  </w:r>
                  <w:r>
                    <w:rPr>
                      <w:rFonts w:hint="eastAsia"/>
                      <w:b/>
                      <w:bCs/>
                      <w:color w:val="auto"/>
                      <w:sz w:val="21"/>
                      <w:szCs w:val="21"/>
                      <w:highlight w:val="none"/>
                      <w:lang w:val="en-US" w:eastAsia="zh-CN"/>
                    </w:rPr>
                    <w:t>9</w:t>
                  </w:r>
                  <w:r>
                    <w:rPr>
                      <w:rFonts w:hint="default"/>
                      <w:b/>
                      <w:bCs/>
                      <w:color w:val="auto"/>
                      <w:sz w:val="21"/>
                      <w:szCs w:val="21"/>
                      <w:highlight w:val="none"/>
                    </w:rPr>
                    <w:t>.1</w:t>
                  </w:r>
                  <w:r>
                    <w:rPr>
                      <w:rFonts w:hint="eastAsia"/>
                      <w:b/>
                      <w:bCs/>
                      <w:color w:val="auto"/>
                      <w:sz w:val="21"/>
                      <w:szCs w:val="21"/>
                      <w:highlight w:val="none"/>
                      <w:lang w:val="en-US" w:eastAsia="zh-CN"/>
                    </w:rPr>
                    <w:t>7</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FB13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b/>
                      <w:bCs/>
                      <w:color w:val="auto"/>
                      <w:sz w:val="21"/>
                      <w:szCs w:val="21"/>
                      <w:highlight w:val="none"/>
                      <w:lang w:eastAsia="zh-CN"/>
                    </w:rPr>
                  </w:pPr>
                  <w:r>
                    <w:rPr>
                      <w:rFonts w:hint="default"/>
                      <w:b/>
                      <w:bCs/>
                      <w:color w:val="auto"/>
                      <w:sz w:val="21"/>
                      <w:szCs w:val="21"/>
                      <w:highlight w:val="none"/>
                    </w:rPr>
                    <w:t>202</w:t>
                  </w:r>
                  <w:r>
                    <w:rPr>
                      <w:rFonts w:hint="eastAsia"/>
                      <w:b/>
                      <w:bCs/>
                      <w:color w:val="auto"/>
                      <w:sz w:val="21"/>
                      <w:szCs w:val="21"/>
                      <w:highlight w:val="none"/>
                      <w:lang w:val="en-US" w:eastAsia="zh-CN"/>
                    </w:rPr>
                    <w:t>4</w:t>
                  </w:r>
                  <w:r>
                    <w:rPr>
                      <w:rFonts w:hint="default"/>
                      <w:b/>
                      <w:bCs/>
                      <w:color w:val="auto"/>
                      <w:sz w:val="21"/>
                      <w:szCs w:val="21"/>
                      <w:highlight w:val="none"/>
                    </w:rPr>
                    <w:t>.0</w:t>
                  </w:r>
                  <w:r>
                    <w:rPr>
                      <w:rFonts w:hint="eastAsia"/>
                      <w:b/>
                      <w:bCs/>
                      <w:color w:val="auto"/>
                      <w:sz w:val="21"/>
                      <w:szCs w:val="21"/>
                      <w:highlight w:val="none"/>
                      <w:lang w:val="en-US" w:eastAsia="zh-CN"/>
                    </w:rPr>
                    <w:t>9</w:t>
                  </w:r>
                  <w:r>
                    <w:rPr>
                      <w:rFonts w:hint="default"/>
                      <w:b/>
                      <w:bCs/>
                      <w:color w:val="auto"/>
                      <w:sz w:val="21"/>
                      <w:szCs w:val="21"/>
                      <w:highlight w:val="none"/>
                    </w:rPr>
                    <w:t>.1</w:t>
                  </w:r>
                  <w:r>
                    <w:rPr>
                      <w:rFonts w:hint="eastAsia"/>
                      <w:b/>
                      <w:bCs/>
                      <w:color w:val="auto"/>
                      <w:sz w:val="21"/>
                      <w:szCs w:val="21"/>
                      <w:highlight w:val="none"/>
                      <w:lang w:val="en-US" w:eastAsia="zh-CN"/>
                    </w:rPr>
                    <w:t>8</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EA2AC">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C0DD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C3C33">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E3723">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r>
            <w:tr w14:paraId="21249584">
              <w:tblPrEx>
                <w:tblCellMar>
                  <w:top w:w="0" w:type="dxa"/>
                  <w:left w:w="0" w:type="dxa"/>
                  <w:bottom w:w="0" w:type="dxa"/>
                  <w:right w:w="0" w:type="dxa"/>
                </w:tblCellMar>
              </w:tblPrEx>
              <w:trPr>
                <w:trHeight w:val="285" w:hRule="atLeast"/>
              </w:trPr>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3AE96">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b w:val="0"/>
                      <w:bCs/>
                      <w:color w:val="auto"/>
                      <w:sz w:val="21"/>
                      <w:szCs w:val="21"/>
                      <w:highlight w:val="none"/>
                      <w:lang w:val="en-US" w:eastAsia="zh-CN"/>
                    </w:rPr>
                    <w:t>化桃箐</w:t>
                  </w:r>
                  <w:r>
                    <w:rPr>
                      <w:rFonts w:hint="eastAsia" w:ascii="Times New Roman" w:hAnsi="Times New Roman"/>
                      <w:b w:val="0"/>
                      <w:bCs/>
                      <w:color w:val="auto"/>
                      <w:sz w:val="21"/>
                      <w:szCs w:val="21"/>
                      <w:lang w:val="en-US" w:eastAsia="zh-CN"/>
                    </w:rPr>
                    <w:t>水库坝址处</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1F0E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pH</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EDB71">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无量纲</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73364">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7.4</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C34F1">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7.4</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B930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auto"/>
                      <w:sz w:val="21"/>
                      <w:szCs w:val="21"/>
                      <w:lang w:val="en-US" w:eastAsia="zh-CN"/>
                    </w:rPr>
                  </w:pPr>
                  <w:r>
                    <w:rPr>
                      <w:rFonts w:hint="eastAsia"/>
                      <w:color w:val="auto"/>
                      <w:sz w:val="21"/>
                      <w:szCs w:val="21"/>
                      <w:lang w:val="en-US" w:eastAsia="zh-CN"/>
                    </w:rPr>
                    <w:t>7.2</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ED3A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6-9</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C8A0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auto"/>
                      <w:sz w:val="21"/>
                      <w:szCs w:val="21"/>
                      <w:lang w:val="en-US" w:eastAsia="zh-CN"/>
                    </w:rPr>
                  </w:pPr>
                  <w:r>
                    <w:rPr>
                      <w:rFonts w:hint="eastAsia"/>
                      <w:color w:val="auto"/>
                      <w:sz w:val="21"/>
                      <w:szCs w:val="21"/>
                      <w:lang w:val="en-US" w:eastAsia="zh-CN"/>
                    </w:rPr>
                    <w:t>0.2</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4639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B2B6A">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2E77ABFA">
              <w:tblPrEx>
                <w:tblCellMar>
                  <w:top w:w="0" w:type="dxa"/>
                  <w:left w:w="0" w:type="dxa"/>
                  <w:bottom w:w="0" w:type="dxa"/>
                  <w:right w:w="0" w:type="dxa"/>
                </w:tblCellMar>
              </w:tblPrEx>
              <w:trPr>
                <w:trHeight w:val="300"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493C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AEC98">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溶解氧</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132E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23B41">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5.4</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F5A9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5.7</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3CCBA">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5455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F9F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0.83</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75021">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300B4">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达标</w:t>
                  </w:r>
                </w:p>
              </w:tc>
            </w:tr>
            <w:tr w14:paraId="68E518C6">
              <w:tblPrEx>
                <w:tblCellMar>
                  <w:top w:w="0" w:type="dxa"/>
                  <w:left w:w="0" w:type="dxa"/>
                  <w:bottom w:w="0" w:type="dxa"/>
                  <w:right w:w="0" w:type="dxa"/>
                </w:tblCellMar>
              </w:tblPrEx>
              <w:trPr>
                <w:trHeight w:val="300"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65D5A">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0695C">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COD</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FAFC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1053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6</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FAB14">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7</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AF238">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7D7CC">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default" w:ascii="Times New Roman" w:hAnsi="Times New Roman" w:eastAsia="宋体" w:cs="Times New Roman"/>
                      <w:color w:val="auto"/>
                      <w:sz w:val="21"/>
                      <w:szCs w:val="21"/>
                    </w:rPr>
                    <w:t>≤20</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BDA45">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0.35</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09E3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F3014">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4ED9A27C">
              <w:tblPrEx>
                <w:tblCellMar>
                  <w:top w:w="0" w:type="dxa"/>
                  <w:left w:w="0" w:type="dxa"/>
                  <w:bottom w:w="0" w:type="dxa"/>
                  <w:right w:w="0" w:type="dxa"/>
                </w:tblCellMar>
              </w:tblPrEx>
              <w:trPr>
                <w:trHeight w:val="34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DE69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A565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BOD</w:t>
                  </w:r>
                  <w:r>
                    <w:rPr>
                      <w:rFonts w:hint="default"/>
                      <w:color w:val="auto"/>
                      <w:sz w:val="21"/>
                      <w:szCs w:val="21"/>
                      <w:vertAlign w:val="subscript"/>
                    </w:rPr>
                    <w:t>5</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8FDD8">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1FDF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C666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auto"/>
                      <w:sz w:val="21"/>
                      <w:szCs w:val="21"/>
                      <w:lang w:val="en-US" w:eastAsia="zh-CN"/>
                    </w:rPr>
                  </w:pPr>
                  <w:r>
                    <w:rPr>
                      <w:rFonts w:hint="eastAsia"/>
                      <w:color w:val="auto"/>
                      <w:sz w:val="21"/>
                      <w:szCs w:val="21"/>
                      <w:lang w:val="en-US" w:eastAsia="zh-CN"/>
                    </w:rPr>
                    <w:t>1.3</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66C3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auto"/>
                      <w:sz w:val="21"/>
                      <w:szCs w:val="21"/>
                      <w:lang w:val="en-US" w:eastAsia="zh-CN"/>
                    </w:rPr>
                  </w:pPr>
                  <w:r>
                    <w:rPr>
                      <w:rFonts w:hint="eastAsia"/>
                      <w:color w:val="auto"/>
                      <w:sz w:val="21"/>
                      <w:szCs w:val="21"/>
                      <w:lang w:val="en-US" w:eastAsia="zh-CN"/>
                    </w:rPr>
                    <w:t>1.5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036F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default" w:ascii="Times New Roman" w:hAnsi="Times New Roman" w:eastAsia="宋体" w:cs="Times New Roman"/>
                      <w:color w:val="auto"/>
                      <w:sz w:val="21"/>
                      <w:szCs w:val="21"/>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BD075">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0.375</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4081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C5BF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53BE8795">
              <w:tblPrEx>
                <w:tblCellMar>
                  <w:top w:w="0" w:type="dxa"/>
                  <w:left w:w="0" w:type="dxa"/>
                  <w:bottom w:w="0" w:type="dxa"/>
                  <w:right w:w="0" w:type="dxa"/>
                </w:tblCellMar>
              </w:tblPrEx>
              <w:trPr>
                <w:trHeight w:val="28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7ED9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2822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氨氮</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9D693">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AE25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0.068</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B87A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0.050</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0091A">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SA"/>
                    </w:rPr>
                    <w:t>0.056</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3EC5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default" w:ascii="Times New Roman" w:hAnsi="Times New Roman" w:eastAsia="宋体" w:cs="Times New Roman"/>
                      <w:color w:val="auto"/>
                      <w:sz w:val="21"/>
                      <w:szCs w:val="21"/>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858A2">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0.068</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7D45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3953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2A3D58FD">
              <w:tblPrEx>
                <w:tblCellMar>
                  <w:top w:w="0" w:type="dxa"/>
                  <w:left w:w="0" w:type="dxa"/>
                  <w:bottom w:w="0" w:type="dxa"/>
                  <w:right w:w="0" w:type="dxa"/>
                </w:tblCellMar>
              </w:tblPrEx>
              <w:trPr>
                <w:trHeight w:val="28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7A138">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FD60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1"/>
                      <w:szCs w:val="21"/>
                      <w:lang w:eastAsia="zh-CN"/>
                    </w:rPr>
                  </w:pPr>
                  <w:r>
                    <w:rPr>
                      <w:rFonts w:hint="default"/>
                      <w:color w:val="auto"/>
                      <w:sz w:val="21"/>
                      <w:szCs w:val="21"/>
                    </w:rPr>
                    <w:t>总</w:t>
                  </w:r>
                  <w:r>
                    <w:rPr>
                      <w:rFonts w:hint="eastAsia"/>
                      <w:color w:val="auto"/>
                      <w:sz w:val="21"/>
                      <w:szCs w:val="21"/>
                      <w:lang w:val="en-US" w:eastAsia="zh-CN"/>
                    </w:rPr>
                    <w:t>氮</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D340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8B28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0.72</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5C56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0.67</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DC28FC">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0.63</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93CE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default" w:ascii="Times New Roman" w:hAnsi="Times New Roman" w:eastAsia="宋体" w:cs="Times New Roman"/>
                      <w:color w:val="auto"/>
                      <w:sz w:val="21"/>
                      <w:szCs w:val="21"/>
                      <w:highlight w:val="none"/>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95CCC">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4F1A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FED2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075EC634">
              <w:tblPrEx>
                <w:tblCellMar>
                  <w:top w:w="0" w:type="dxa"/>
                  <w:left w:w="0" w:type="dxa"/>
                  <w:bottom w:w="0" w:type="dxa"/>
                  <w:right w:w="0" w:type="dxa"/>
                </w:tblCellMar>
              </w:tblPrEx>
              <w:trPr>
                <w:trHeight w:val="28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3BCA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5DB2B">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总磷</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A82B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F32C3">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0.01</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61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0.02</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0A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0.02</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5E8E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eastAsia"/>
                      <w:color w:val="auto"/>
                      <w:sz w:val="21"/>
                      <w:szCs w:val="21"/>
                      <w:highlight w:val="none"/>
                    </w:rPr>
                    <w:t>≤</w:t>
                  </w:r>
                  <w:r>
                    <w:rPr>
                      <w:rFonts w:hint="eastAsia" w:cs="Times New Roman"/>
                      <w:color w:val="auto"/>
                      <w:sz w:val="21"/>
                      <w:szCs w:val="21"/>
                      <w:highlight w:val="none"/>
                      <w:lang w:val="en-US" w:eastAsia="zh-CN"/>
                    </w:rPr>
                    <w:t>0.05</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FAA80">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A1E7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5C1B5">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达标</w:t>
                  </w:r>
                </w:p>
              </w:tc>
            </w:tr>
            <w:tr w14:paraId="71C7F4B8">
              <w:tblPrEx>
                <w:tblCellMar>
                  <w:top w:w="0" w:type="dxa"/>
                  <w:left w:w="0" w:type="dxa"/>
                  <w:bottom w:w="0" w:type="dxa"/>
                  <w:right w:w="0" w:type="dxa"/>
                </w:tblCellMar>
              </w:tblPrEx>
              <w:trPr>
                <w:trHeight w:val="285" w:hRule="atLeast"/>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B4E5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D64D2">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石油类</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69C11">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default"/>
                      <w:color w:val="auto"/>
                      <w:sz w:val="21"/>
                      <w:szCs w:val="21"/>
                    </w:rPr>
                    <w:t>mg/L</w:t>
                  </w:r>
                </w:p>
              </w:tc>
              <w:tc>
                <w:tcPr>
                  <w:tcW w:w="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FECFE">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0.01L</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E5316">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0.01L</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EE3DD">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ascii="Times New Roman" w:hAnsi="Times New Roman" w:eastAsia="宋体" w:cs="宋体"/>
                      <w:color w:val="auto"/>
                      <w:kern w:val="2"/>
                      <w:sz w:val="21"/>
                      <w:szCs w:val="21"/>
                      <w:lang w:val="en-US" w:eastAsia="zh-CN" w:bidi="ar-SA"/>
                    </w:rPr>
                    <w:t>0.01L</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4A0C0">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yellow"/>
                    </w:rPr>
                  </w:pPr>
                  <w:r>
                    <w:rPr>
                      <w:rFonts w:hint="default" w:ascii="Times New Roman" w:hAnsi="Times New Roman" w:eastAsia="宋体" w:cs="Times New Roman"/>
                      <w:color w:val="auto"/>
                      <w:sz w:val="21"/>
                      <w:szCs w:val="21"/>
                    </w:rPr>
                    <w:t>≤0.05</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27E0E">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F85D7">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93F6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rPr>
                  </w:pPr>
                  <w:r>
                    <w:rPr>
                      <w:rFonts w:hint="eastAsia"/>
                      <w:color w:val="auto"/>
                      <w:sz w:val="21"/>
                      <w:szCs w:val="21"/>
                    </w:rPr>
                    <w:t>达标</w:t>
                  </w:r>
                </w:p>
              </w:tc>
            </w:tr>
            <w:tr w14:paraId="49FE161B">
              <w:tblPrEx>
                <w:tblCellMar>
                  <w:top w:w="0" w:type="dxa"/>
                  <w:left w:w="0" w:type="dxa"/>
                  <w:bottom w:w="0" w:type="dxa"/>
                  <w:right w:w="0" w:type="dxa"/>
                </w:tblCellMar>
              </w:tblPrEx>
              <w:trPr>
                <w:trHeight w:val="28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37289">
                  <w:pPr>
                    <w:pStyle w:val="1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eastAsia="宋体"/>
                      <w:color w:val="auto"/>
                      <w:sz w:val="21"/>
                      <w:szCs w:val="21"/>
                      <w:lang w:val="en-US" w:eastAsia="zh-CN"/>
                    </w:rPr>
                  </w:pPr>
                  <w:r>
                    <w:rPr>
                      <w:rFonts w:hint="eastAsia"/>
                      <w:color w:val="auto"/>
                      <w:sz w:val="21"/>
                      <w:szCs w:val="21"/>
                      <w:lang w:val="en-US" w:eastAsia="zh-CN"/>
                    </w:rPr>
                    <w:t>备注：</w:t>
                  </w:r>
                  <w:r>
                    <w:rPr>
                      <w:rFonts w:hint="default" w:ascii="Times New Roman" w:hAnsi="Times New Roman" w:eastAsia="宋体" w:cs="宋体"/>
                      <w:color w:val="auto"/>
                      <w:kern w:val="2"/>
                      <w:sz w:val="21"/>
                      <w:szCs w:val="21"/>
                      <w:lang w:val="en-US" w:eastAsia="zh-CN" w:bidi="ar-SA"/>
                    </w:rPr>
                    <w:t>当检测结果低于方法检出限时，检测结果用“检出限+L”表示</w:t>
                  </w:r>
                </w:p>
              </w:tc>
            </w:tr>
          </w:tbl>
          <w:p w14:paraId="31B8EB99">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bCs/>
                <w:color w:val="auto"/>
                <w:kern w:val="0"/>
                <w:sz w:val="24"/>
                <w:szCs w:val="24"/>
                <w:lang w:val="en-US" w:eastAsia="zh-CN"/>
              </w:rPr>
            </w:pPr>
            <w:r>
              <w:rPr>
                <w:rFonts w:hint="eastAsia"/>
                <w:color w:val="auto"/>
                <w:sz w:val="24"/>
                <w:szCs w:val="24"/>
              </w:rPr>
              <w:t>由</w:t>
            </w:r>
            <w:r>
              <w:rPr>
                <w:rFonts w:hint="eastAsia"/>
                <w:color w:val="auto"/>
                <w:sz w:val="24"/>
                <w:szCs w:val="24"/>
                <w:lang w:val="en-US" w:eastAsia="zh-CN"/>
              </w:rPr>
              <w:t>上表</w:t>
            </w:r>
            <w:r>
              <w:rPr>
                <w:rFonts w:hint="eastAsia"/>
                <w:color w:val="auto"/>
                <w:sz w:val="24"/>
                <w:szCs w:val="24"/>
              </w:rPr>
              <w:t>可知，</w:t>
            </w:r>
            <w:r>
              <w:rPr>
                <w:rFonts w:hint="eastAsia"/>
                <w:color w:val="auto"/>
                <w:sz w:val="24"/>
                <w:szCs w:val="24"/>
                <w:lang w:val="en-US" w:eastAsia="zh-CN"/>
              </w:rPr>
              <w:t>化桃箐水库</w:t>
            </w:r>
            <w:r>
              <w:rPr>
                <w:rFonts w:hint="eastAsia"/>
                <w:color w:val="auto"/>
                <w:sz w:val="24"/>
                <w:szCs w:val="24"/>
              </w:rPr>
              <w:t>水质</w:t>
            </w:r>
            <w:r>
              <w:rPr>
                <w:rFonts w:hint="eastAsia"/>
                <w:color w:val="auto"/>
                <w:kern w:val="0"/>
                <w:sz w:val="24"/>
                <w:szCs w:val="24"/>
                <w:lang w:val="en-US" w:eastAsia="zh-CN"/>
              </w:rPr>
              <w:t>各监测</w:t>
            </w:r>
            <w:r>
              <w:rPr>
                <w:rFonts w:hint="eastAsia"/>
                <w:color w:val="auto"/>
                <w:kern w:val="0"/>
                <w:sz w:val="24"/>
                <w:szCs w:val="24"/>
              </w:rPr>
              <w:t>指标均能够达到</w:t>
            </w:r>
            <w:r>
              <w:rPr>
                <w:rFonts w:hint="eastAsia"/>
                <w:color w:val="auto"/>
                <w:sz w:val="24"/>
                <w:szCs w:val="24"/>
              </w:rPr>
              <w:t>《地表水环境质量标准》（</w:t>
            </w:r>
            <w:r>
              <w:rPr>
                <w:rFonts w:hint="default"/>
                <w:color w:val="auto"/>
                <w:sz w:val="24"/>
                <w:szCs w:val="24"/>
              </w:rPr>
              <w:t>GB3838-2002</w:t>
            </w:r>
            <w:r>
              <w:rPr>
                <w:rFonts w:hint="eastAsia"/>
                <w:color w:val="auto"/>
                <w:sz w:val="24"/>
                <w:szCs w:val="24"/>
              </w:rPr>
              <w:t>）</w:t>
            </w:r>
            <w:r>
              <w:rPr>
                <w:rFonts w:hint="default" w:ascii="Times New Roman" w:hAnsi="Times New Roman" w:eastAsia="宋体" w:cs="Times New Roman"/>
                <w:b w:val="0"/>
                <w:bCs/>
                <w:color w:val="auto"/>
                <w:kern w:val="0"/>
                <w:sz w:val="24"/>
                <w:szCs w:val="24"/>
                <w:lang w:val="en-US" w:eastAsia="zh-CN"/>
              </w:rPr>
              <w:t>Ⅲ</w:t>
            </w:r>
            <w:r>
              <w:rPr>
                <w:rFonts w:hint="eastAsia"/>
                <w:color w:val="auto"/>
                <w:sz w:val="24"/>
                <w:szCs w:val="24"/>
              </w:rPr>
              <w:t>类标准。</w:t>
            </w:r>
          </w:p>
          <w:p w14:paraId="0AA3932E">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auto"/>
                <w:kern w:val="0"/>
                <w:sz w:val="24"/>
              </w:rPr>
            </w:pPr>
            <w:r>
              <w:rPr>
                <w:rFonts w:hint="eastAsia"/>
                <w:b/>
                <w:bCs/>
                <w:color w:val="auto"/>
                <w:kern w:val="0"/>
                <w:sz w:val="24"/>
                <w:lang w:val="en-US" w:eastAsia="zh-CN"/>
              </w:rPr>
              <w:t>6</w:t>
            </w:r>
            <w:r>
              <w:rPr>
                <w:rFonts w:hint="eastAsia"/>
                <w:b/>
                <w:bCs/>
                <w:color w:val="auto"/>
                <w:kern w:val="0"/>
                <w:sz w:val="24"/>
              </w:rPr>
              <w:t>、</w:t>
            </w:r>
            <w:r>
              <w:rPr>
                <w:rFonts w:hint="default"/>
                <w:b/>
                <w:bCs/>
                <w:color w:val="auto"/>
                <w:kern w:val="0"/>
                <w:sz w:val="24"/>
              </w:rPr>
              <w:t>大气环境质量现状</w:t>
            </w:r>
          </w:p>
          <w:p w14:paraId="761BFB4E">
            <w:pPr>
              <w:keepNext w:val="0"/>
              <w:keepLines w:val="0"/>
              <w:suppressLineNumbers w:val="0"/>
              <w:autoSpaceDE w:val="0"/>
              <w:autoSpaceDN w:val="0"/>
              <w:spacing w:before="0" w:beforeAutospacing="0" w:after="0" w:afterAutospacing="0" w:line="360" w:lineRule="auto"/>
              <w:ind w:left="0" w:right="0" w:firstLine="480"/>
              <w:rPr>
                <w:rFonts w:hint="eastAsia" w:ascii="Times New Roman" w:hAnsi="Times New Roman" w:eastAsia="宋体"/>
                <w:bCs/>
                <w:color w:val="auto"/>
                <w:sz w:val="24"/>
                <w:lang w:eastAsia="zh-CN"/>
              </w:rPr>
            </w:pPr>
            <w:r>
              <w:rPr>
                <w:rFonts w:hint="default" w:ascii="Times New Roman" w:hAnsi="Times New Roman" w:eastAsia="宋体"/>
                <w:bCs/>
                <w:color w:val="auto"/>
                <w:sz w:val="24"/>
              </w:rPr>
              <w:t>据现场调查，项目区为农村</w:t>
            </w:r>
            <w:r>
              <w:rPr>
                <w:rFonts w:hint="eastAsia" w:ascii="Times New Roman" w:hAnsi="Times New Roman" w:eastAsia="宋体"/>
                <w:bCs/>
                <w:color w:val="auto"/>
                <w:sz w:val="24"/>
              </w:rPr>
              <w:t>区域，</w:t>
            </w:r>
            <w:r>
              <w:rPr>
                <w:rFonts w:hint="default" w:ascii="Times New Roman" w:hAnsi="Times New Roman" w:eastAsia="宋体"/>
                <w:bCs/>
                <w:color w:val="auto"/>
                <w:sz w:val="24"/>
              </w:rPr>
              <w:t>环境空气质量功能区划属于二类区，区域环境空气质量执行《环境空气质量标准》（GB3095-2012）</w:t>
            </w:r>
            <w:r>
              <w:rPr>
                <w:rFonts w:hint="eastAsia" w:ascii="Times New Roman" w:hAnsi="Times New Roman" w:eastAsia="宋体"/>
                <w:bCs/>
                <w:color w:val="auto"/>
                <w:sz w:val="24"/>
                <w:lang w:val="en-US" w:eastAsia="zh-CN"/>
              </w:rPr>
              <w:t>及修改单</w:t>
            </w:r>
            <w:r>
              <w:rPr>
                <w:rFonts w:hint="default" w:ascii="Times New Roman" w:hAnsi="Times New Roman" w:eastAsia="宋体"/>
                <w:bCs/>
                <w:color w:val="auto"/>
                <w:sz w:val="24"/>
              </w:rPr>
              <w:t>二级标准</w:t>
            </w:r>
            <w:r>
              <w:rPr>
                <w:rFonts w:hint="eastAsia" w:ascii="Times New Roman" w:hAnsi="Times New Roman" w:eastAsia="宋体"/>
                <w:bCs/>
                <w:color w:val="auto"/>
                <w:sz w:val="24"/>
                <w:lang w:eastAsia="zh-CN"/>
              </w:rPr>
              <w:t>。</w:t>
            </w:r>
            <w:r>
              <w:rPr>
                <w:rFonts w:hint="eastAsia"/>
                <w:bCs/>
                <w:color w:val="auto"/>
                <w:sz w:val="24"/>
              </w:rPr>
              <w:t>根据《环境影响评价技术导则</w:t>
            </w:r>
            <w:r>
              <w:rPr>
                <w:rFonts w:hint="eastAsia"/>
                <w:bCs/>
                <w:color w:val="auto"/>
                <w:sz w:val="24"/>
                <w:lang w:val="en-US" w:eastAsia="zh-CN"/>
              </w:rPr>
              <w:t xml:space="preserve"> </w:t>
            </w:r>
            <w:r>
              <w:rPr>
                <w:rFonts w:hint="eastAsia"/>
                <w:bCs/>
                <w:color w:val="auto"/>
                <w:sz w:val="24"/>
              </w:rPr>
              <w:t>大气环境》（HJ2.2-2018），应调查所在区域环境质量达标情况。</w:t>
            </w:r>
          </w:p>
          <w:p w14:paraId="0B2EBDF4">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根据《202</w:t>
            </w:r>
            <w:r>
              <w:rPr>
                <w:rFonts w:hint="eastAsia" w:ascii="Times New Roman" w:hAnsi="Times New Roman" w:eastAsia="宋体"/>
                <w:color w:val="auto"/>
                <w:sz w:val="24"/>
                <w:lang w:val="en-US" w:eastAsia="zh-CN"/>
              </w:rPr>
              <w:t>3</w:t>
            </w:r>
            <w:r>
              <w:rPr>
                <w:rFonts w:hint="eastAsia" w:ascii="Times New Roman" w:hAnsi="Times New Roman" w:eastAsia="宋体"/>
                <w:color w:val="auto"/>
                <w:sz w:val="24"/>
                <w:lang w:eastAsia="zh-CN"/>
              </w:rPr>
              <w:t>年度昆明市生态环境状况公报</w:t>
            </w:r>
            <w:r>
              <w:rPr>
                <w:rFonts w:hint="eastAsia" w:ascii="Times New Roman" w:hAnsi="Times New Roman" w:eastAsia="宋体"/>
                <w:color w:val="auto"/>
                <w:sz w:val="24"/>
              </w:rPr>
              <w:t>》，昆明市主城区环境空气优良率97.53%，其中优189天、良167天。与2022年相比，优级天数减少57天，各项污染物均达到二级空气质量日均值（臭氧为日最大8小时平均）标准。各县（市）区环境空气质量总体保持良好，各项污染物平均浓度均达到二级空气质量标准。与2022年相比，各县（市）区环境空气综合污染指数均上升。</w:t>
            </w:r>
          </w:p>
          <w:p w14:paraId="52F54DB5">
            <w:pPr>
              <w:pStyle w:val="9"/>
              <w:keepNext w:val="0"/>
              <w:keepLines w:val="0"/>
              <w:suppressLineNumbers w:val="0"/>
              <w:adjustRightInd w:val="0"/>
              <w:spacing w:before="0" w:beforeAutospacing="0" w:after="0" w:afterAutospacing="0" w:line="360" w:lineRule="auto"/>
              <w:ind w:left="0" w:leftChars="0" w:right="0" w:firstLine="480" w:firstLineChars="200"/>
              <w:rPr>
                <w:rFonts w:hint="default" w:ascii="Times New Roman" w:hAnsi="Times New Roman" w:eastAsia="宋体"/>
                <w:iCs/>
                <w:color w:val="auto"/>
                <w:sz w:val="24"/>
              </w:rPr>
            </w:pPr>
            <w:r>
              <w:rPr>
                <w:rFonts w:hint="eastAsia"/>
                <w:color w:val="auto"/>
                <w:sz w:val="24"/>
              </w:rPr>
              <w:t>本项目位于农村地区，所在区域无大型工业污染源，环境空气质量优于公报中寻甸县城监测点的空气质量，因此，</w:t>
            </w:r>
            <w:r>
              <w:rPr>
                <w:rFonts w:hint="default"/>
                <w:color w:val="auto"/>
                <w:sz w:val="24"/>
              </w:rPr>
              <w:t>判定本区域为</w:t>
            </w:r>
            <w:r>
              <w:rPr>
                <w:rFonts w:hint="eastAsia"/>
                <w:color w:val="auto"/>
                <w:sz w:val="24"/>
              </w:rPr>
              <w:t>环境空气质量</w:t>
            </w:r>
            <w:r>
              <w:rPr>
                <w:rFonts w:hint="default"/>
                <w:color w:val="auto"/>
                <w:sz w:val="24"/>
              </w:rPr>
              <w:t>达标区域</w:t>
            </w:r>
            <w:r>
              <w:rPr>
                <w:rFonts w:hint="eastAsia"/>
                <w:color w:val="auto"/>
                <w:sz w:val="24"/>
              </w:rPr>
              <w:t>。</w:t>
            </w:r>
          </w:p>
          <w:p w14:paraId="4DA0FDC6">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auto"/>
                <w:kern w:val="0"/>
                <w:sz w:val="24"/>
              </w:rPr>
            </w:pPr>
            <w:r>
              <w:rPr>
                <w:rFonts w:hint="eastAsia"/>
                <w:b/>
                <w:bCs/>
                <w:color w:val="auto"/>
                <w:kern w:val="0"/>
                <w:sz w:val="24"/>
                <w:lang w:val="en-US" w:eastAsia="zh-CN"/>
              </w:rPr>
              <w:t>7</w:t>
            </w:r>
            <w:r>
              <w:rPr>
                <w:rFonts w:hint="eastAsia"/>
                <w:b/>
                <w:bCs/>
                <w:color w:val="auto"/>
                <w:kern w:val="0"/>
                <w:sz w:val="24"/>
              </w:rPr>
              <w:t>、</w:t>
            </w:r>
            <w:r>
              <w:rPr>
                <w:rFonts w:hint="default"/>
                <w:b/>
                <w:bCs/>
                <w:color w:val="auto"/>
                <w:kern w:val="0"/>
                <w:sz w:val="24"/>
              </w:rPr>
              <w:t>声环境现状</w:t>
            </w:r>
          </w:p>
          <w:p w14:paraId="10C28F53">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项目位于</w:t>
            </w:r>
            <w:r>
              <w:rPr>
                <w:rFonts w:hint="eastAsia" w:ascii="宋体" w:hAnsi="宋体" w:cs="宋体"/>
                <w:color w:val="auto"/>
                <w:kern w:val="0"/>
                <w:sz w:val="24"/>
                <w:szCs w:val="24"/>
                <w:lang w:val="en-US" w:eastAsia="zh-CN" w:bidi="ar"/>
              </w:rPr>
              <w:t>云南省昆明市寻甸回族彝族自治县河口镇、功山镇境内</w:t>
            </w:r>
            <w:r>
              <w:rPr>
                <w:rFonts w:hint="eastAsia"/>
                <w:color w:val="auto"/>
                <w:sz w:val="24"/>
              </w:rPr>
              <w:t>，属于</w:t>
            </w:r>
            <w:r>
              <w:rPr>
                <w:rFonts w:hint="eastAsia"/>
                <w:color w:val="auto"/>
                <w:sz w:val="24"/>
                <w:highlight w:val="none"/>
              </w:rPr>
              <w:t>农村地区</w:t>
            </w:r>
            <w:r>
              <w:rPr>
                <w:rFonts w:hint="eastAsia"/>
                <w:color w:val="auto"/>
                <w:sz w:val="24"/>
              </w:rPr>
              <w:t>，声环境质量执行《声环境质量标准》（GB3096-2008）</w:t>
            </w:r>
            <w:r>
              <w:rPr>
                <w:rFonts w:hint="eastAsia"/>
                <w:color w:val="auto"/>
                <w:sz w:val="24"/>
                <w:lang w:val="en-US" w:eastAsia="zh-CN"/>
              </w:rPr>
              <w:t>1</w:t>
            </w:r>
            <w:r>
              <w:rPr>
                <w:rFonts w:hint="eastAsia"/>
                <w:color w:val="auto"/>
                <w:sz w:val="24"/>
              </w:rPr>
              <w:t>类标准。</w:t>
            </w:r>
          </w:p>
          <w:p w14:paraId="6DAAC17C">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为了解区域声环境质量，</w:t>
            </w:r>
            <w:r>
              <w:rPr>
                <w:rFonts w:hint="eastAsia"/>
                <w:color w:val="auto"/>
                <w:sz w:val="24"/>
                <w:lang w:val="en-US" w:eastAsia="zh-CN"/>
              </w:rPr>
              <w:t>我</w:t>
            </w:r>
            <w:r>
              <w:rPr>
                <w:rFonts w:hint="eastAsia"/>
                <w:color w:val="auto"/>
                <w:sz w:val="24"/>
              </w:rPr>
              <w:t>单位</w:t>
            </w:r>
            <w:r>
              <w:rPr>
                <w:rFonts w:hint="eastAsia"/>
                <w:color w:val="auto"/>
                <w:sz w:val="24"/>
                <w:lang w:eastAsia="zh-CN"/>
              </w:rPr>
              <w:t>（云南科环环境工程咨询有限公司）</w:t>
            </w:r>
            <w:r>
              <w:rPr>
                <w:rFonts w:hint="eastAsia"/>
                <w:color w:val="auto"/>
                <w:sz w:val="24"/>
              </w:rPr>
              <w:t>于</w:t>
            </w:r>
            <w:r>
              <w:rPr>
                <w:rFonts w:hint="default"/>
                <w:color w:val="auto"/>
                <w:sz w:val="24"/>
              </w:rPr>
              <w:t>20</w:t>
            </w:r>
            <w:r>
              <w:rPr>
                <w:rFonts w:hint="default"/>
                <w:color w:val="auto"/>
                <w:sz w:val="24"/>
                <w:highlight w:val="none"/>
              </w:rPr>
              <w:t>2</w:t>
            </w:r>
            <w:r>
              <w:rPr>
                <w:rFonts w:hint="eastAsia"/>
                <w:color w:val="auto"/>
                <w:sz w:val="24"/>
                <w:highlight w:val="none"/>
                <w:lang w:val="en-US" w:eastAsia="zh-CN"/>
              </w:rPr>
              <w:t>4</w:t>
            </w:r>
            <w:r>
              <w:rPr>
                <w:rFonts w:hint="eastAsia"/>
                <w:color w:val="auto"/>
                <w:sz w:val="24"/>
                <w:highlight w:val="none"/>
              </w:rPr>
              <w:t>年</w:t>
            </w:r>
            <w:r>
              <w:rPr>
                <w:rFonts w:hint="eastAsia"/>
                <w:color w:val="auto"/>
                <w:sz w:val="24"/>
                <w:highlight w:val="none"/>
                <w:lang w:val="en-US" w:eastAsia="zh-CN"/>
              </w:rPr>
              <w:t>9</w:t>
            </w:r>
            <w:r>
              <w:rPr>
                <w:rFonts w:hint="eastAsia"/>
                <w:color w:val="auto"/>
                <w:sz w:val="24"/>
                <w:highlight w:val="none"/>
              </w:rPr>
              <w:t>月</w:t>
            </w:r>
            <w:r>
              <w:rPr>
                <w:rFonts w:hint="eastAsia"/>
                <w:color w:val="auto"/>
                <w:sz w:val="24"/>
                <w:highlight w:val="none"/>
                <w:lang w:val="en-US" w:eastAsia="zh-CN"/>
              </w:rPr>
              <w:t>3日-9</w:t>
            </w:r>
            <w:r>
              <w:rPr>
                <w:rFonts w:hint="eastAsia"/>
                <w:color w:val="auto"/>
                <w:sz w:val="24"/>
                <w:highlight w:val="none"/>
              </w:rPr>
              <w:t>月</w:t>
            </w:r>
            <w:r>
              <w:rPr>
                <w:rFonts w:hint="eastAsia"/>
                <w:color w:val="auto"/>
                <w:sz w:val="24"/>
                <w:highlight w:val="none"/>
                <w:lang w:val="en-US" w:eastAsia="zh-CN"/>
              </w:rPr>
              <w:t>4</w:t>
            </w:r>
            <w:r>
              <w:rPr>
                <w:rFonts w:hint="eastAsia"/>
                <w:color w:val="auto"/>
                <w:sz w:val="24"/>
                <w:highlight w:val="none"/>
              </w:rPr>
              <w:t>日对</w:t>
            </w:r>
            <w:r>
              <w:rPr>
                <w:rFonts w:hint="eastAsia"/>
                <w:color w:val="auto"/>
                <w:sz w:val="24"/>
              </w:rPr>
              <w:t>项目区域进行了噪声监测，</w:t>
            </w:r>
            <w:r>
              <w:rPr>
                <w:rFonts w:hint="eastAsia"/>
                <w:color w:val="auto"/>
                <w:sz w:val="24"/>
                <w:lang w:val="en-US" w:eastAsia="zh-CN"/>
              </w:rPr>
              <w:t>由于项目夜间不运行，故本次只进行昼间监测。</w:t>
            </w:r>
            <w:r>
              <w:rPr>
                <w:rFonts w:hint="eastAsia"/>
                <w:color w:val="auto"/>
                <w:sz w:val="24"/>
              </w:rPr>
              <w:t>噪声监测结果见表</w:t>
            </w:r>
            <w:r>
              <w:rPr>
                <w:rFonts w:hint="eastAsia"/>
                <w:color w:val="auto"/>
                <w:sz w:val="24"/>
                <w:highlight w:val="none"/>
              </w:rPr>
              <w:t>3-</w:t>
            </w:r>
            <w:r>
              <w:rPr>
                <w:rFonts w:hint="eastAsia"/>
                <w:color w:val="auto"/>
                <w:sz w:val="24"/>
                <w:highlight w:val="none"/>
                <w:lang w:val="en-US" w:eastAsia="zh-CN"/>
              </w:rPr>
              <w:t>7</w:t>
            </w:r>
            <w:r>
              <w:rPr>
                <w:rFonts w:hint="eastAsia"/>
                <w:color w:val="auto"/>
                <w:sz w:val="24"/>
                <w:highlight w:val="none"/>
              </w:rPr>
              <w:t>。现状监测点位见附图</w:t>
            </w:r>
            <w:r>
              <w:rPr>
                <w:rFonts w:hint="eastAsia"/>
                <w:color w:val="auto"/>
                <w:sz w:val="24"/>
                <w:highlight w:val="none"/>
                <w:lang w:val="en-US" w:eastAsia="zh-CN"/>
              </w:rPr>
              <w:t>6-1</w:t>
            </w:r>
            <w:r>
              <w:rPr>
                <w:rFonts w:hint="eastAsia"/>
                <w:color w:val="auto"/>
                <w:sz w:val="24"/>
                <w:highlight w:val="none"/>
              </w:rPr>
              <w:t>。</w:t>
            </w:r>
          </w:p>
          <w:p w14:paraId="419B8D7B">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w:t>
            </w:r>
            <w:r>
              <w:rPr>
                <w:rFonts w:hint="default"/>
                <w:color w:val="auto"/>
                <w:sz w:val="24"/>
              </w:rPr>
              <w:t>1</w:t>
            </w:r>
            <w:r>
              <w:rPr>
                <w:rFonts w:hint="eastAsia"/>
                <w:color w:val="auto"/>
                <w:sz w:val="24"/>
              </w:rPr>
              <w:t>）监测因子</w:t>
            </w:r>
          </w:p>
          <w:p w14:paraId="6B1162EB">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Leq</w:t>
            </w:r>
            <w:r>
              <w:rPr>
                <w:rFonts w:hint="eastAsia"/>
                <w:color w:val="auto"/>
                <w:sz w:val="24"/>
              </w:rPr>
              <w:t>（A）</w:t>
            </w:r>
          </w:p>
          <w:p w14:paraId="6934F598">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w:t>
            </w:r>
            <w:r>
              <w:rPr>
                <w:rFonts w:hint="default"/>
                <w:color w:val="auto"/>
                <w:sz w:val="24"/>
              </w:rPr>
              <w:t>2</w:t>
            </w:r>
            <w:r>
              <w:rPr>
                <w:rFonts w:hint="eastAsia"/>
                <w:color w:val="auto"/>
                <w:sz w:val="24"/>
              </w:rPr>
              <w:t>）监测点位</w:t>
            </w:r>
          </w:p>
          <w:p w14:paraId="56B9F761">
            <w:pPr>
              <w:keepNext w:val="0"/>
              <w:keepLines w:val="0"/>
              <w:suppressLineNumbers w:val="0"/>
              <w:spacing w:before="0" w:beforeAutospacing="0" w:after="0" w:afterAutospacing="0" w:line="360" w:lineRule="auto"/>
              <w:ind w:left="0" w:right="0" w:firstLine="480"/>
              <w:rPr>
                <w:rFonts w:hint="default"/>
                <w:color w:val="auto"/>
                <w:sz w:val="24"/>
                <w:szCs w:val="24"/>
                <w:highlight w:val="none"/>
              </w:rPr>
            </w:pPr>
            <w:r>
              <w:rPr>
                <w:rFonts w:hint="eastAsia" w:ascii="宋体" w:hAnsi="宋体" w:cs="宋体"/>
                <w:i w:val="0"/>
                <w:color w:val="auto"/>
                <w:kern w:val="2"/>
                <w:sz w:val="24"/>
                <w:szCs w:val="24"/>
                <w:u w:val="none"/>
                <w:lang w:val="en-US" w:eastAsia="zh-CN" w:bidi="ar-SA"/>
              </w:rPr>
              <w:t>项目东北片区场址中心处和项目西南片区场址中心处</w:t>
            </w:r>
            <w:r>
              <w:rPr>
                <w:rFonts w:hint="eastAsia"/>
                <w:color w:val="auto"/>
                <w:sz w:val="24"/>
                <w:szCs w:val="24"/>
                <w:highlight w:val="none"/>
                <w:lang w:val="en-US" w:eastAsia="zh-CN"/>
              </w:rPr>
              <w:t>各布设1个监测点位</w:t>
            </w:r>
            <w:r>
              <w:rPr>
                <w:rFonts w:hint="eastAsia"/>
                <w:color w:val="auto"/>
                <w:sz w:val="24"/>
                <w:szCs w:val="24"/>
                <w:highlight w:val="none"/>
              </w:rPr>
              <w:t>。</w:t>
            </w:r>
          </w:p>
          <w:p w14:paraId="47238F18">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w:t>
            </w:r>
            <w:r>
              <w:rPr>
                <w:rFonts w:hint="default"/>
                <w:color w:val="auto"/>
                <w:sz w:val="24"/>
              </w:rPr>
              <w:t>3</w:t>
            </w:r>
            <w:r>
              <w:rPr>
                <w:rFonts w:hint="eastAsia"/>
                <w:color w:val="auto"/>
                <w:sz w:val="24"/>
              </w:rPr>
              <w:t>）监测时间和频次</w:t>
            </w:r>
          </w:p>
          <w:p w14:paraId="21789279">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连续监测</w:t>
            </w:r>
            <w:r>
              <w:rPr>
                <w:rFonts w:hint="eastAsia"/>
                <w:color w:val="auto"/>
                <w:sz w:val="24"/>
                <w:lang w:val="en-US" w:eastAsia="zh-CN"/>
              </w:rPr>
              <w:t>1</w:t>
            </w:r>
            <w:r>
              <w:rPr>
                <w:rFonts w:hint="eastAsia"/>
                <w:color w:val="auto"/>
                <w:sz w:val="24"/>
              </w:rPr>
              <w:t>天，监测昼间</w:t>
            </w:r>
            <w:r>
              <w:rPr>
                <w:rFonts w:hint="default"/>
                <w:color w:val="auto"/>
                <w:sz w:val="24"/>
              </w:rPr>
              <w:t>1</w:t>
            </w:r>
            <w:r>
              <w:rPr>
                <w:rFonts w:hint="eastAsia"/>
                <w:color w:val="auto"/>
                <w:sz w:val="24"/>
              </w:rPr>
              <w:t>次。</w:t>
            </w:r>
          </w:p>
          <w:p w14:paraId="5C7E237D">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监测结果如下。</w:t>
            </w:r>
          </w:p>
          <w:p w14:paraId="1312B6B4">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kern w:val="0"/>
                <w:szCs w:val="21"/>
                <w:highlight w:val="none"/>
              </w:rPr>
            </w:pPr>
            <w:r>
              <w:rPr>
                <w:rFonts w:hint="eastAsia"/>
                <w:b/>
                <w:color w:val="auto"/>
                <w:kern w:val="0"/>
                <w:szCs w:val="21"/>
                <w:highlight w:val="none"/>
              </w:rPr>
              <w:t>表3</w:t>
            </w:r>
            <w:r>
              <w:rPr>
                <w:rFonts w:hint="default"/>
                <w:b/>
                <w:color w:val="auto"/>
                <w:kern w:val="0"/>
                <w:szCs w:val="21"/>
                <w:highlight w:val="none"/>
              </w:rPr>
              <w:t>-</w:t>
            </w:r>
            <w:r>
              <w:rPr>
                <w:rFonts w:hint="eastAsia"/>
                <w:b/>
                <w:color w:val="auto"/>
                <w:kern w:val="0"/>
                <w:szCs w:val="21"/>
                <w:highlight w:val="none"/>
                <w:lang w:val="en-US" w:eastAsia="zh-CN"/>
              </w:rPr>
              <w:t xml:space="preserve">7  </w:t>
            </w:r>
            <w:r>
              <w:rPr>
                <w:rFonts w:hint="default"/>
                <w:b/>
                <w:color w:val="auto"/>
                <w:kern w:val="0"/>
                <w:szCs w:val="21"/>
                <w:highlight w:val="none"/>
              </w:rPr>
              <w:t>声环境监测结果一览表</w:t>
            </w:r>
            <w:r>
              <w:rPr>
                <w:rFonts w:hint="eastAsia"/>
                <w:b/>
                <w:color w:val="auto"/>
                <w:kern w:val="0"/>
                <w:szCs w:val="21"/>
                <w:highlight w:val="none"/>
              </w:rPr>
              <w:t xml:space="preserve"> </w:t>
            </w:r>
            <w:r>
              <w:rPr>
                <w:rFonts w:hint="default"/>
                <w:b/>
                <w:color w:val="auto"/>
                <w:kern w:val="0"/>
                <w:szCs w:val="21"/>
                <w:highlight w:val="none"/>
              </w:rPr>
              <w:t xml:space="preserve">  </w:t>
            </w:r>
            <w:r>
              <w:rPr>
                <w:rFonts w:hint="eastAsia"/>
                <w:b/>
                <w:color w:val="auto"/>
                <w:kern w:val="0"/>
                <w:szCs w:val="21"/>
                <w:highlight w:val="none"/>
              </w:rPr>
              <w:t>单位：</w:t>
            </w:r>
            <w:r>
              <w:rPr>
                <w:rFonts w:hint="default"/>
                <w:b/>
                <w:color w:val="auto"/>
                <w:spacing w:val="-5"/>
                <w:szCs w:val="21"/>
                <w:highlight w:val="none"/>
                <w:lang w:bidi="he-IL"/>
              </w:rPr>
              <w:t>dB（A）</w:t>
            </w:r>
          </w:p>
          <w:tbl>
            <w:tblPr>
              <w:tblStyle w:val="42"/>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16"/>
              <w:gridCol w:w="1357"/>
              <w:gridCol w:w="1147"/>
              <w:gridCol w:w="886"/>
              <w:gridCol w:w="1819"/>
              <w:gridCol w:w="1041"/>
            </w:tblGrid>
            <w:tr w14:paraId="7855A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27" w:type="pct"/>
                  <w:vAlign w:val="center"/>
                </w:tcPr>
                <w:p w14:paraId="6E8FFD2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eastAsia"/>
                      <w:b/>
                      <w:bCs/>
                      <w:color w:val="auto"/>
                      <w:szCs w:val="21"/>
                      <w:lang w:eastAsia="zh-CN"/>
                    </w:rPr>
                    <w:t>监测点位</w:t>
                  </w:r>
                </w:p>
              </w:tc>
              <w:tc>
                <w:tcPr>
                  <w:tcW w:w="862" w:type="pct"/>
                  <w:vAlign w:val="center"/>
                </w:tcPr>
                <w:p w14:paraId="43DE1FD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检测日期</w:t>
                  </w:r>
                </w:p>
              </w:tc>
              <w:tc>
                <w:tcPr>
                  <w:tcW w:w="729" w:type="pct"/>
                  <w:vAlign w:val="center"/>
                </w:tcPr>
                <w:p w14:paraId="63170B2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采样时段</w:t>
                  </w:r>
                </w:p>
              </w:tc>
              <w:tc>
                <w:tcPr>
                  <w:tcW w:w="563" w:type="pct"/>
                  <w:vAlign w:val="center"/>
                </w:tcPr>
                <w:p w14:paraId="5E4314B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噪声值</w:t>
                  </w:r>
                </w:p>
              </w:tc>
              <w:tc>
                <w:tcPr>
                  <w:tcW w:w="1156" w:type="pct"/>
                  <w:vAlign w:val="center"/>
                </w:tcPr>
                <w:p w14:paraId="3E7729D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标准值</w:t>
                  </w:r>
                </w:p>
              </w:tc>
              <w:tc>
                <w:tcPr>
                  <w:tcW w:w="661" w:type="pct"/>
                  <w:vAlign w:val="center"/>
                </w:tcPr>
                <w:p w14:paraId="757D293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b/>
                      <w:bCs/>
                      <w:color w:val="auto"/>
                      <w:szCs w:val="21"/>
                    </w:rPr>
                  </w:pPr>
                  <w:r>
                    <w:rPr>
                      <w:rFonts w:hint="default"/>
                      <w:b/>
                      <w:bCs/>
                      <w:color w:val="auto"/>
                      <w:szCs w:val="21"/>
                    </w:rPr>
                    <w:t>达标</w:t>
                  </w:r>
                  <w:r>
                    <w:rPr>
                      <w:rFonts w:hint="eastAsia"/>
                      <w:b/>
                      <w:bCs/>
                      <w:color w:val="auto"/>
                      <w:szCs w:val="21"/>
                    </w:rPr>
                    <w:t>情况</w:t>
                  </w:r>
                </w:p>
              </w:tc>
            </w:tr>
            <w:tr w14:paraId="2BD5F8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0" w:hRule="atLeast"/>
                <w:jc w:val="center"/>
              </w:trPr>
              <w:tc>
                <w:tcPr>
                  <w:tcW w:w="1027" w:type="pct"/>
                  <w:shd w:val="clear" w:color="auto" w:fill="auto"/>
                  <w:vAlign w:val="center"/>
                </w:tcPr>
                <w:p w14:paraId="0A36B35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2"/>
                      <w:sz w:val="21"/>
                      <w:szCs w:val="21"/>
                      <w:u w:val="none"/>
                      <w:lang w:val="en-US" w:eastAsia="zh-CN" w:bidi="ar-SA"/>
                    </w:rPr>
                  </w:pPr>
                  <w:r>
                    <w:rPr>
                      <w:rFonts w:hint="eastAsia" w:ascii="宋体" w:hAnsi="宋体" w:cs="宋体"/>
                      <w:i w:val="0"/>
                      <w:color w:val="auto"/>
                      <w:kern w:val="2"/>
                      <w:sz w:val="21"/>
                      <w:szCs w:val="21"/>
                      <w:u w:val="none"/>
                      <w:lang w:val="en-US" w:eastAsia="zh-CN" w:bidi="ar-SA"/>
                    </w:rPr>
                    <w:t>项目东北片区场址中心处</w:t>
                  </w:r>
                </w:p>
              </w:tc>
              <w:tc>
                <w:tcPr>
                  <w:tcW w:w="862" w:type="pct"/>
                  <w:vAlign w:val="center"/>
                </w:tcPr>
                <w:p w14:paraId="5347C46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eastAsia="宋体"/>
                      <w:bCs/>
                      <w:color w:val="auto"/>
                      <w:sz w:val="21"/>
                      <w:szCs w:val="21"/>
                      <w:lang w:val="en-US" w:eastAsia="zh-CN"/>
                    </w:rPr>
                  </w:pPr>
                  <w:r>
                    <w:rPr>
                      <w:rFonts w:hint="eastAsia" w:ascii="Times New Roman" w:hAnsi="Times New Roman" w:eastAsia="宋体" w:cs="宋体"/>
                      <w:color w:val="auto"/>
                      <w:kern w:val="2"/>
                      <w:sz w:val="21"/>
                      <w:szCs w:val="21"/>
                      <w:lang w:val="en-US" w:eastAsia="zh-CN" w:bidi="ar-SA"/>
                    </w:rPr>
                    <w:t>2024.0</w:t>
                  </w:r>
                  <w:r>
                    <w:rPr>
                      <w:rFonts w:hint="eastAsia" w:cs="宋体"/>
                      <w:color w:val="auto"/>
                      <w:kern w:val="2"/>
                      <w:sz w:val="21"/>
                      <w:szCs w:val="21"/>
                      <w:lang w:val="en-US" w:eastAsia="zh-CN" w:bidi="ar-SA"/>
                    </w:rPr>
                    <w:t>9</w:t>
                  </w:r>
                  <w:r>
                    <w:rPr>
                      <w:rFonts w:hint="eastAsia" w:ascii="Times New Roman" w:hAnsi="Times New Roman" w:eastAsia="宋体" w:cs="宋体"/>
                      <w:color w:val="auto"/>
                      <w:kern w:val="2"/>
                      <w:sz w:val="21"/>
                      <w:szCs w:val="21"/>
                      <w:lang w:val="en-US" w:eastAsia="zh-CN" w:bidi="ar-SA"/>
                    </w:rPr>
                    <w:t>.</w:t>
                  </w:r>
                  <w:r>
                    <w:rPr>
                      <w:rFonts w:hint="eastAsia" w:cs="宋体"/>
                      <w:color w:val="auto"/>
                      <w:kern w:val="2"/>
                      <w:sz w:val="21"/>
                      <w:szCs w:val="21"/>
                      <w:lang w:val="en-US" w:eastAsia="zh-CN" w:bidi="ar-SA"/>
                    </w:rPr>
                    <w:t>03</w:t>
                  </w:r>
                </w:p>
              </w:tc>
              <w:tc>
                <w:tcPr>
                  <w:tcW w:w="729" w:type="pct"/>
                  <w:vAlign w:val="center"/>
                </w:tcPr>
                <w:p w14:paraId="4571039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z w:val="21"/>
                      <w:szCs w:val="21"/>
                    </w:rPr>
                  </w:pPr>
                  <w:r>
                    <w:rPr>
                      <w:rFonts w:hint="default"/>
                      <w:color w:val="auto"/>
                      <w:sz w:val="21"/>
                      <w:szCs w:val="21"/>
                    </w:rPr>
                    <w:t>昼间</w:t>
                  </w:r>
                </w:p>
              </w:tc>
              <w:tc>
                <w:tcPr>
                  <w:tcW w:w="563" w:type="pct"/>
                  <w:vAlign w:val="center"/>
                </w:tcPr>
                <w:p w14:paraId="4E1175B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eastAsia="宋体"/>
                      <w:color w:val="auto"/>
                      <w:sz w:val="21"/>
                      <w:szCs w:val="21"/>
                      <w:lang w:val="en-US" w:eastAsia="zh-CN"/>
                    </w:rPr>
                  </w:pPr>
                  <w:r>
                    <w:rPr>
                      <w:rFonts w:hint="eastAsia"/>
                      <w:color w:val="auto"/>
                      <w:sz w:val="21"/>
                      <w:szCs w:val="21"/>
                      <w:lang w:val="en-US" w:eastAsia="zh-CN"/>
                    </w:rPr>
                    <w:t>41.6</w:t>
                  </w:r>
                </w:p>
              </w:tc>
              <w:tc>
                <w:tcPr>
                  <w:tcW w:w="1156" w:type="pct"/>
                  <w:vAlign w:val="center"/>
                </w:tcPr>
                <w:p w14:paraId="6315A74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pacing w:val="-5"/>
                      <w:sz w:val="21"/>
                      <w:szCs w:val="21"/>
                      <w:lang w:bidi="he-IL"/>
                    </w:rPr>
                  </w:pPr>
                  <w:r>
                    <w:rPr>
                      <w:rFonts w:hint="default"/>
                      <w:color w:val="auto"/>
                      <w:spacing w:val="-5"/>
                      <w:sz w:val="21"/>
                      <w:szCs w:val="21"/>
                      <w:lang w:bidi="he-IL"/>
                    </w:rPr>
                    <w:t>昼间≤</w:t>
                  </w:r>
                  <w:r>
                    <w:rPr>
                      <w:rFonts w:hint="eastAsia"/>
                      <w:color w:val="auto"/>
                      <w:spacing w:val="-5"/>
                      <w:sz w:val="21"/>
                      <w:szCs w:val="21"/>
                      <w:lang w:val="en-US" w:eastAsia="zh-CN" w:bidi="he-IL"/>
                    </w:rPr>
                    <w:t>55</w:t>
                  </w:r>
                  <w:r>
                    <w:rPr>
                      <w:rFonts w:hint="default"/>
                      <w:color w:val="auto"/>
                      <w:spacing w:val="-5"/>
                      <w:sz w:val="21"/>
                      <w:szCs w:val="21"/>
                      <w:lang w:bidi="he-IL"/>
                    </w:rPr>
                    <w:t>dB（A），夜间≤</w:t>
                  </w:r>
                  <w:r>
                    <w:rPr>
                      <w:rFonts w:hint="eastAsia"/>
                      <w:color w:val="auto"/>
                      <w:spacing w:val="-5"/>
                      <w:sz w:val="21"/>
                      <w:szCs w:val="21"/>
                      <w:lang w:val="en-US" w:eastAsia="zh-CN" w:bidi="he-IL"/>
                    </w:rPr>
                    <w:t>45</w:t>
                  </w:r>
                  <w:r>
                    <w:rPr>
                      <w:rFonts w:hint="default"/>
                      <w:color w:val="auto"/>
                      <w:spacing w:val="-5"/>
                      <w:sz w:val="21"/>
                      <w:szCs w:val="21"/>
                      <w:lang w:bidi="he-IL"/>
                    </w:rPr>
                    <w:t>dB（A）</w:t>
                  </w:r>
                </w:p>
              </w:tc>
              <w:tc>
                <w:tcPr>
                  <w:tcW w:w="661" w:type="pct"/>
                  <w:vAlign w:val="center"/>
                </w:tcPr>
                <w:p w14:paraId="0439F43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pacing w:val="-5"/>
                      <w:sz w:val="21"/>
                      <w:szCs w:val="21"/>
                      <w:lang w:bidi="he-IL"/>
                    </w:rPr>
                  </w:pPr>
                  <w:r>
                    <w:rPr>
                      <w:rFonts w:hint="default"/>
                      <w:color w:val="auto"/>
                      <w:spacing w:val="-5"/>
                      <w:sz w:val="21"/>
                      <w:szCs w:val="21"/>
                      <w:lang w:bidi="he-IL"/>
                    </w:rPr>
                    <w:t>达标</w:t>
                  </w:r>
                </w:p>
              </w:tc>
            </w:tr>
            <w:tr w14:paraId="23B436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3" w:hRule="atLeast"/>
                <w:jc w:val="center"/>
              </w:trPr>
              <w:tc>
                <w:tcPr>
                  <w:tcW w:w="1027" w:type="pct"/>
                  <w:shd w:val="clear" w:color="auto" w:fill="auto"/>
                  <w:vAlign w:val="center"/>
                </w:tcPr>
                <w:p w14:paraId="5C4FCA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cs="宋体"/>
                      <w:i w:val="0"/>
                      <w:color w:val="auto"/>
                      <w:kern w:val="2"/>
                      <w:sz w:val="21"/>
                      <w:szCs w:val="21"/>
                      <w:u w:val="none"/>
                      <w:lang w:val="en-US" w:eastAsia="zh-CN" w:bidi="ar-SA"/>
                    </w:rPr>
                    <w:t>项目西南片区场址中心处</w:t>
                  </w:r>
                </w:p>
              </w:tc>
              <w:tc>
                <w:tcPr>
                  <w:tcW w:w="862" w:type="pct"/>
                  <w:vAlign w:val="center"/>
                </w:tcPr>
                <w:p w14:paraId="255AAB9D">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2024.0</w:t>
                  </w:r>
                  <w:r>
                    <w:rPr>
                      <w:rFonts w:hint="eastAsia" w:cs="宋体"/>
                      <w:color w:val="auto"/>
                      <w:kern w:val="2"/>
                      <w:sz w:val="21"/>
                      <w:szCs w:val="21"/>
                      <w:lang w:val="en-US" w:eastAsia="zh-CN" w:bidi="ar-SA"/>
                    </w:rPr>
                    <w:t>9</w:t>
                  </w:r>
                  <w:r>
                    <w:rPr>
                      <w:rFonts w:hint="eastAsia" w:ascii="Times New Roman" w:hAnsi="Times New Roman" w:eastAsia="宋体" w:cs="宋体"/>
                      <w:color w:val="auto"/>
                      <w:kern w:val="2"/>
                      <w:sz w:val="21"/>
                      <w:szCs w:val="21"/>
                      <w:lang w:val="en-US" w:eastAsia="zh-CN" w:bidi="ar-SA"/>
                    </w:rPr>
                    <w:t>.</w:t>
                  </w:r>
                  <w:r>
                    <w:rPr>
                      <w:rFonts w:hint="eastAsia" w:cs="宋体"/>
                      <w:color w:val="auto"/>
                      <w:kern w:val="2"/>
                      <w:sz w:val="21"/>
                      <w:szCs w:val="21"/>
                      <w:lang w:val="en-US" w:eastAsia="zh-CN" w:bidi="ar-SA"/>
                    </w:rPr>
                    <w:t>04</w:t>
                  </w:r>
                </w:p>
              </w:tc>
              <w:tc>
                <w:tcPr>
                  <w:tcW w:w="729" w:type="pct"/>
                  <w:vAlign w:val="center"/>
                </w:tcPr>
                <w:p w14:paraId="1B4EEBA2">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color w:val="auto"/>
                      <w:sz w:val="21"/>
                      <w:szCs w:val="21"/>
                    </w:rPr>
                  </w:pPr>
                  <w:r>
                    <w:rPr>
                      <w:rFonts w:hint="default"/>
                      <w:color w:val="auto"/>
                      <w:sz w:val="21"/>
                      <w:szCs w:val="21"/>
                    </w:rPr>
                    <w:t>昼间</w:t>
                  </w:r>
                </w:p>
              </w:tc>
              <w:tc>
                <w:tcPr>
                  <w:tcW w:w="563" w:type="pct"/>
                  <w:vAlign w:val="center"/>
                </w:tcPr>
                <w:p w14:paraId="3E342FA2">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right="0"/>
                    <w:jc w:val="center"/>
                    <w:textAlignment w:val="center"/>
                    <w:rPr>
                      <w:rFonts w:hint="default" w:ascii="Times New Roman" w:hAnsi="Times New Roman" w:eastAsia="宋体" w:cs="宋体"/>
                      <w:color w:val="auto"/>
                      <w:kern w:val="2"/>
                      <w:sz w:val="21"/>
                      <w:szCs w:val="21"/>
                      <w:lang w:val="en-US" w:eastAsia="zh-CN" w:bidi="ar-SA"/>
                    </w:rPr>
                  </w:pPr>
                  <w:r>
                    <w:rPr>
                      <w:rFonts w:hint="eastAsia" w:cs="宋体"/>
                      <w:color w:val="auto"/>
                      <w:kern w:val="2"/>
                      <w:sz w:val="21"/>
                      <w:szCs w:val="21"/>
                      <w:lang w:val="en-US" w:eastAsia="zh-CN" w:bidi="ar-SA"/>
                    </w:rPr>
                    <w:t>39.0</w:t>
                  </w:r>
                </w:p>
              </w:tc>
              <w:tc>
                <w:tcPr>
                  <w:tcW w:w="1156" w:type="pct"/>
                  <w:shd w:val="clear" w:color="auto" w:fill="auto"/>
                  <w:vAlign w:val="center"/>
                </w:tcPr>
                <w:p w14:paraId="4C902D9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leftChars="0" w:right="0" w:rightChars="0"/>
                    <w:jc w:val="center"/>
                    <w:textAlignment w:val="center"/>
                    <w:rPr>
                      <w:rFonts w:hint="default" w:ascii="Times New Roman" w:hAnsi="Times New Roman" w:eastAsia="宋体" w:cs="Times New Roman"/>
                      <w:color w:val="auto"/>
                      <w:spacing w:val="-5"/>
                      <w:kern w:val="2"/>
                      <w:sz w:val="21"/>
                      <w:szCs w:val="21"/>
                      <w:lang w:val="en-US" w:eastAsia="zh-CN" w:bidi="he-IL"/>
                    </w:rPr>
                  </w:pPr>
                  <w:r>
                    <w:rPr>
                      <w:rFonts w:hint="default"/>
                      <w:color w:val="auto"/>
                      <w:spacing w:val="-5"/>
                      <w:sz w:val="21"/>
                      <w:szCs w:val="21"/>
                      <w:lang w:bidi="he-IL"/>
                    </w:rPr>
                    <w:t>昼间≤</w:t>
                  </w:r>
                  <w:r>
                    <w:rPr>
                      <w:rFonts w:hint="eastAsia"/>
                      <w:color w:val="auto"/>
                      <w:spacing w:val="-5"/>
                      <w:sz w:val="21"/>
                      <w:szCs w:val="21"/>
                      <w:lang w:val="en-US" w:eastAsia="zh-CN" w:bidi="he-IL"/>
                    </w:rPr>
                    <w:t>55</w:t>
                  </w:r>
                  <w:r>
                    <w:rPr>
                      <w:rFonts w:hint="default"/>
                      <w:color w:val="auto"/>
                      <w:spacing w:val="-5"/>
                      <w:sz w:val="21"/>
                      <w:szCs w:val="21"/>
                      <w:lang w:bidi="he-IL"/>
                    </w:rPr>
                    <w:t>dB（A），夜间≤</w:t>
                  </w:r>
                  <w:r>
                    <w:rPr>
                      <w:rFonts w:hint="eastAsia"/>
                      <w:color w:val="auto"/>
                      <w:spacing w:val="-5"/>
                      <w:sz w:val="21"/>
                      <w:szCs w:val="21"/>
                      <w:lang w:val="en-US" w:eastAsia="zh-CN" w:bidi="he-IL"/>
                    </w:rPr>
                    <w:t>45</w:t>
                  </w:r>
                  <w:r>
                    <w:rPr>
                      <w:rFonts w:hint="default"/>
                      <w:color w:val="auto"/>
                      <w:spacing w:val="-5"/>
                      <w:sz w:val="21"/>
                      <w:szCs w:val="21"/>
                      <w:lang w:bidi="he-IL"/>
                    </w:rPr>
                    <w:t>dB（A）</w:t>
                  </w:r>
                </w:p>
              </w:tc>
              <w:tc>
                <w:tcPr>
                  <w:tcW w:w="661" w:type="pct"/>
                  <w:shd w:val="clear" w:color="auto" w:fill="auto"/>
                  <w:vAlign w:val="center"/>
                </w:tcPr>
                <w:p w14:paraId="611064FD">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80" w:lineRule="exact"/>
                    <w:ind w:left="0" w:leftChars="0" w:right="0" w:rightChars="0"/>
                    <w:jc w:val="center"/>
                    <w:textAlignment w:val="center"/>
                    <w:rPr>
                      <w:rFonts w:hint="default" w:ascii="Times New Roman" w:hAnsi="Times New Roman" w:eastAsia="宋体" w:cs="Times New Roman"/>
                      <w:color w:val="auto"/>
                      <w:spacing w:val="-5"/>
                      <w:kern w:val="2"/>
                      <w:sz w:val="21"/>
                      <w:szCs w:val="21"/>
                      <w:lang w:val="en-US" w:eastAsia="zh-CN" w:bidi="he-IL"/>
                    </w:rPr>
                  </w:pPr>
                  <w:r>
                    <w:rPr>
                      <w:rFonts w:hint="default"/>
                      <w:color w:val="auto"/>
                      <w:spacing w:val="-5"/>
                      <w:sz w:val="21"/>
                      <w:szCs w:val="21"/>
                      <w:lang w:bidi="he-IL"/>
                    </w:rPr>
                    <w:t>达标</w:t>
                  </w:r>
                </w:p>
              </w:tc>
            </w:tr>
          </w:tbl>
          <w:p w14:paraId="0253A153">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kern w:val="0"/>
                <w:sz w:val="24"/>
              </w:rPr>
            </w:pPr>
            <w:r>
              <w:rPr>
                <w:rFonts w:hint="eastAsia"/>
                <w:bCs/>
                <w:color w:val="auto"/>
                <w:kern w:val="0"/>
                <w:sz w:val="24"/>
              </w:rPr>
              <w:t>根据环境监测结果显示，</w:t>
            </w:r>
            <w:r>
              <w:rPr>
                <w:rFonts w:hint="eastAsia"/>
                <w:color w:val="auto"/>
                <w:spacing w:val="-4"/>
                <w:sz w:val="24"/>
                <w:szCs w:val="24"/>
                <w:lang w:val="en-US" w:eastAsia="zh-CN"/>
              </w:rPr>
              <w:t>项目</w:t>
            </w:r>
            <w:r>
              <w:rPr>
                <w:rFonts w:hint="eastAsia" w:ascii="宋体" w:hAnsi="宋体" w:cs="宋体"/>
                <w:i w:val="0"/>
                <w:color w:val="auto"/>
                <w:kern w:val="2"/>
                <w:sz w:val="24"/>
                <w:szCs w:val="24"/>
                <w:u w:val="none"/>
                <w:lang w:val="en-US" w:eastAsia="zh-CN" w:bidi="ar-SA"/>
              </w:rPr>
              <w:t>东北片区和西南片区</w:t>
            </w:r>
            <w:r>
              <w:rPr>
                <w:rFonts w:hint="eastAsia"/>
                <w:color w:val="auto"/>
                <w:spacing w:val="-4"/>
                <w:sz w:val="24"/>
                <w:szCs w:val="24"/>
                <w:lang w:val="en-US" w:eastAsia="zh-CN"/>
              </w:rPr>
              <w:t>场址中心处</w:t>
            </w:r>
            <w:r>
              <w:rPr>
                <w:rFonts w:hint="eastAsia"/>
                <w:bCs/>
                <w:color w:val="auto"/>
                <w:kern w:val="0"/>
                <w:sz w:val="24"/>
                <w:szCs w:val="24"/>
              </w:rPr>
              <w:t>声环境质量均能够满足《声环境质量标准》（GB3096-2008）</w:t>
            </w:r>
            <w:r>
              <w:rPr>
                <w:rFonts w:hint="eastAsia"/>
                <w:bCs/>
                <w:color w:val="auto"/>
                <w:kern w:val="0"/>
                <w:sz w:val="24"/>
                <w:szCs w:val="24"/>
                <w:lang w:val="en-US" w:eastAsia="zh-CN"/>
              </w:rPr>
              <w:t>1</w:t>
            </w:r>
            <w:r>
              <w:rPr>
                <w:rFonts w:hint="eastAsia"/>
                <w:bCs/>
                <w:color w:val="auto"/>
                <w:kern w:val="0"/>
                <w:sz w:val="24"/>
                <w:szCs w:val="24"/>
              </w:rPr>
              <w:t>类标准。</w:t>
            </w:r>
          </w:p>
          <w:p w14:paraId="60108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color w:val="auto"/>
              </w:rPr>
            </w:pPr>
            <w:r>
              <w:rPr>
                <w:rFonts w:hint="eastAsia"/>
                <w:b/>
                <w:bCs/>
                <w:color w:val="auto"/>
                <w:kern w:val="0"/>
                <w:sz w:val="24"/>
                <w:lang w:val="en-US" w:eastAsia="zh-CN" w:bidi="ar"/>
              </w:rPr>
              <w:t>8</w:t>
            </w:r>
            <w:r>
              <w:rPr>
                <w:rFonts w:hint="default"/>
                <w:b/>
                <w:bCs/>
                <w:color w:val="auto"/>
                <w:kern w:val="0"/>
                <w:sz w:val="24"/>
                <w:lang w:bidi="ar"/>
              </w:rPr>
              <w:t>、</w:t>
            </w:r>
            <w:r>
              <w:rPr>
                <w:rFonts w:hint="eastAsia" w:ascii="宋体" w:hAnsi="宋体" w:cs="宋体"/>
                <w:b/>
                <w:bCs/>
                <w:color w:val="auto"/>
                <w:kern w:val="0"/>
                <w:sz w:val="24"/>
                <w:lang w:bidi="ar"/>
              </w:rPr>
              <w:t>地下水环境现状</w:t>
            </w:r>
          </w:p>
          <w:p w14:paraId="04D13198">
            <w:pPr>
              <w:keepNext w:val="0"/>
              <w:keepLines w:val="0"/>
              <w:widowControl/>
              <w:suppressLineNumbers w:val="0"/>
              <w:spacing w:before="0" w:beforeAutospacing="0" w:after="0" w:afterAutospacing="0" w:line="360" w:lineRule="auto"/>
              <w:ind w:left="0" w:right="0" w:firstLine="480" w:firstLineChars="200"/>
              <w:jc w:val="left"/>
              <w:rPr>
                <w:rFonts w:hint="default"/>
                <w:color w:val="auto"/>
              </w:rPr>
            </w:pPr>
            <w:r>
              <w:rPr>
                <w:rFonts w:hint="eastAsia" w:ascii="宋体" w:hAnsi="宋体" w:cs="宋体"/>
                <w:color w:val="auto"/>
                <w:kern w:val="0"/>
                <w:sz w:val="24"/>
                <w:lang w:bidi="ar"/>
              </w:rPr>
              <w:t>根据《环境影响评价技术导则 地下水环境》（</w:t>
            </w:r>
            <w:r>
              <w:rPr>
                <w:rFonts w:hint="default"/>
                <w:color w:val="auto"/>
                <w:kern w:val="0"/>
                <w:sz w:val="24"/>
                <w:lang w:bidi="ar"/>
              </w:rPr>
              <w:t>HJ610-2016</w:t>
            </w:r>
            <w:r>
              <w:rPr>
                <w:rFonts w:hint="eastAsia" w:ascii="宋体" w:hAnsi="宋体" w:cs="宋体"/>
                <w:color w:val="auto"/>
                <w:kern w:val="0"/>
                <w:sz w:val="24"/>
                <w:lang w:bidi="ar"/>
              </w:rPr>
              <w:t>）附录</w:t>
            </w:r>
            <w:r>
              <w:rPr>
                <w:rFonts w:hint="default"/>
                <w:color w:val="auto"/>
                <w:kern w:val="0"/>
                <w:sz w:val="24"/>
                <w:lang w:bidi="ar"/>
              </w:rPr>
              <w:t>A</w:t>
            </w:r>
            <w:r>
              <w:rPr>
                <w:rFonts w:hint="eastAsia" w:ascii="宋体" w:hAnsi="宋体" w:cs="宋体"/>
                <w:color w:val="auto"/>
                <w:kern w:val="0"/>
                <w:sz w:val="24"/>
                <w:lang w:bidi="ar"/>
              </w:rPr>
              <w:t>可知，本项目属于“</w:t>
            </w:r>
            <w:r>
              <w:rPr>
                <w:rFonts w:hint="default"/>
                <w:color w:val="auto"/>
                <w:kern w:val="0"/>
                <w:sz w:val="24"/>
                <w:lang w:bidi="ar"/>
              </w:rPr>
              <w:t>E</w:t>
            </w:r>
            <w:r>
              <w:rPr>
                <w:rFonts w:hint="eastAsia" w:ascii="宋体" w:hAnsi="宋体" w:cs="宋体"/>
                <w:color w:val="auto"/>
                <w:kern w:val="0"/>
                <w:sz w:val="24"/>
                <w:lang w:bidi="ar"/>
              </w:rPr>
              <w:t>电力”大类中“</w:t>
            </w:r>
            <w:r>
              <w:rPr>
                <w:rFonts w:hint="default"/>
                <w:color w:val="auto"/>
                <w:kern w:val="0"/>
                <w:sz w:val="24"/>
                <w:lang w:bidi="ar"/>
              </w:rPr>
              <w:t>34</w:t>
            </w:r>
            <w:r>
              <w:rPr>
                <w:rFonts w:hint="eastAsia" w:ascii="宋体" w:hAnsi="宋体" w:cs="宋体"/>
                <w:color w:val="auto"/>
                <w:kern w:val="0"/>
                <w:sz w:val="24"/>
                <w:lang w:bidi="ar"/>
              </w:rPr>
              <w:t>其他能源发电</w:t>
            </w:r>
            <w:r>
              <w:rPr>
                <w:rFonts w:hint="default"/>
                <w:color w:val="auto"/>
                <w:kern w:val="0"/>
                <w:sz w:val="24"/>
                <w:lang w:bidi="ar"/>
              </w:rPr>
              <w:t>—</w:t>
            </w:r>
            <w:r>
              <w:rPr>
                <w:rFonts w:hint="eastAsia" w:ascii="宋体" w:hAnsi="宋体" w:cs="宋体"/>
                <w:color w:val="auto"/>
                <w:kern w:val="0"/>
                <w:sz w:val="24"/>
                <w:lang w:bidi="ar"/>
              </w:rPr>
              <w:t>并网光伏发电”小类，地下水环境影响评价项目类别为Ⅳ类</w:t>
            </w:r>
            <w:r>
              <w:rPr>
                <w:rFonts w:hint="eastAsia" w:ascii="宋体" w:hAnsi="宋体" w:cs="宋体"/>
                <w:color w:val="auto"/>
                <w:kern w:val="0"/>
                <w:sz w:val="24"/>
                <w:lang w:eastAsia="zh-CN" w:bidi="ar"/>
              </w:rPr>
              <w:t>，</w:t>
            </w:r>
            <w:r>
              <w:rPr>
                <w:rFonts w:hint="eastAsia" w:ascii="宋体" w:hAnsi="宋体" w:cs="宋体"/>
                <w:color w:val="auto"/>
                <w:kern w:val="0"/>
                <w:sz w:val="24"/>
                <w:lang w:bidi="ar"/>
              </w:rPr>
              <w:t>根据《环境影响评价技术导则 地下水环境》（</w:t>
            </w:r>
            <w:r>
              <w:rPr>
                <w:rFonts w:hint="default"/>
                <w:color w:val="auto"/>
                <w:kern w:val="0"/>
                <w:sz w:val="24"/>
                <w:lang w:bidi="ar"/>
              </w:rPr>
              <w:t>HJ610-2016</w:t>
            </w:r>
            <w:r>
              <w:rPr>
                <w:rFonts w:hint="eastAsia" w:ascii="宋体" w:hAnsi="宋体" w:cs="宋体"/>
                <w:color w:val="auto"/>
                <w:kern w:val="0"/>
                <w:sz w:val="24"/>
                <w:lang w:bidi="ar"/>
              </w:rPr>
              <w:t>）</w:t>
            </w:r>
            <w:r>
              <w:rPr>
                <w:rFonts w:hint="eastAsia"/>
                <w:color w:val="auto"/>
                <w:kern w:val="0"/>
                <w:sz w:val="24"/>
                <w:lang w:val="en-US" w:eastAsia="zh-CN" w:bidi="ar"/>
              </w:rPr>
              <w:t>4.1</w:t>
            </w:r>
            <w:r>
              <w:rPr>
                <w:rFonts w:hint="eastAsia" w:ascii="宋体" w:hAnsi="宋体" w:cs="宋体"/>
                <w:color w:val="auto"/>
                <w:kern w:val="0"/>
                <w:sz w:val="24"/>
                <w:lang w:val="en-US" w:eastAsia="zh-CN" w:bidi="ar"/>
              </w:rPr>
              <w:t>可知，</w:t>
            </w:r>
            <w:r>
              <w:rPr>
                <w:rFonts w:hint="eastAsia" w:ascii="宋体" w:hAnsi="宋体" w:cs="宋体"/>
                <w:color w:val="auto"/>
                <w:kern w:val="0"/>
                <w:sz w:val="24"/>
                <w:lang w:bidi="ar"/>
              </w:rPr>
              <w:t>Ⅳ类建设项目不开展地下水环境影响评价。</w:t>
            </w:r>
          </w:p>
          <w:p w14:paraId="1EB6A4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color w:val="auto"/>
              </w:rPr>
            </w:pPr>
            <w:r>
              <w:rPr>
                <w:rFonts w:hint="eastAsia"/>
                <w:b/>
                <w:bCs/>
                <w:color w:val="auto"/>
                <w:kern w:val="0"/>
                <w:sz w:val="24"/>
                <w:lang w:val="en-US" w:eastAsia="zh-CN" w:bidi="ar"/>
              </w:rPr>
              <w:t>9</w:t>
            </w:r>
            <w:r>
              <w:rPr>
                <w:rFonts w:hint="default"/>
                <w:b/>
                <w:bCs/>
                <w:color w:val="auto"/>
                <w:kern w:val="0"/>
                <w:sz w:val="24"/>
                <w:lang w:bidi="ar"/>
              </w:rPr>
              <w:t>、</w:t>
            </w:r>
            <w:r>
              <w:rPr>
                <w:rFonts w:hint="eastAsia" w:ascii="宋体" w:hAnsi="宋体" w:cs="宋体"/>
                <w:b/>
                <w:bCs/>
                <w:color w:val="auto"/>
                <w:kern w:val="0"/>
                <w:sz w:val="24"/>
                <w:lang w:bidi="ar"/>
              </w:rPr>
              <w:t>土壤环境现状</w:t>
            </w:r>
          </w:p>
          <w:p w14:paraId="27BA2CF1">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kern w:val="0"/>
                <w:sz w:val="24"/>
              </w:rPr>
            </w:pPr>
            <w:r>
              <w:rPr>
                <w:rFonts w:hint="eastAsia" w:ascii="宋体" w:hAnsi="宋体" w:cs="宋体"/>
                <w:color w:val="auto"/>
                <w:kern w:val="0"/>
                <w:sz w:val="24"/>
                <w:lang w:bidi="ar"/>
              </w:rPr>
              <w:t>根据《环境影响评价技术导则 土壤环境（试行）》（</w:t>
            </w:r>
            <w:r>
              <w:rPr>
                <w:rFonts w:hint="default"/>
                <w:color w:val="auto"/>
                <w:kern w:val="0"/>
                <w:sz w:val="24"/>
                <w:lang w:bidi="ar"/>
              </w:rPr>
              <w:t>HJ964-2018</w:t>
            </w:r>
            <w:r>
              <w:rPr>
                <w:rFonts w:hint="eastAsia" w:ascii="宋体" w:hAnsi="宋体" w:cs="宋体"/>
                <w:color w:val="auto"/>
                <w:kern w:val="0"/>
                <w:sz w:val="24"/>
                <w:lang w:bidi="ar"/>
              </w:rPr>
              <w:t>）附录</w:t>
            </w:r>
            <w:r>
              <w:rPr>
                <w:rFonts w:hint="default"/>
                <w:color w:val="auto"/>
                <w:kern w:val="0"/>
                <w:sz w:val="24"/>
                <w:lang w:bidi="ar"/>
              </w:rPr>
              <w:t>A</w:t>
            </w:r>
            <w:r>
              <w:rPr>
                <w:rFonts w:hint="eastAsia" w:ascii="宋体" w:hAnsi="宋体" w:cs="宋体"/>
                <w:color w:val="auto"/>
                <w:kern w:val="0"/>
                <w:sz w:val="24"/>
                <w:lang w:bidi="ar"/>
              </w:rPr>
              <w:t>，本项目属于土壤环境影响评价项目类别中的“电力热力燃气及水生产和供应业</w:t>
            </w:r>
            <w:r>
              <w:rPr>
                <w:rFonts w:hint="default"/>
                <w:color w:val="auto"/>
                <w:kern w:val="0"/>
                <w:sz w:val="24"/>
                <w:lang w:bidi="ar"/>
              </w:rPr>
              <w:t>-</w:t>
            </w:r>
            <w:r>
              <w:rPr>
                <w:rFonts w:hint="eastAsia" w:ascii="宋体" w:hAnsi="宋体" w:cs="宋体"/>
                <w:color w:val="auto"/>
                <w:kern w:val="0"/>
                <w:sz w:val="24"/>
                <w:lang w:bidi="ar"/>
              </w:rPr>
              <w:t>其他”，为Ⅳ类建设项目，根据《环境影响评价技术导则 土壤环境（试行）》（</w:t>
            </w:r>
            <w:r>
              <w:rPr>
                <w:rFonts w:hint="default"/>
                <w:color w:val="auto"/>
                <w:kern w:val="0"/>
                <w:sz w:val="24"/>
                <w:lang w:bidi="ar"/>
              </w:rPr>
              <w:t>HJ964-2018</w:t>
            </w:r>
            <w:r>
              <w:rPr>
                <w:rFonts w:hint="eastAsia" w:ascii="宋体" w:hAnsi="宋体" w:cs="宋体"/>
                <w:color w:val="auto"/>
                <w:kern w:val="0"/>
                <w:sz w:val="24"/>
                <w:lang w:bidi="ar"/>
              </w:rPr>
              <w:t>）</w:t>
            </w:r>
            <w:r>
              <w:rPr>
                <w:rFonts w:hint="eastAsia"/>
                <w:color w:val="auto"/>
                <w:kern w:val="0"/>
                <w:sz w:val="24"/>
                <w:lang w:val="en-US" w:eastAsia="zh-CN" w:bidi="ar"/>
              </w:rPr>
              <w:t>4.2.2</w:t>
            </w:r>
            <w:r>
              <w:rPr>
                <w:rFonts w:hint="eastAsia" w:ascii="宋体" w:hAnsi="宋体" w:cs="宋体"/>
                <w:color w:val="auto"/>
                <w:kern w:val="0"/>
                <w:sz w:val="24"/>
                <w:lang w:val="en-US" w:eastAsia="zh-CN" w:bidi="ar"/>
              </w:rPr>
              <w:t>可知，</w:t>
            </w:r>
            <w:r>
              <w:rPr>
                <w:rFonts w:hint="eastAsia" w:ascii="宋体" w:hAnsi="宋体" w:cs="宋体"/>
                <w:color w:val="auto"/>
                <w:kern w:val="0"/>
                <w:sz w:val="24"/>
                <w:lang w:bidi="ar"/>
              </w:rPr>
              <w:t>Ⅳ类建设项目可不开展土壤环境影响评价。</w:t>
            </w:r>
          </w:p>
        </w:tc>
      </w:tr>
      <w:tr w14:paraId="6CED1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44" w:type="pct"/>
            <w:vAlign w:val="center"/>
          </w:tcPr>
          <w:p w14:paraId="50323F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color w:val="auto"/>
                <w:kern w:val="0"/>
                <w:sz w:val="24"/>
              </w:rPr>
            </w:pPr>
            <w:r>
              <w:rPr>
                <w:rFonts w:hint="default"/>
                <w:bCs/>
                <w:color w:val="auto"/>
                <w:sz w:val="24"/>
              </w:rPr>
              <w:t>与项目有关的原有环境污染和生态破坏问题</w:t>
            </w:r>
          </w:p>
        </w:tc>
        <w:tc>
          <w:tcPr>
            <w:tcW w:w="4755" w:type="pct"/>
            <w:vAlign w:val="center"/>
          </w:tcPr>
          <w:p w14:paraId="3AF74F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rPr>
                <w:rFonts w:hint="default"/>
                <w:color w:val="auto"/>
                <w:kern w:val="0"/>
                <w:szCs w:val="21"/>
              </w:rPr>
            </w:pPr>
            <w:r>
              <w:rPr>
                <w:rFonts w:hint="eastAsia" w:cs="宋体"/>
                <w:color w:val="auto"/>
                <w:kern w:val="0"/>
                <w:sz w:val="24"/>
              </w:rPr>
              <w:t>本项目为新建项目，不存在原有环境污染和生态破坏问题。</w:t>
            </w:r>
          </w:p>
        </w:tc>
      </w:tr>
      <w:tr w14:paraId="4B0BA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Align w:val="center"/>
          </w:tcPr>
          <w:p w14:paraId="407734E1">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生态环境保护目标</w:t>
            </w:r>
          </w:p>
        </w:tc>
        <w:tc>
          <w:tcPr>
            <w:tcW w:w="4755" w:type="pct"/>
            <w:vAlign w:val="center"/>
          </w:tcPr>
          <w:p w14:paraId="38EE5A79">
            <w:pPr>
              <w:pStyle w:val="1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both"/>
              <w:textAlignment w:val="auto"/>
              <w:rPr>
                <w:rFonts w:hint="eastAsia"/>
                <w:color w:val="auto"/>
                <w:sz w:val="24"/>
                <w:lang w:val="en-US" w:eastAsia="zh-CN"/>
              </w:rPr>
            </w:pPr>
            <w:r>
              <w:rPr>
                <w:rFonts w:hint="eastAsia" w:ascii="Times New Roman" w:eastAsia="宋体" w:cs="宋体"/>
                <w:b/>
                <w:bCs/>
                <w:color w:val="auto"/>
                <w:lang w:val="en-US" w:eastAsia="zh-CN"/>
              </w:rPr>
              <w:t>1</w:t>
            </w:r>
            <w:r>
              <w:rPr>
                <w:rFonts w:hint="eastAsia" w:ascii="Times New Roman" w:hAnsi="Times New Roman" w:eastAsia="宋体" w:cs="宋体"/>
                <w:b/>
                <w:bCs/>
                <w:color w:val="auto"/>
              </w:rPr>
              <w:t>、项目环境评价范围</w:t>
            </w:r>
          </w:p>
          <w:p w14:paraId="31FA4222">
            <w:pPr>
              <w:keepNext w:val="0"/>
              <w:keepLines w:val="0"/>
              <w:suppressLineNumbers w:val="0"/>
              <w:spacing w:before="0" w:beforeAutospacing="0" w:after="0" w:afterAutospacing="0" w:line="360" w:lineRule="auto"/>
              <w:ind w:left="0" w:right="0" w:firstLine="480" w:firstLineChars="200"/>
              <w:rPr>
                <w:rFonts w:hint="eastAsia"/>
                <w:color w:val="auto"/>
                <w:sz w:val="24"/>
                <w:lang w:eastAsia="zh-CN"/>
              </w:rPr>
            </w:pPr>
            <w:r>
              <w:rPr>
                <w:rFonts w:hint="eastAsia"/>
                <w:color w:val="auto"/>
                <w:sz w:val="24"/>
                <w:lang w:val="en-US" w:eastAsia="zh-CN"/>
              </w:rPr>
              <w:t>根据《建设项目环境影响报告表编制技术指南（生态影响类（试行））》：“按照环境影响评价相关技术导则要求确定评价范围并识别环境保护目标”。</w:t>
            </w:r>
            <w:r>
              <w:rPr>
                <w:rFonts w:hint="eastAsia"/>
                <w:color w:val="auto"/>
                <w:sz w:val="24"/>
              </w:rPr>
              <w:t>本项目</w:t>
            </w:r>
            <w:r>
              <w:rPr>
                <w:rFonts w:hint="eastAsia"/>
                <w:color w:val="auto"/>
                <w:sz w:val="24"/>
                <w:lang w:val="en-US" w:eastAsia="zh-CN"/>
              </w:rPr>
              <w:t>各环境要素</w:t>
            </w:r>
            <w:r>
              <w:rPr>
                <w:rFonts w:hint="eastAsia"/>
                <w:color w:val="auto"/>
                <w:sz w:val="24"/>
              </w:rPr>
              <w:t>评价范围</w:t>
            </w:r>
            <w:r>
              <w:rPr>
                <w:rFonts w:hint="eastAsia"/>
                <w:color w:val="auto"/>
                <w:sz w:val="24"/>
                <w:lang w:eastAsia="zh-CN"/>
              </w:rPr>
              <w:t>见下表。</w:t>
            </w:r>
          </w:p>
          <w:p w14:paraId="6B73787C">
            <w:pPr>
              <w:keepNext w:val="0"/>
              <w:keepLines w:val="0"/>
              <w:suppressLineNumbers w:val="0"/>
              <w:spacing w:before="0" w:beforeAutospacing="0" w:after="0" w:afterAutospacing="0" w:line="240" w:lineRule="auto"/>
              <w:ind w:left="0" w:right="0"/>
              <w:jc w:val="center"/>
              <w:rPr>
                <w:rFonts w:hint="eastAsia" w:eastAsia="宋体"/>
                <w:b/>
                <w:bCs/>
                <w:color w:val="auto"/>
                <w:sz w:val="21"/>
                <w:szCs w:val="21"/>
                <w:lang w:eastAsia="zh-CN"/>
              </w:rPr>
            </w:pPr>
            <w:r>
              <w:rPr>
                <w:rFonts w:hint="eastAsia"/>
                <w:b/>
                <w:bCs/>
                <w:color w:val="auto"/>
                <w:sz w:val="21"/>
                <w:szCs w:val="21"/>
                <w:lang w:eastAsia="zh-CN"/>
              </w:rPr>
              <w:t>表3-</w:t>
            </w:r>
            <w:r>
              <w:rPr>
                <w:rFonts w:hint="eastAsia"/>
                <w:b/>
                <w:bCs/>
                <w:color w:val="auto"/>
                <w:sz w:val="21"/>
                <w:szCs w:val="21"/>
                <w:lang w:val="en-US" w:eastAsia="zh-CN"/>
              </w:rPr>
              <w:t>8</w:t>
            </w:r>
            <w:r>
              <w:rPr>
                <w:rFonts w:hint="eastAsia"/>
                <w:b/>
                <w:bCs/>
                <w:color w:val="auto"/>
                <w:sz w:val="21"/>
                <w:szCs w:val="21"/>
                <w:lang w:eastAsia="zh-CN"/>
              </w:rPr>
              <w:t xml:space="preserve"> </w:t>
            </w:r>
            <w:r>
              <w:rPr>
                <w:rFonts w:hint="eastAsia"/>
                <w:b/>
                <w:bCs/>
                <w:color w:val="auto"/>
                <w:sz w:val="21"/>
                <w:szCs w:val="21"/>
                <w:lang w:val="en-US" w:eastAsia="zh-CN"/>
              </w:rPr>
              <w:t xml:space="preserve"> </w:t>
            </w:r>
            <w:r>
              <w:rPr>
                <w:rFonts w:hint="eastAsia"/>
                <w:b/>
                <w:bCs/>
                <w:color w:val="auto"/>
                <w:sz w:val="21"/>
                <w:szCs w:val="21"/>
                <w:lang w:eastAsia="zh-CN"/>
              </w:rPr>
              <w:t>评价范围一览表</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6653"/>
            </w:tblGrid>
            <w:tr w14:paraId="2C8C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tcPr>
                <w:p w14:paraId="52205F2D">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评价内容</w:t>
                  </w:r>
                </w:p>
              </w:tc>
              <w:tc>
                <w:tcPr>
                  <w:tcW w:w="4223" w:type="pct"/>
                </w:tcPr>
                <w:p w14:paraId="0C3459FF">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评价范围</w:t>
                  </w:r>
                </w:p>
              </w:tc>
            </w:tr>
            <w:tr w14:paraId="1DAE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4704E2D2">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大气环境</w:t>
                  </w:r>
                </w:p>
              </w:tc>
              <w:tc>
                <w:tcPr>
                  <w:tcW w:w="4223" w:type="pct"/>
                </w:tcPr>
                <w:p w14:paraId="53D4E7FD">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pacing w:val="-8"/>
                      <w:sz w:val="21"/>
                      <w:szCs w:val="21"/>
                      <w:lang w:val="en-US" w:eastAsia="zh-CN"/>
                    </w:rPr>
                  </w:pPr>
                  <w:r>
                    <w:rPr>
                      <w:rFonts w:hint="default" w:ascii="Times New Roman" w:hAnsi="Times New Roman"/>
                      <w:color w:val="auto"/>
                      <w:spacing w:val="-8"/>
                      <w:sz w:val="21"/>
                      <w:szCs w:val="21"/>
                    </w:rPr>
                    <w:t>根据《环境影响评价技术导则 大气环境》（HJ2.2-2018），</w:t>
                  </w:r>
                  <w:r>
                    <w:rPr>
                      <w:rFonts w:hint="eastAsia" w:ascii="Times New Roman" w:hAnsi="Times New Roman"/>
                      <w:color w:val="auto"/>
                      <w:spacing w:val="-8"/>
                      <w:sz w:val="21"/>
                      <w:szCs w:val="21"/>
                      <w:lang w:eastAsia="zh-CN"/>
                    </w:rPr>
                    <w:t>项目运营期无生产废气产生，评价等级为三级，</w:t>
                  </w:r>
                  <w:r>
                    <w:rPr>
                      <w:rFonts w:hint="default" w:ascii="Times New Roman" w:hAnsi="Times New Roman"/>
                      <w:color w:val="auto"/>
                      <w:spacing w:val="-8"/>
                      <w:sz w:val="21"/>
                      <w:szCs w:val="21"/>
                    </w:rPr>
                    <w:t>不设置评价范围</w:t>
                  </w:r>
                  <w:r>
                    <w:rPr>
                      <w:rFonts w:hint="eastAsia" w:ascii="Times New Roman" w:hAnsi="Times New Roman"/>
                      <w:color w:val="auto"/>
                      <w:spacing w:val="-8"/>
                      <w:sz w:val="21"/>
                      <w:szCs w:val="21"/>
                      <w:lang w:eastAsia="zh-CN"/>
                    </w:rPr>
                    <w:t>。项目参考《建设项目环境影响报告表编制技术指南（污染影响类）（试行）》，确定项目大气环境以</w:t>
                  </w:r>
                  <w:r>
                    <w:rPr>
                      <w:rFonts w:hint="default" w:ascii="Times New Roman" w:hAnsi="Times New Roman"/>
                      <w:color w:val="auto"/>
                      <w:spacing w:val="-8"/>
                      <w:sz w:val="21"/>
                      <w:szCs w:val="21"/>
                    </w:rPr>
                    <w:t>项目用地红线内及外延</w:t>
                  </w:r>
                  <w:r>
                    <w:rPr>
                      <w:rFonts w:hint="eastAsia" w:ascii="Times New Roman" w:hAnsi="Times New Roman"/>
                      <w:color w:val="auto"/>
                      <w:spacing w:val="-8"/>
                      <w:sz w:val="21"/>
                      <w:szCs w:val="21"/>
                      <w:lang w:val="en-US" w:eastAsia="zh-CN"/>
                    </w:rPr>
                    <w:t>500</w:t>
                  </w:r>
                  <w:r>
                    <w:rPr>
                      <w:rFonts w:hint="default" w:ascii="Times New Roman" w:hAnsi="Times New Roman"/>
                      <w:color w:val="auto"/>
                      <w:spacing w:val="-8"/>
                      <w:sz w:val="21"/>
                      <w:szCs w:val="21"/>
                    </w:rPr>
                    <w:t>m的区域</w:t>
                  </w:r>
                  <w:r>
                    <w:rPr>
                      <w:rFonts w:hint="eastAsia" w:ascii="Times New Roman" w:hAnsi="Times New Roman"/>
                      <w:color w:val="auto"/>
                      <w:spacing w:val="-8"/>
                      <w:sz w:val="21"/>
                      <w:szCs w:val="21"/>
                      <w:lang w:eastAsia="zh-CN"/>
                    </w:rPr>
                    <w:t>为评价范围。</w:t>
                  </w:r>
                </w:p>
              </w:tc>
            </w:tr>
            <w:tr w14:paraId="6763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3AEB2012">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声环境</w:t>
                  </w:r>
                </w:p>
              </w:tc>
              <w:tc>
                <w:tcPr>
                  <w:tcW w:w="4223" w:type="pct"/>
                </w:tcPr>
                <w:p w14:paraId="5C7ABC45">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pacing w:val="-8"/>
                      <w:sz w:val="21"/>
                      <w:szCs w:val="21"/>
                      <w:lang w:val="en-US" w:eastAsia="zh-CN"/>
                    </w:rPr>
                  </w:pPr>
                  <w:r>
                    <w:rPr>
                      <w:rFonts w:hint="default" w:ascii="Times New Roman" w:hAnsi="Times New Roman"/>
                      <w:color w:val="auto"/>
                      <w:spacing w:val="-8"/>
                      <w:sz w:val="21"/>
                      <w:szCs w:val="21"/>
                    </w:rPr>
                    <w:t>根据《环境影响评价技术导则 声环境》（HJ2.4-2021），评价范围为项目用地红线内及外延</w:t>
                  </w:r>
                  <w:r>
                    <w:rPr>
                      <w:rFonts w:hint="eastAsia" w:ascii="Times New Roman" w:hAnsi="Times New Roman"/>
                      <w:color w:val="auto"/>
                      <w:spacing w:val="-8"/>
                      <w:sz w:val="21"/>
                      <w:szCs w:val="21"/>
                      <w:lang w:val="en-US" w:eastAsia="zh-CN"/>
                    </w:rPr>
                    <w:t>200</w:t>
                  </w:r>
                  <w:r>
                    <w:rPr>
                      <w:rFonts w:hint="default" w:ascii="Times New Roman" w:hAnsi="Times New Roman"/>
                      <w:color w:val="auto"/>
                      <w:spacing w:val="-8"/>
                      <w:sz w:val="21"/>
                      <w:szCs w:val="21"/>
                    </w:rPr>
                    <w:t>m的区域</w:t>
                  </w:r>
                  <w:r>
                    <w:rPr>
                      <w:rFonts w:hint="eastAsia" w:ascii="Times New Roman" w:hAnsi="Times New Roman"/>
                      <w:color w:val="auto"/>
                      <w:spacing w:val="-8"/>
                      <w:sz w:val="21"/>
                      <w:szCs w:val="21"/>
                      <w:lang w:eastAsia="zh-CN"/>
                    </w:rPr>
                    <w:t>。</w:t>
                  </w:r>
                </w:p>
              </w:tc>
            </w:tr>
            <w:tr w14:paraId="1D1C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054D0FCA">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地表水环境</w:t>
                  </w:r>
                </w:p>
              </w:tc>
              <w:tc>
                <w:tcPr>
                  <w:tcW w:w="4223" w:type="pct"/>
                </w:tcPr>
                <w:p w14:paraId="244EE336">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地表水环境》（HJ2.3-2018），</w:t>
                  </w:r>
                  <w:r>
                    <w:rPr>
                      <w:rFonts w:hint="default" w:ascii="Times New Roman" w:hAnsi="Times New Roman" w:cs="Times New Roman"/>
                      <w:color w:val="auto"/>
                      <w:sz w:val="21"/>
                      <w:szCs w:val="21"/>
                      <w:lang w:val="en-US" w:eastAsia="zh-CN"/>
                    </w:rPr>
                    <w:t>由于本工程施工期及运营期不外排污水</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本次评价重点对施工期污水、</w:t>
                  </w:r>
                  <w:r>
                    <w:rPr>
                      <w:rFonts w:hint="eastAsia" w:ascii="Times New Roman" w:hAnsi="Times New Roman" w:cs="Times New Roman"/>
                      <w:color w:val="auto"/>
                      <w:sz w:val="21"/>
                      <w:szCs w:val="21"/>
                      <w:lang w:val="en-US" w:eastAsia="zh-CN"/>
                    </w:rPr>
                    <w:t>光伏</w:t>
                  </w:r>
                  <w:r>
                    <w:rPr>
                      <w:rFonts w:hint="default" w:ascii="Times New Roman" w:hAnsi="Times New Roman" w:cs="Times New Roman"/>
                      <w:color w:val="auto"/>
                      <w:sz w:val="21"/>
                      <w:szCs w:val="21"/>
                      <w:lang w:val="en-US" w:eastAsia="zh-CN"/>
                    </w:rPr>
                    <w:t>板清</w:t>
                  </w:r>
                  <w:r>
                    <w:rPr>
                      <w:rFonts w:hint="eastAsia" w:ascii="Times New Roman" w:hAnsi="Times New Roman" w:cs="Times New Roman"/>
                      <w:color w:val="auto"/>
                      <w:sz w:val="21"/>
                      <w:szCs w:val="21"/>
                      <w:lang w:val="en-US" w:eastAsia="zh-CN"/>
                    </w:rPr>
                    <w:t>洁</w:t>
                  </w:r>
                  <w:r>
                    <w:rPr>
                      <w:rFonts w:hint="default" w:ascii="Times New Roman" w:hAnsi="Times New Roman" w:cs="Times New Roman"/>
                      <w:color w:val="auto"/>
                      <w:sz w:val="21"/>
                      <w:szCs w:val="21"/>
                      <w:lang w:val="en-US" w:eastAsia="zh-CN"/>
                    </w:rPr>
                    <w:t>废水的回用可行性及可靠性进行分析评价。</w:t>
                  </w:r>
                </w:p>
              </w:tc>
            </w:tr>
            <w:tr w14:paraId="0DE2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08DA3525">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生态环境</w:t>
                  </w:r>
                </w:p>
              </w:tc>
              <w:tc>
                <w:tcPr>
                  <w:tcW w:w="4223" w:type="pct"/>
                </w:tcPr>
                <w:p w14:paraId="56AC7D90">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生态环境》（HJ19-2022），</w:t>
                  </w:r>
                  <w:r>
                    <w:rPr>
                      <w:rFonts w:hint="default" w:ascii="Times New Roman" w:hAnsi="Times New Roman"/>
                      <w:color w:val="auto"/>
                      <w:spacing w:val="-8"/>
                      <w:sz w:val="21"/>
                      <w:szCs w:val="21"/>
                    </w:rPr>
                    <w:t>评价范围为</w:t>
                  </w:r>
                  <w:r>
                    <w:rPr>
                      <w:rFonts w:hint="default" w:ascii="Times New Roman" w:hAnsi="Times New Roman" w:cs="Times New Roman"/>
                      <w:color w:val="auto"/>
                      <w:sz w:val="21"/>
                      <w:szCs w:val="21"/>
                      <w:lang w:val="en-US" w:eastAsia="zh-CN"/>
                    </w:rPr>
                    <w:t>用地红线范围内</w:t>
                  </w:r>
                  <w:r>
                    <w:rPr>
                      <w:rFonts w:hint="default" w:ascii="Times New Roman" w:hAnsi="Times New Roman"/>
                      <w:color w:val="auto"/>
                      <w:spacing w:val="-8"/>
                      <w:sz w:val="21"/>
                      <w:szCs w:val="21"/>
                    </w:rPr>
                    <w:t>及</w:t>
                  </w:r>
                  <w:r>
                    <w:rPr>
                      <w:rFonts w:hint="default" w:ascii="Times New Roman" w:hAnsi="Times New Roman" w:cs="Times New Roman"/>
                      <w:color w:val="auto"/>
                      <w:sz w:val="21"/>
                      <w:szCs w:val="21"/>
                      <w:lang w:val="en-US" w:eastAsia="zh-CN"/>
                    </w:rPr>
                    <w:t>外延300m的区域</w:t>
                  </w:r>
                  <w:r>
                    <w:rPr>
                      <w:rFonts w:hint="eastAsia" w:ascii="Times New Roman" w:hAnsi="Times New Roman" w:cs="Times New Roman"/>
                      <w:color w:val="auto"/>
                      <w:sz w:val="21"/>
                      <w:szCs w:val="21"/>
                      <w:lang w:val="en-US" w:eastAsia="zh-CN"/>
                    </w:rPr>
                    <w:t>。</w:t>
                  </w:r>
                </w:p>
              </w:tc>
            </w:tr>
            <w:tr w14:paraId="7687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43689239">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地下水环境</w:t>
                  </w:r>
                </w:p>
              </w:tc>
              <w:tc>
                <w:tcPr>
                  <w:tcW w:w="4223" w:type="pct"/>
                </w:tcPr>
                <w:p w14:paraId="73FD7B5B">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地下水环境》（HJ610-2016），</w:t>
                  </w:r>
                  <w:r>
                    <w:rPr>
                      <w:rFonts w:hint="default" w:ascii="Times New Roman" w:hAnsi="Times New Roman" w:cs="Times New Roman"/>
                      <w:color w:val="auto"/>
                      <w:sz w:val="21"/>
                      <w:szCs w:val="21"/>
                      <w:lang w:val="en-US" w:eastAsia="zh-CN"/>
                    </w:rPr>
                    <w:t>地下水环境影响评价项目类别为Ⅳ类，Ⅳ类项目不开展地下水环境影响评价。</w:t>
                  </w:r>
                </w:p>
              </w:tc>
            </w:tr>
            <w:tr w14:paraId="1F98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235C120D">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土壤环境</w:t>
                  </w:r>
                </w:p>
              </w:tc>
              <w:tc>
                <w:tcPr>
                  <w:tcW w:w="4223" w:type="pct"/>
                </w:tcPr>
                <w:p w14:paraId="1F9FAA32">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firstLine="0" w:firstLineChars="0"/>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8"/>
                      <w:sz w:val="21"/>
                      <w:szCs w:val="21"/>
                      <w:lang w:val="en-US" w:eastAsia="zh-CN"/>
                    </w:rPr>
                    <w:t>根据《环境影响评价技术导则 土壤环境（试行）》（HJ964-2018），</w:t>
                  </w:r>
                  <w:r>
                    <w:rPr>
                      <w:rFonts w:hint="default" w:ascii="Times New Roman" w:hAnsi="Times New Roman" w:cs="Times New Roman"/>
                      <w:color w:val="auto"/>
                      <w:sz w:val="21"/>
                      <w:szCs w:val="21"/>
                      <w:lang w:val="en-US" w:eastAsia="zh-CN"/>
                    </w:rPr>
                    <w:t>土壤环境评价项目类别为Ⅳ类，Ⅳ类项目可不开展土壤环境影响评价。</w:t>
                  </w:r>
                </w:p>
              </w:tc>
            </w:tr>
          </w:tbl>
          <w:p w14:paraId="11600F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b/>
                <w:bCs/>
                <w:color w:val="auto"/>
                <w:sz w:val="24"/>
              </w:rPr>
            </w:pPr>
            <w:r>
              <w:rPr>
                <w:rFonts w:hint="eastAsia" w:ascii="Times New Roman" w:hAnsi="Times New Roman" w:eastAsia="宋体"/>
                <w:b/>
                <w:bCs/>
                <w:color w:val="auto"/>
                <w:sz w:val="24"/>
                <w:lang w:val="en-US" w:eastAsia="zh-CN"/>
              </w:rPr>
              <w:t>2、</w:t>
            </w:r>
            <w:r>
              <w:rPr>
                <w:rFonts w:hint="eastAsia" w:ascii="Times New Roman" w:hAnsi="Times New Roman" w:eastAsia="宋体"/>
                <w:b/>
                <w:bCs/>
                <w:color w:val="auto"/>
                <w:sz w:val="24"/>
              </w:rPr>
              <w:t>项目环境保护目标</w:t>
            </w:r>
          </w:p>
          <w:p w14:paraId="324D3BD7">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color w:val="auto"/>
                <w:sz w:val="24"/>
              </w:rPr>
            </w:pP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1</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生态环境保护目标</w:t>
            </w:r>
          </w:p>
          <w:p w14:paraId="42FD78B7">
            <w:pPr>
              <w:keepNext w:val="0"/>
              <w:keepLines w:val="0"/>
              <w:suppressLineNumbers w:val="0"/>
              <w:spacing w:before="0" w:beforeAutospacing="0" w:after="0" w:afterAutospacing="0" w:line="360" w:lineRule="auto"/>
              <w:ind w:left="0" w:right="0"/>
              <w:jc w:val="left"/>
              <w:rPr>
                <w:rFonts w:hint="default" w:ascii="Times New Roman" w:hAnsi="Times New Roman" w:eastAsia="宋体"/>
                <w:color w:val="auto"/>
                <w:sz w:val="24"/>
              </w:rPr>
            </w:pPr>
            <w:r>
              <w:rPr>
                <w:rFonts w:hint="default" w:ascii="Times New Roman" w:hAnsi="Times New Roman" w:eastAsia="宋体"/>
                <w:color w:val="auto"/>
                <w:sz w:val="24"/>
              </w:rPr>
              <w:t xml:space="preserve">    本项目不涉及自然保护区、风景名胜区、饮用水水源保护区等环境敏感区，主要生态环境保护目标为评价区植被植物</w:t>
            </w:r>
            <w:r>
              <w:rPr>
                <w:rFonts w:hint="eastAsia" w:ascii="Times New Roman" w:hAnsi="Times New Roman" w:eastAsia="宋体"/>
                <w:color w:val="auto"/>
                <w:sz w:val="24"/>
                <w:lang w:eastAsia="zh-CN"/>
              </w:rPr>
              <w:t>、</w:t>
            </w:r>
            <w:r>
              <w:rPr>
                <w:rFonts w:hint="default" w:ascii="Times New Roman" w:hAnsi="Times New Roman" w:eastAsia="宋体"/>
                <w:color w:val="auto"/>
                <w:sz w:val="24"/>
              </w:rPr>
              <w:t>陆生脊椎动物</w:t>
            </w:r>
            <w:r>
              <w:rPr>
                <w:rFonts w:hint="eastAsia" w:ascii="Times New Roman" w:hAnsi="Times New Roman" w:eastAsia="宋体"/>
                <w:color w:val="auto"/>
                <w:sz w:val="24"/>
                <w:lang w:eastAsia="zh-CN"/>
              </w:rPr>
              <w:t>等</w:t>
            </w:r>
            <w:r>
              <w:rPr>
                <w:rFonts w:hint="default" w:ascii="Times New Roman" w:hAnsi="Times New Roman" w:eastAsia="宋体"/>
                <w:color w:val="auto"/>
                <w:sz w:val="24"/>
              </w:rPr>
              <w:t>。</w:t>
            </w:r>
          </w:p>
          <w:p w14:paraId="1C1ECABA">
            <w:pPr>
              <w:keepNext w:val="0"/>
              <w:keepLines w:val="0"/>
              <w:suppressLineNumbers w:val="0"/>
              <w:spacing w:before="0" w:beforeAutospacing="0" w:after="0" w:afterAutospacing="0" w:line="240" w:lineRule="auto"/>
              <w:ind w:left="0" w:right="0"/>
              <w:jc w:val="center"/>
              <w:rPr>
                <w:rFonts w:hint="default" w:ascii="Times New Roman" w:hAnsi="Times New Roman" w:eastAsia="宋体"/>
                <w:b/>
                <w:color w:val="auto"/>
                <w:sz w:val="21"/>
                <w:szCs w:val="21"/>
              </w:rPr>
            </w:pPr>
            <w:r>
              <w:rPr>
                <w:rFonts w:hint="default" w:ascii="Times New Roman" w:hAnsi="Times New Roman" w:eastAsia="宋体"/>
                <w:b/>
                <w:color w:val="auto"/>
                <w:sz w:val="21"/>
                <w:szCs w:val="21"/>
              </w:rPr>
              <w:t>表3-</w:t>
            </w:r>
            <w:r>
              <w:rPr>
                <w:rFonts w:hint="eastAsia"/>
                <w:b/>
                <w:color w:val="auto"/>
                <w:sz w:val="21"/>
                <w:szCs w:val="21"/>
                <w:lang w:val="en-US" w:eastAsia="zh-CN"/>
              </w:rPr>
              <w:t>9</w:t>
            </w:r>
            <w:r>
              <w:rPr>
                <w:rFonts w:hint="eastAsia" w:ascii="Times New Roman" w:hAnsi="Times New Roman" w:eastAsia="宋体"/>
                <w:b/>
                <w:color w:val="auto"/>
                <w:sz w:val="21"/>
                <w:szCs w:val="21"/>
              </w:rPr>
              <w:t xml:space="preserve">  </w:t>
            </w:r>
            <w:r>
              <w:rPr>
                <w:rFonts w:hint="eastAsia" w:ascii="Times New Roman" w:hAnsi="Times New Roman" w:eastAsia="宋体"/>
                <w:b/>
                <w:color w:val="auto"/>
                <w:sz w:val="21"/>
                <w:szCs w:val="21"/>
                <w:lang w:eastAsia="zh-CN"/>
              </w:rPr>
              <w:t>生态环境</w:t>
            </w:r>
            <w:r>
              <w:rPr>
                <w:rFonts w:hint="eastAsia" w:ascii="Times New Roman" w:hAnsi="Times New Roman" w:eastAsia="宋体"/>
                <w:b/>
                <w:color w:val="auto"/>
                <w:sz w:val="21"/>
                <w:szCs w:val="21"/>
              </w:rPr>
              <w:t>保</w:t>
            </w:r>
            <w:r>
              <w:rPr>
                <w:rFonts w:hint="default" w:ascii="Times New Roman" w:hAnsi="Times New Roman" w:eastAsia="宋体"/>
                <w:b/>
                <w:color w:val="auto"/>
                <w:sz w:val="21"/>
                <w:szCs w:val="21"/>
              </w:rPr>
              <w:t>护目标一览表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21"/>
              <w:gridCol w:w="1479"/>
              <w:gridCol w:w="2011"/>
              <w:gridCol w:w="2673"/>
              <w:gridCol w:w="990"/>
            </w:tblGrid>
            <w:tr w14:paraId="31FE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tblHeader/>
                <w:jc w:val="center"/>
              </w:trPr>
              <w:tc>
                <w:tcPr>
                  <w:tcW w:w="457" w:type="pct"/>
                  <w:tcBorders>
                    <w:top w:val="single" w:color="auto" w:sz="4" w:space="0"/>
                  </w:tcBorders>
                  <w:noWrap w:val="0"/>
                  <w:vAlign w:val="center"/>
                </w:tcPr>
                <w:p w14:paraId="7DF77AF4">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default" w:ascii="Times New Roman" w:hAnsi="Times New Roman" w:eastAsia="宋体"/>
                      <w:b/>
                      <w:color w:val="auto"/>
                      <w:sz w:val="21"/>
                      <w:szCs w:val="21"/>
                      <w:lang w:val="en-US" w:eastAsia="zh-CN"/>
                    </w:rPr>
                    <w:t>环境要素</w:t>
                  </w:r>
                </w:p>
              </w:tc>
              <w:tc>
                <w:tcPr>
                  <w:tcW w:w="939" w:type="pct"/>
                  <w:tcBorders>
                    <w:top w:val="single" w:color="auto" w:sz="4" w:space="0"/>
                  </w:tcBorders>
                  <w:noWrap w:val="0"/>
                  <w:vAlign w:val="center"/>
                </w:tcPr>
                <w:p w14:paraId="78924E7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default" w:ascii="Times New Roman" w:hAnsi="Times New Roman" w:eastAsia="宋体"/>
                      <w:b/>
                      <w:color w:val="auto"/>
                      <w:sz w:val="21"/>
                      <w:szCs w:val="21"/>
                      <w:lang w:val="en-US" w:eastAsia="zh-CN"/>
                    </w:rPr>
                    <w:t>保护对象</w:t>
                  </w:r>
                </w:p>
              </w:tc>
              <w:tc>
                <w:tcPr>
                  <w:tcW w:w="1276" w:type="pct"/>
                  <w:tcBorders>
                    <w:top w:val="single" w:color="auto" w:sz="4" w:space="0"/>
                  </w:tcBorders>
                  <w:noWrap w:val="0"/>
                  <w:vAlign w:val="center"/>
                </w:tcPr>
                <w:p w14:paraId="1F7A4D7C">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特性/</w:t>
                  </w:r>
                  <w:r>
                    <w:rPr>
                      <w:rFonts w:hint="default" w:ascii="Times New Roman" w:hAnsi="Times New Roman" w:eastAsia="宋体"/>
                      <w:b/>
                      <w:color w:val="auto"/>
                      <w:sz w:val="21"/>
                      <w:szCs w:val="21"/>
                      <w:lang w:val="en-US" w:eastAsia="zh-CN"/>
                    </w:rPr>
                    <w:t>规模</w:t>
                  </w:r>
                </w:p>
              </w:tc>
              <w:tc>
                <w:tcPr>
                  <w:tcW w:w="1697" w:type="pct"/>
                  <w:tcBorders>
                    <w:top w:val="single" w:color="auto" w:sz="4" w:space="0"/>
                  </w:tcBorders>
                  <w:noWrap w:val="0"/>
                  <w:vAlign w:val="center"/>
                </w:tcPr>
                <w:p w14:paraId="4D37E6AE">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default" w:ascii="Times New Roman" w:hAnsi="Times New Roman" w:eastAsia="宋体"/>
                      <w:b/>
                      <w:color w:val="auto"/>
                      <w:sz w:val="21"/>
                      <w:szCs w:val="21"/>
                      <w:lang w:val="en-US" w:eastAsia="zh-CN"/>
                    </w:rPr>
                    <w:t>位置</w:t>
                  </w:r>
                </w:p>
              </w:tc>
              <w:tc>
                <w:tcPr>
                  <w:tcW w:w="628" w:type="pct"/>
                  <w:tcBorders>
                    <w:top w:val="single" w:color="auto" w:sz="4" w:space="0"/>
                  </w:tcBorders>
                  <w:noWrap w:val="0"/>
                  <w:vAlign w:val="center"/>
                </w:tcPr>
                <w:p w14:paraId="2BC324AC">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lang w:val="en-US" w:eastAsia="zh-CN"/>
                    </w:rPr>
                  </w:pPr>
                  <w:r>
                    <w:rPr>
                      <w:rFonts w:hint="eastAsia" w:ascii="Times New Roman" w:hAnsi="Times New Roman" w:eastAsia="宋体"/>
                      <w:b/>
                      <w:color w:val="auto"/>
                      <w:sz w:val="21"/>
                      <w:szCs w:val="21"/>
                    </w:rPr>
                    <w:t>保护要求</w:t>
                  </w:r>
                </w:p>
              </w:tc>
            </w:tr>
            <w:tr w14:paraId="6A98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457" w:type="pct"/>
                  <w:vMerge w:val="restart"/>
                  <w:noWrap w:val="0"/>
                  <w:vAlign w:val="center"/>
                </w:tcPr>
                <w:p w14:paraId="01C8E9E4">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生态环境</w:t>
                  </w:r>
                </w:p>
              </w:tc>
              <w:tc>
                <w:tcPr>
                  <w:tcW w:w="939" w:type="pct"/>
                  <w:noWrap w:val="0"/>
                  <w:vAlign w:val="center"/>
                </w:tcPr>
                <w:p w14:paraId="1B815C5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陆生植被植物</w:t>
                  </w:r>
                </w:p>
              </w:tc>
              <w:tc>
                <w:tcPr>
                  <w:tcW w:w="1276" w:type="pct"/>
                  <w:noWrap w:val="0"/>
                  <w:vAlign w:val="center"/>
                </w:tcPr>
                <w:p w14:paraId="7201C1F9">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自然植被</w:t>
                  </w:r>
                </w:p>
              </w:tc>
              <w:tc>
                <w:tcPr>
                  <w:tcW w:w="1697" w:type="pct"/>
                  <w:noWrap w:val="0"/>
                  <w:vAlign w:val="center"/>
                </w:tcPr>
                <w:p w14:paraId="3EBDD9B5">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eastAsia" w:ascii="Times New Roman" w:hAnsi="Times New Roman" w:eastAsia="宋体"/>
                      <w:color w:val="auto"/>
                      <w:kern w:val="0"/>
                      <w:sz w:val="21"/>
                      <w:szCs w:val="21"/>
                      <w:lang w:val="en-US" w:eastAsia="zh-CN"/>
                    </w:rPr>
                    <w:t>项目</w:t>
                  </w:r>
                  <w:r>
                    <w:rPr>
                      <w:rFonts w:hint="default" w:ascii="Times New Roman" w:hAnsi="Times New Roman" w:eastAsia="宋体"/>
                      <w:color w:val="auto"/>
                      <w:kern w:val="0"/>
                      <w:sz w:val="21"/>
                      <w:szCs w:val="21"/>
                    </w:rPr>
                    <w:t>用地红线</w:t>
                  </w:r>
                  <w:r>
                    <w:rPr>
                      <w:rFonts w:hint="eastAsia" w:ascii="Times New Roman" w:hAnsi="Times New Roman" w:eastAsia="宋体"/>
                      <w:color w:val="auto"/>
                      <w:kern w:val="0"/>
                      <w:sz w:val="21"/>
                      <w:szCs w:val="21"/>
                    </w:rPr>
                    <w:t>范围内及</w:t>
                  </w:r>
                  <w:r>
                    <w:rPr>
                      <w:rFonts w:hint="default" w:ascii="Times New Roman" w:hAnsi="Times New Roman" w:eastAsia="宋体"/>
                      <w:color w:val="auto"/>
                      <w:kern w:val="0"/>
                      <w:sz w:val="21"/>
                      <w:szCs w:val="21"/>
                    </w:rPr>
                    <w:t>外延300m</w:t>
                  </w:r>
                  <w:r>
                    <w:rPr>
                      <w:rFonts w:hint="eastAsia" w:ascii="Times New Roman" w:hAnsi="Times New Roman" w:eastAsia="宋体"/>
                      <w:color w:val="auto"/>
                      <w:kern w:val="0"/>
                      <w:sz w:val="21"/>
                      <w:szCs w:val="21"/>
                    </w:rPr>
                    <w:t>的区域</w:t>
                  </w:r>
                </w:p>
              </w:tc>
              <w:tc>
                <w:tcPr>
                  <w:tcW w:w="628" w:type="pct"/>
                  <w:noWrap w:val="0"/>
                  <w:vAlign w:val="center"/>
                </w:tcPr>
                <w:p w14:paraId="1108D298">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影响小</w:t>
                  </w:r>
                </w:p>
              </w:tc>
            </w:tr>
            <w:tr w14:paraId="3829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7" w:type="pct"/>
                  <w:vMerge w:val="continue"/>
                  <w:noWrap w:val="0"/>
                  <w:vAlign w:val="center"/>
                </w:tcPr>
                <w:p w14:paraId="75252AF9">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p>
              </w:tc>
              <w:tc>
                <w:tcPr>
                  <w:tcW w:w="939" w:type="pct"/>
                  <w:noWrap w:val="0"/>
                  <w:vAlign w:val="center"/>
                </w:tcPr>
                <w:p w14:paraId="2C091D98">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default" w:ascii="Times New Roman" w:hAnsi="Times New Roman" w:eastAsia="宋体"/>
                      <w:color w:val="auto"/>
                      <w:sz w:val="21"/>
                      <w:szCs w:val="21"/>
                      <w:lang w:val="en-US" w:eastAsia="zh-CN"/>
                    </w:rPr>
                    <w:t>陆生脊椎动物</w:t>
                  </w:r>
                </w:p>
              </w:tc>
              <w:tc>
                <w:tcPr>
                  <w:tcW w:w="1276" w:type="pct"/>
                  <w:noWrap w:val="0"/>
                  <w:vAlign w:val="center"/>
                </w:tcPr>
                <w:p w14:paraId="200C5213">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两栖类、爬行类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鸟类、哺乳类野生动物</w:t>
                  </w:r>
                </w:p>
              </w:tc>
              <w:tc>
                <w:tcPr>
                  <w:tcW w:w="1697" w:type="pct"/>
                  <w:noWrap w:val="0"/>
                  <w:vAlign w:val="center"/>
                </w:tcPr>
                <w:p w14:paraId="7E7C128B">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default" w:ascii="Times New Roman" w:hAnsi="Times New Roman" w:eastAsia="宋体"/>
                      <w:color w:val="auto"/>
                      <w:sz w:val="21"/>
                      <w:szCs w:val="21"/>
                      <w:lang w:val="en-US" w:eastAsia="zh-CN"/>
                    </w:rPr>
                    <w:t>项目占地范围及周边</w:t>
                  </w:r>
                </w:p>
              </w:tc>
              <w:tc>
                <w:tcPr>
                  <w:tcW w:w="628" w:type="pct"/>
                  <w:noWrap w:val="0"/>
                  <w:vAlign w:val="center"/>
                </w:tcPr>
                <w:p w14:paraId="3389502F">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olor w:val="auto"/>
                      <w:sz w:val="21"/>
                      <w:szCs w:val="21"/>
                      <w:lang w:val="en-US" w:eastAsia="zh-CN"/>
                    </w:rPr>
                    <w:t>影响小</w:t>
                  </w:r>
                </w:p>
              </w:tc>
            </w:tr>
            <w:tr w14:paraId="6674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7" w:type="pct"/>
                  <w:vMerge w:val="continue"/>
                  <w:noWrap w:val="0"/>
                  <w:vAlign w:val="center"/>
                </w:tcPr>
                <w:p w14:paraId="5D9FB7AA">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p>
              </w:tc>
              <w:tc>
                <w:tcPr>
                  <w:tcW w:w="939" w:type="pct"/>
                  <w:shd w:val="clear" w:color="auto" w:fill="auto"/>
                  <w:noWrap w:val="0"/>
                  <w:vAlign w:val="center"/>
                </w:tcPr>
                <w:p w14:paraId="77215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3"/>
                      <w:sz w:val="21"/>
                      <w:szCs w:val="21"/>
                      <w:highlight w:val="none"/>
                      <w:lang w:eastAsia="zh-CN"/>
                    </w:rPr>
                    <w:t>生态保护红线</w:t>
                  </w:r>
                </w:p>
              </w:tc>
              <w:tc>
                <w:tcPr>
                  <w:tcW w:w="1276" w:type="pct"/>
                  <w:shd w:val="clear" w:color="auto" w:fill="auto"/>
                  <w:noWrap w:val="0"/>
                  <w:vAlign w:val="center"/>
                </w:tcPr>
                <w:p w14:paraId="04A10B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color w:val="auto"/>
                      <w:sz w:val="21"/>
                      <w:szCs w:val="21"/>
                      <w:highlight w:val="none"/>
                      <w:lang w:val="en-US" w:eastAsia="zh-CN"/>
                    </w:rPr>
                    <w:t>7#方阵东侧1.34m</w:t>
                  </w:r>
                  <w:r>
                    <w:rPr>
                      <w:rFonts w:hint="eastAsia" w:ascii="Times New Roman" w:hAnsi="Times New Roman" w:eastAsia="宋体" w:cs="Times New Roman"/>
                      <w:color w:val="auto"/>
                      <w:kern w:val="3"/>
                      <w:sz w:val="21"/>
                      <w:szCs w:val="21"/>
                      <w:highlight w:val="none"/>
                      <w:lang w:eastAsia="zh-CN"/>
                    </w:rPr>
                    <w:t>，</w:t>
                  </w:r>
                  <w:r>
                    <w:rPr>
                      <w:rFonts w:hint="default" w:ascii="Times New Roman" w:hAnsi="Times New Roman" w:cs="Times New Roman"/>
                      <w:color w:val="auto"/>
                      <w:kern w:val="0"/>
                      <w:sz w:val="21"/>
                      <w:szCs w:val="21"/>
                      <w:highlight w:val="none"/>
                    </w:rPr>
                    <w:t>生态红线类型为</w:t>
                  </w:r>
                  <w:r>
                    <w:rPr>
                      <w:rFonts w:hint="eastAsia"/>
                      <w:color w:val="auto"/>
                      <w:lang w:eastAsia="zh-CN"/>
                    </w:rPr>
                    <w:t>高原湖泊及牛栏江上游水源涵养生态保护红线</w:t>
                  </w:r>
                </w:p>
              </w:tc>
              <w:tc>
                <w:tcPr>
                  <w:tcW w:w="1697" w:type="pct"/>
                  <w:shd w:val="clear" w:color="auto" w:fill="auto"/>
                  <w:noWrap w:val="0"/>
                  <w:vAlign w:val="center"/>
                </w:tcPr>
                <w:p w14:paraId="40EDDE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以不破坏生物多样性、生态系统完整性为标准</w:t>
                  </w:r>
                </w:p>
              </w:tc>
              <w:tc>
                <w:tcPr>
                  <w:tcW w:w="628" w:type="pct"/>
                  <w:noWrap w:val="0"/>
                  <w:vAlign w:val="center"/>
                </w:tcPr>
                <w:p w14:paraId="6A796DA7">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影响小</w:t>
                  </w:r>
                </w:p>
              </w:tc>
            </w:tr>
            <w:tr w14:paraId="312B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7" w:type="pct"/>
                  <w:vMerge w:val="continue"/>
                  <w:noWrap w:val="0"/>
                  <w:vAlign w:val="center"/>
                </w:tcPr>
                <w:p w14:paraId="44C75F3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lang w:val="en-US" w:eastAsia="zh-CN"/>
                    </w:rPr>
                  </w:pPr>
                </w:p>
              </w:tc>
              <w:tc>
                <w:tcPr>
                  <w:tcW w:w="939" w:type="pct"/>
                  <w:shd w:val="clear" w:color="auto" w:fill="auto"/>
                  <w:noWrap w:val="0"/>
                  <w:vAlign w:val="center"/>
                </w:tcPr>
                <w:p w14:paraId="413A3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3"/>
                      <w:sz w:val="21"/>
                      <w:szCs w:val="21"/>
                      <w:highlight w:val="none"/>
                      <w:lang w:val="en-US" w:eastAsia="zh-CN"/>
                    </w:rPr>
                  </w:pPr>
                  <w:r>
                    <w:rPr>
                      <w:rFonts w:hint="default" w:ascii="Times New Roman" w:hAnsi="Times New Roman" w:eastAsia="宋体" w:cs="Times New Roman"/>
                      <w:color w:val="auto"/>
                      <w:kern w:val="3"/>
                      <w:sz w:val="21"/>
                      <w:szCs w:val="21"/>
                      <w:highlight w:val="none"/>
                      <w:lang w:eastAsia="zh-CN"/>
                    </w:rPr>
                    <w:t>土地利用</w:t>
                  </w:r>
                </w:p>
              </w:tc>
              <w:tc>
                <w:tcPr>
                  <w:tcW w:w="1276" w:type="pct"/>
                  <w:shd w:val="clear" w:color="auto" w:fill="auto"/>
                  <w:noWrap w:val="0"/>
                  <w:vAlign w:val="center"/>
                </w:tcPr>
                <w:p w14:paraId="3129D3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3"/>
                      <w:sz w:val="21"/>
                      <w:szCs w:val="21"/>
                      <w:highlight w:val="none"/>
                      <w:lang w:val="en-US" w:eastAsia="zh-CN"/>
                    </w:rPr>
                  </w:pPr>
                  <w:r>
                    <w:rPr>
                      <w:rFonts w:hint="eastAsia" w:ascii="Times New Roman" w:hAnsi="Times New Roman" w:eastAsia="宋体" w:cs="Times New Roman"/>
                      <w:color w:val="auto"/>
                      <w:kern w:val="3"/>
                      <w:sz w:val="21"/>
                      <w:szCs w:val="21"/>
                      <w:highlight w:val="none"/>
                      <w:lang w:val="en-US" w:eastAsia="zh-CN"/>
                    </w:rPr>
                    <w:t>项目3#方阵南侧83.33m为</w:t>
                  </w:r>
                  <w:r>
                    <w:rPr>
                      <w:rFonts w:hint="default" w:ascii="Times New Roman" w:hAnsi="Times New Roman" w:eastAsia="宋体" w:cs="Times New Roman"/>
                      <w:color w:val="auto"/>
                      <w:kern w:val="3"/>
                      <w:sz w:val="21"/>
                      <w:szCs w:val="21"/>
                      <w:highlight w:val="none"/>
                      <w:lang w:val="en-US" w:eastAsia="zh-CN"/>
                    </w:rPr>
                    <w:t>永久基本农田</w:t>
                  </w:r>
                </w:p>
              </w:tc>
              <w:tc>
                <w:tcPr>
                  <w:tcW w:w="1697" w:type="pct"/>
                  <w:shd w:val="clear" w:color="auto" w:fill="auto"/>
                  <w:noWrap w:val="0"/>
                  <w:vAlign w:val="center"/>
                </w:tcPr>
                <w:p w14:paraId="53A35E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3"/>
                      <w:sz w:val="21"/>
                      <w:szCs w:val="21"/>
                      <w:highlight w:val="none"/>
                      <w:lang w:val="en-US" w:eastAsia="zh-CN"/>
                    </w:rPr>
                  </w:pPr>
                  <w:r>
                    <w:rPr>
                      <w:rFonts w:hint="default" w:ascii="Times New Roman" w:hAnsi="Times New Roman" w:eastAsia="宋体" w:cs="Times New Roman"/>
                      <w:color w:val="auto"/>
                      <w:kern w:val="3"/>
                      <w:sz w:val="21"/>
                      <w:szCs w:val="21"/>
                      <w:highlight w:val="none"/>
                      <w:lang w:val="en-US" w:eastAsia="zh-CN"/>
                    </w:rPr>
                    <w:t>确保不占用永久基本农田</w:t>
                  </w:r>
                </w:p>
              </w:tc>
              <w:tc>
                <w:tcPr>
                  <w:tcW w:w="628" w:type="pct"/>
                  <w:noWrap w:val="0"/>
                  <w:vAlign w:val="center"/>
                </w:tcPr>
                <w:p w14:paraId="48A5E6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3"/>
                      <w:sz w:val="21"/>
                      <w:szCs w:val="21"/>
                      <w:highlight w:val="none"/>
                      <w:lang w:val="en-US" w:eastAsia="zh-CN"/>
                    </w:rPr>
                  </w:pPr>
                  <w:r>
                    <w:rPr>
                      <w:rFonts w:hint="eastAsia" w:ascii="Times New Roman" w:hAnsi="Times New Roman" w:eastAsia="宋体" w:cs="Times New Roman"/>
                      <w:color w:val="auto"/>
                      <w:kern w:val="3"/>
                      <w:sz w:val="21"/>
                      <w:szCs w:val="21"/>
                      <w:highlight w:val="none"/>
                      <w:lang w:val="en-US" w:eastAsia="zh-CN"/>
                    </w:rPr>
                    <w:t>影响小</w:t>
                  </w:r>
                </w:p>
              </w:tc>
            </w:tr>
          </w:tbl>
          <w:p w14:paraId="6EE7D17C">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color w:val="auto"/>
                <w:sz w:val="24"/>
              </w:rPr>
            </w:pPr>
            <w:r>
              <w:rPr>
                <w:rFonts w:hint="eastAsia" w:ascii="Times New Roman" w:hAnsi="Times New Roman" w:eastAsia="宋体"/>
                <w:color w:val="auto"/>
                <w:sz w:val="24"/>
              </w:rPr>
              <w:t xml:space="preserve">    </w:t>
            </w: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2</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地表水环境保护目标</w:t>
            </w:r>
          </w:p>
          <w:p w14:paraId="115F1CCD">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olor w:val="auto"/>
                <w:sz w:val="24"/>
              </w:rPr>
            </w:pPr>
            <w:r>
              <w:rPr>
                <w:rFonts w:hint="default" w:ascii="Times New Roman" w:hAnsi="Times New Roman" w:eastAsia="宋体"/>
                <w:color w:val="auto"/>
                <w:sz w:val="24"/>
              </w:rPr>
              <w:t>项目周边地表水环境保护目标如下表所示。</w:t>
            </w:r>
          </w:p>
          <w:p w14:paraId="46AB05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eastAsia" w:cs="Times New Roman"/>
                <w:b/>
                <w:color w:val="auto"/>
                <w:sz w:val="21"/>
                <w:szCs w:val="21"/>
                <w:lang w:val="en-US" w:eastAsia="zh-CN"/>
              </w:rPr>
              <w:t>10</w:t>
            </w:r>
            <w:r>
              <w:rPr>
                <w:rFonts w:hint="eastAsia"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rPr>
              <w:t>地表水环境保护目标一览表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5"/>
              <w:gridCol w:w="1001"/>
              <w:gridCol w:w="1287"/>
              <w:gridCol w:w="761"/>
              <w:gridCol w:w="1667"/>
              <w:gridCol w:w="1213"/>
              <w:gridCol w:w="1400"/>
            </w:tblGrid>
            <w:tr w14:paraId="3CD2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tblHeader/>
                <w:jc w:val="center"/>
              </w:trPr>
              <w:tc>
                <w:tcPr>
                  <w:tcW w:w="346" w:type="pct"/>
                  <w:tcBorders>
                    <w:top w:val="single" w:color="auto" w:sz="4" w:space="0"/>
                  </w:tcBorders>
                  <w:noWrap w:val="0"/>
                  <w:vAlign w:val="center"/>
                </w:tcPr>
                <w:p w14:paraId="378EF9D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环境要素</w:t>
                  </w:r>
                </w:p>
              </w:tc>
              <w:tc>
                <w:tcPr>
                  <w:tcW w:w="635" w:type="pct"/>
                  <w:tcBorders>
                    <w:top w:val="single" w:color="auto" w:sz="4" w:space="0"/>
                  </w:tcBorders>
                  <w:noWrap w:val="0"/>
                  <w:vAlign w:val="center"/>
                </w:tcPr>
                <w:p w14:paraId="7B4819E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保护对象</w:t>
                  </w:r>
                </w:p>
              </w:tc>
              <w:tc>
                <w:tcPr>
                  <w:tcW w:w="817" w:type="pct"/>
                  <w:tcBorders>
                    <w:top w:val="single" w:color="auto" w:sz="4" w:space="0"/>
                  </w:tcBorders>
                  <w:noWrap w:val="0"/>
                  <w:vAlign w:val="center"/>
                </w:tcPr>
                <w:p w14:paraId="05E2EE98">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与项目位置关系</w:t>
                  </w:r>
                </w:p>
              </w:tc>
              <w:tc>
                <w:tcPr>
                  <w:tcW w:w="483" w:type="pct"/>
                  <w:tcBorders>
                    <w:top w:val="single" w:color="auto" w:sz="4" w:space="0"/>
                  </w:tcBorders>
                  <w:noWrap w:val="0"/>
                  <w:vAlign w:val="center"/>
                </w:tcPr>
                <w:p w14:paraId="06EAFAE7">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距离（m）</w:t>
                  </w:r>
                </w:p>
              </w:tc>
              <w:tc>
                <w:tcPr>
                  <w:tcW w:w="1058" w:type="pct"/>
                  <w:tcBorders>
                    <w:top w:val="single" w:color="auto" w:sz="4" w:space="0"/>
                  </w:tcBorders>
                  <w:noWrap w:val="0"/>
                  <w:vAlign w:val="center"/>
                </w:tcPr>
                <w:p w14:paraId="6A7081D4">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eastAsia="宋体"/>
                      <w:b/>
                      <w:color w:val="auto"/>
                      <w:sz w:val="21"/>
                      <w:szCs w:val="21"/>
                      <w:lang w:eastAsia="zh-CN"/>
                    </w:rPr>
                  </w:pPr>
                  <w:r>
                    <w:rPr>
                      <w:rFonts w:hint="eastAsia" w:ascii="Times New Roman" w:hAnsi="Times New Roman" w:eastAsia="宋体"/>
                      <w:b/>
                      <w:color w:val="auto"/>
                      <w:sz w:val="21"/>
                      <w:szCs w:val="21"/>
                      <w:lang w:eastAsia="zh-CN"/>
                    </w:rPr>
                    <w:t>水体功能</w:t>
                  </w:r>
                </w:p>
              </w:tc>
              <w:tc>
                <w:tcPr>
                  <w:tcW w:w="770" w:type="pct"/>
                  <w:tcBorders>
                    <w:top w:val="single" w:color="auto" w:sz="4" w:space="0"/>
                  </w:tcBorders>
                  <w:noWrap w:val="0"/>
                  <w:vAlign w:val="center"/>
                </w:tcPr>
                <w:p w14:paraId="5D81FC37">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特性/规模</w:t>
                  </w:r>
                </w:p>
              </w:tc>
              <w:tc>
                <w:tcPr>
                  <w:tcW w:w="889" w:type="pct"/>
                  <w:tcBorders>
                    <w:top w:val="single" w:color="auto" w:sz="4" w:space="0"/>
                  </w:tcBorders>
                  <w:noWrap w:val="0"/>
                  <w:vAlign w:val="center"/>
                </w:tcPr>
                <w:p w14:paraId="55EE27BF">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保护级别</w:t>
                  </w:r>
                </w:p>
              </w:tc>
            </w:tr>
            <w:tr w14:paraId="6F64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restart"/>
                  <w:noWrap w:val="0"/>
                  <w:vAlign w:val="center"/>
                </w:tcPr>
                <w:p w14:paraId="49F0B4A9">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水环境</w:t>
                  </w:r>
                </w:p>
              </w:tc>
              <w:tc>
                <w:tcPr>
                  <w:tcW w:w="635" w:type="pct"/>
                  <w:noWrap w:val="0"/>
                  <w:vAlign w:val="center"/>
                </w:tcPr>
                <w:p w14:paraId="459EE0CA">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牛栏江</w:t>
                  </w:r>
                </w:p>
              </w:tc>
              <w:tc>
                <w:tcPr>
                  <w:tcW w:w="817" w:type="pct"/>
                  <w:noWrap w:val="0"/>
                  <w:vAlign w:val="center"/>
                </w:tcPr>
                <w:p w14:paraId="7A362661">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7#方阵东北侧</w:t>
                  </w:r>
                </w:p>
              </w:tc>
              <w:tc>
                <w:tcPr>
                  <w:tcW w:w="483" w:type="pct"/>
                  <w:noWrap w:val="0"/>
                  <w:vAlign w:val="center"/>
                </w:tcPr>
                <w:p w14:paraId="72ADC765">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5100</w:t>
                  </w:r>
                </w:p>
              </w:tc>
              <w:tc>
                <w:tcPr>
                  <w:tcW w:w="1058" w:type="pct"/>
                  <w:noWrap w:val="0"/>
                  <w:vAlign w:val="center"/>
                </w:tcPr>
                <w:p w14:paraId="276DA4E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大型调水水源区</w:t>
                  </w:r>
                </w:p>
              </w:tc>
              <w:tc>
                <w:tcPr>
                  <w:tcW w:w="770" w:type="pct"/>
                  <w:noWrap w:val="0"/>
                  <w:vAlign w:val="center"/>
                </w:tcPr>
                <w:p w14:paraId="6BB9456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地表水体</w:t>
                  </w:r>
                </w:p>
              </w:tc>
              <w:tc>
                <w:tcPr>
                  <w:tcW w:w="889" w:type="pct"/>
                  <w:vMerge w:val="restart"/>
                  <w:noWrap w:val="0"/>
                  <w:vAlign w:val="center"/>
                </w:tcPr>
                <w:p w14:paraId="37CD80E3">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lang w:val="en-US" w:eastAsia="zh-CN" w:bidi="ar-SA"/>
                    </w:rPr>
                  </w:pPr>
                  <w:r>
                    <w:rPr>
                      <w:rFonts w:hint="default" w:ascii="Times New Roman" w:hAnsi="Times New Roman"/>
                      <w:color w:val="auto"/>
                      <w:sz w:val="21"/>
                      <w:szCs w:val="21"/>
                      <w:lang w:val="en-US" w:eastAsia="zh-CN"/>
                    </w:rPr>
                    <w:t>《地表水环境质量标准》（GB3838-2002）Ⅲ类标准</w:t>
                  </w:r>
                </w:p>
              </w:tc>
            </w:tr>
            <w:tr w14:paraId="118A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5F7E2231">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noWrap w:val="0"/>
                  <w:vAlign w:val="center"/>
                </w:tcPr>
                <w:p w14:paraId="5A4878F4">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干河</w:t>
                  </w:r>
                </w:p>
              </w:tc>
              <w:tc>
                <w:tcPr>
                  <w:tcW w:w="817" w:type="pct"/>
                  <w:noWrap w:val="0"/>
                  <w:vAlign w:val="center"/>
                </w:tcPr>
                <w:p w14:paraId="5D64528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7#方阵东北侧</w:t>
                  </w:r>
                </w:p>
              </w:tc>
              <w:tc>
                <w:tcPr>
                  <w:tcW w:w="483" w:type="pct"/>
                  <w:noWrap w:val="0"/>
                  <w:vAlign w:val="center"/>
                </w:tcPr>
                <w:p w14:paraId="6380A7F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1750</w:t>
                  </w:r>
                </w:p>
              </w:tc>
              <w:tc>
                <w:tcPr>
                  <w:tcW w:w="1058" w:type="pct"/>
                  <w:noWrap w:val="0"/>
                  <w:vAlign w:val="center"/>
                </w:tcPr>
                <w:p w14:paraId="16DBF9E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河流</w:t>
                  </w:r>
                </w:p>
              </w:tc>
              <w:tc>
                <w:tcPr>
                  <w:tcW w:w="770" w:type="pct"/>
                  <w:noWrap w:val="0"/>
                  <w:vAlign w:val="center"/>
                </w:tcPr>
                <w:p w14:paraId="30742BF1">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地表水体</w:t>
                  </w:r>
                </w:p>
              </w:tc>
              <w:tc>
                <w:tcPr>
                  <w:tcW w:w="889" w:type="pct"/>
                  <w:vMerge w:val="continue"/>
                  <w:noWrap w:val="0"/>
                  <w:vAlign w:val="center"/>
                </w:tcPr>
                <w:p w14:paraId="260FF5E3">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0694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3E16F9A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noWrap w:val="0"/>
                  <w:vAlign w:val="center"/>
                </w:tcPr>
                <w:p w14:paraId="0FE8A0C6">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eastAsia="宋体" w:cs="Times New Roman"/>
                      <w:color w:val="auto"/>
                      <w:sz w:val="21"/>
                      <w:szCs w:val="21"/>
                      <w:vertAlign w:val="baseline"/>
                      <w:lang w:val="en-US" w:eastAsia="zh-CN"/>
                    </w:rPr>
                    <w:t>长地沟</w:t>
                  </w:r>
                </w:p>
              </w:tc>
              <w:tc>
                <w:tcPr>
                  <w:tcW w:w="817" w:type="pct"/>
                  <w:shd w:val="clear" w:color="auto" w:fill="auto"/>
                  <w:noWrap w:val="0"/>
                  <w:vAlign w:val="center"/>
                </w:tcPr>
                <w:p w14:paraId="37F1CA4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6</w:t>
                  </w:r>
                  <w:r>
                    <w:rPr>
                      <w:rFonts w:hint="eastAsia" w:ascii="Times New Roman" w:hAnsi="Times New Roman"/>
                      <w:color w:val="auto"/>
                      <w:sz w:val="21"/>
                      <w:szCs w:val="21"/>
                      <w:lang w:val="en-US" w:eastAsia="zh-CN"/>
                    </w:rPr>
                    <w:t>#方阵东北侧</w:t>
                  </w:r>
                </w:p>
              </w:tc>
              <w:tc>
                <w:tcPr>
                  <w:tcW w:w="483" w:type="pct"/>
                  <w:shd w:val="clear" w:color="auto" w:fill="auto"/>
                  <w:noWrap w:val="0"/>
                  <w:vAlign w:val="center"/>
                </w:tcPr>
                <w:p w14:paraId="2A2D5A5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360</w:t>
                  </w:r>
                  <w:r>
                    <w:rPr>
                      <w:rFonts w:hint="default" w:ascii="Times New Roman" w:hAnsi="Times New Roman" w:eastAsia="宋体" w:cs="Arial"/>
                      <w:color w:val="auto"/>
                      <w:sz w:val="21"/>
                      <w:szCs w:val="21"/>
                    </w:rPr>
                    <w:t>m</w:t>
                  </w:r>
                </w:p>
              </w:tc>
              <w:tc>
                <w:tcPr>
                  <w:tcW w:w="1058" w:type="pct"/>
                  <w:noWrap w:val="0"/>
                  <w:vAlign w:val="center"/>
                </w:tcPr>
                <w:p w14:paraId="10EB5913">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季节性箐沟</w:t>
                  </w:r>
                </w:p>
              </w:tc>
              <w:tc>
                <w:tcPr>
                  <w:tcW w:w="770" w:type="pct"/>
                  <w:noWrap w:val="0"/>
                  <w:vAlign w:val="center"/>
                </w:tcPr>
                <w:p w14:paraId="31881EA4">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地表水体</w:t>
                  </w:r>
                </w:p>
              </w:tc>
              <w:tc>
                <w:tcPr>
                  <w:tcW w:w="889" w:type="pct"/>
                  <w:vMerge w:val="continue"/>
                  <w:noWrap w:val="0"/>
                  <w:vAlign w:val="center"/>
                </w:tcPr>
                <w:p w14:paraId="5596EF0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5980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51F859A0">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noWrap w:val="0"/>
                  <w:vAlign w:val="center"/>
                </w:tcPr>
                <w:p w14:paraId="233E561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长地箐</w:t>
                  </w:r>
                </w:p>
              </w:tc>
              <w:tc>
                <w:tcPr>
                  <w:tcW w:w="817" w:type="pct"/>
                  <w:noWrap w:val="0"/>
                  <w:vAlign w:val="center"/>
                </w:tcPr>
                <w:p w14:paraId="5763D314">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r>
                    <w:rPr>
                      <w:rFonts w:hint="eastAsia" w:ascii="Times New Roman"/>
                      <w:color w:val="auto"/>
                      <w:sz w:val="21"/>
                      <w:szCs w:val="21"/>
                      <w:lang w:val="en-US" w:eastAsia="zh-CN"/>
                    </w:rPr>
                    <w:t>8</w:t>
                  </w:r>
                  <w:r>
                    <w:rPr>
                      <w:rFonts w:hint="eastAsia" w:ascii="Times New Roman" w:hAnsi="Times New Roman"/>
                      <w:color w:val="auto"/>
                      <w:sz w:val="21"/>
                      <w:szCs w:val="21"/>
                      <w:lang w:val="en-US" w:eastAsia="zh-CN"/>
                    </w:rPr>
                    <w:t>#方阵西侧</w:t>
                  </w:r>
                </w:p>
              </w:tc>
              <w:tc>
                <w:tcPr>
                  <w:tcW w:w="483" w:type="pct"/>
                  <w:noWrap w:val="0"/>
                  <w:vAlign w:val="center"/>
                </w:tcPr>
                <w:p w14:paraId="3C5B2CB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lang w:val="en-US" w:eastAsia="zh-CN" w:bidi="ar-SA"/>
                    </w:rPr>
                  </w:pPr>
                  <w:r>
                    <w:rPr>
                      <w:rFonts w:hint="eastAsia" w:ascii="Times New Roman"/>
                      <w:color w:val="auto"/>
                      <w:kern w:val="0"/>
                      <w:sz w:val="21"/>
                      <w:szCs w:val="21"/>
                      <w:lang w:val="en-US" w:eastAsia="zh-CN" w:bidi="ar-SA"/>
                    </w:rPr>
                    <w:t>21</w:t>
                  </w:r>
                </w:p>
              </w:tc>
              <w:tc>
                <w:tcPr>
                  <w:tcW w:w="1058" w:type="pct"/>
                  <w:noWrap w:val="0"/>
                  <w:vAlign w:val="center"/>
                </w:tcPr>
                <w:p w14:paraId="1FCB3BE2">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山箐沟</w:t>
                  </w:r>
                </w:p>
              </w:tc>
              <w:tc>
                <w:tcPr>
                  <w:tcW w:w="770" w:type="pct"/>
                  <w:noWrap w:val="0"/>
                  <w:vAlign w:val="center"/>
                </w:tcPr>
                <w:p w14:paraId="77C34A7A">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地表水体</w:t>
                  </w:r>
                </w:p>
              </w:tc>
              <w:tc>
                <w:tcPr>
                  <w:tcW w:w="889" w:type="pct"/>
                  <w:vMerge w:val="continue"/>
                  <w:noWrap w:val="0"/>
                  <w:vAlign w:val="center"/>
                </w:tcPr>
                <w:p w14:paraId="5646BAB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7649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0BE55723">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noWrap w:val="0"/>
                  <w:vAlign w:val="center"/>
                </w:tcPr>
                <w:p w14:paraId="32138C95">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小石岩沟</w:t>
                  </w:r>
                </w:p>
              </w:tc>
              <w:tc>
                <w:tcPr>
                  <w:tcW w:w="817" w:type="pct"/>
                  <w:shd w:val="clear" w:color="auto" w:fill="auto"/>
                  <w:noWrap w:val="0"/>
                  <w:vAlign w:val="center"/>
                </w:tcPr>
                <w:p w14:paraId="547B4A2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9</w:t>
                  </w:r>
                  <w:r>
                    <w:rPr>
                      <w:rFonts w:hint="eastAsia" w:ascii="Times New Roman" w:hAnsi="Times New Roman"/>
                      <w:color w:val="auto"/>
                      <w:sz w:val="21"/>
                      <w:szCs w:val="21"/>
                      <w:lang w:val="en-US" w:eastAsia="zh-CN"/>
                    </w:rPr>
                    <w:t>#方阵西侧</w:t>
                  </w:r>
                </w:p>
              </w:tc>
              <w:tc>
                <w:tcPr>
                  <w:tcW w:w="483" w:type="pct"/>
                  <w:shd w:val="clear" w:color="auto" w:fill="auto"/>
                  <w:noWrap w:val="0"/>
                  <w:vAlign w:val="center"/>
                </w:tcPr>
                <w:p w14:paraId="300E8421">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kern w:val="0"/>
                      <w:sz w:val="21"/>
                      <w:szCs w:val="21"/>
                      <w:lang w:val="en-US" w:eastAsia="zh-CN" w:bidi="ar-SA"/>
                    </w:rPr>
                    <w:t>730</w:t>
                  </w:r>
                </w:p>
              </w:tc>
              <w:tc>
                <w:tcPr>
                  <w:tcW w:w="1058" w:type="pct"/>
                  <w:shd w:val="clear" w:color="auto" w:fill="auto"/>
                  <w:noWrap w:val="0"/>
                  <w:vAlign w:val="center"/>
                </w:tcPr>
                <w:p w14:paraId="391C60A8">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山箐沟</w:t>
                  </w:r>
                </w:p>
              </w:tc>
              <w:tc>
                <w:tcPr>
                  <w:tcW w:w="770" w:type="pct"/>
                  <w:shd w:val="clear" w:color="auto" w:fill="auto"/>
                  <w:noWrap w:val="0"/>
                  <w:vAlign w:val="center"/>
                </w:tcPr>
                <w:p w14:paraId="34E573DF">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地表水体</w:t>
                  </w:r>
                </w:p>
              </w:tc>
              <w:tc>
                <w:tcPr>
                  <w:tcW w:w="889" w:type="pct"/>
                  <w:vMerge w:val="continue"/>
                  <w:noWrap w:val="0"/>
                  <w:vAlign w:val="center"/>
                </w:tcPr>
                <w:p w14:paraId="3453E22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57CC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49A493B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shd w:val="clear" w:color="auto" w:fill="auto"/>
                  <w:noWrap w:val="0"/>
                  <w:vAlign w:val="center"/>
                </w:tcPr>
                <w:p w14:paraId="0A4C28B6">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化桃箐水库</w:t>
                  </w:r>
                </w:p>
              </w:tc>
              <w:tc>
                <w:tcPr>
                  <w:tcW w:w="817" w:type="pct"/>
                  <w:shd w:val="clear" w:color="auto" w:fill="auto"/>
                  <w:noWrap w:val="0"/>
                  <w:vAlign w:val="center"/>
                </w:tcPr>
                <w:p w14:paraId="069DF364">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w:t>
                  </w:r>
                  <w:r>
                    <w:rPr>
                      <w:rFonts w:hint="eastAsia" w:ascii="Times New Roman" w:hAnsi="Times New Roman" w:eastAsia="宋体" w:cs="Times New Roman"/>
                      <w:b w:val="0"/>
                      <w:bCs w:val="0"/>
                      <w:color w:val="auto"/>
                      <w:kern w:val="2"/>
                      <w:sz w:val="21"/>
                      <w:szCs w:val="21"/>
                      <w:highlight w:val="none"/>
                      <w:lang w:val="en-US" w:eastAsia="zh-CN" w:bidi="ar-SA"/>
                    </w:rPr>
                    <w:t>方阵</w:t>
                  </w:r>
                  <w:r>
                    <w:rPr>
                      <w:rFonts w:hint="eastAsia" w:cs="Times New Roman"/>
                      <w:b w:val="0"/>
                      <w:bCs w:val="0"/>
                      <w:color w:val="auto"/>
                      <w:kern w:val="2"/>
                      <w:sz w:val="21"/>
                      <w:szCs w:val="21"/>
                      <w:highlight w:val="none"/>
                      <w:lang w:val="en-US" w:eastAsia="zh-CN" w:bidi="ar-SA"/>
                    </w:rPr>
                    <w:t>东南</w:t>
                  </w:r>
                  <w:r>
                    <w:rPr>
                      <w:rFonts w:hint="eastAsia" w:ascii="Times New Roman" w:hAnsi="Times New Roman" w:cs="Times New Roman"/>
                      <w:color w:val="auto"/>
                      <w:sz w:val="21"/>
                      <w:szCs w:val="21"/>
                      <w:highlight w:val="none"/>
                      <w:lang w:val="en-US" w:eastAsia="zh-CN"/>
                    </w:rPr>
                    <w:t>侧</w:t>
                  </w:r>
                </w:p>
              </w:tc>
              <w:tc>
                <w:tcPr>
                  <w:tcW w:w="483" w:type="pct"/>
                  <w:noWrap w:val="0"/>
                  <w:vAlign w:val="center"/>
                </w:tcPr>
                <w:p w14:paraId="2F88D44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color w:val="auto"/>
                      <w:kern w:val="0"/>
                      <w:sz w:val="21"/>
                      <w:szCs w:val="21"/>
                      <w:lang w:val="en-US" w:eastAsia="zh-CN" w:bidi="ar-SA"/>
                    </w:rPr>
                  </w:pPr>
                  <w:r>
                    <w:rPr>
                      <w:rFonts w:hint="default" w:ascii="Times New Roman" w:hAnsi="Times New Roman" w:cs="Times New Roman"/>
                      <w:color w:val="auto"/>
                      <w:sz w:val="21"/>
                      <w:szCs w:val="21"/>
                      <w:highlight w:val="none"/>
                      <w:lang w:val="en-US" w:eastAsia="zh-CN"/>
                    </w:rPr>
                    <w:t>1940</w:t>
                  </w:r>
                </w:p>
              </w:tc>
              <w:tc>
                <w:tcPr>
                  <w:tcW w:w="1058" w:type="pct"/>
                  <w:noWrap w:val="0"/>
                  <w:vAlign w:val="center"/>
                </w:tcPr>
                <w:p w14:paraId="7BA1029F">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饮用二级、一般鱼类保护、工业用水、农业用水</w:t>
                  </w:r>
                </w:p>
              </w:tc>
              <w:tc>
                <w:tcPr>
                  <w:tcW w:w="770" w:type="pct"/>
                  <w:noWrap w:val="0"/>
                  <w:vAlign w:val="center"/>
                </w:tcPr>
                <w:p w14:paraId="71DA9FD2">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饮用水水源保护地</w:t>
                  </w:r>
                </w:p>
              </w:tc>
              <w:tc>
                <w:tcPr>
                  <w:tcW w:w="889" w:type="pct"/>
                  <w:vMerge w:val="continue"/>
                  <w:noWrap w:val="0"/>
                  <w:vAlign w:val="center"/>
                </w:tcPr>
                <w:p w14:paraId="3765D884">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lang w:val="en-US" w:eastAsia="zh-CN"/>
                    </w:rPr>
                  </w:pPr>
                </w:p>
              </w:tc>
            </w:tr>
            <w:tr w14:paraId="4E3E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6" w:type="pct"/>
                  <w:vMerge w:val="continue"/>
                  <w:noWrap w:val="0"/>
                  <w:vAlign w:val="center"/>
                </w:tcPr>
                <w:p w14:paraId="1E0F5556">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rPr>
                  </w:pPr>
                </w:p>
              </w:tc>
              <w:tc>
                <w:tcPr>
                  <w:tcW w:w="635" w:type="pct"/>
                  <w:shd w:val="clear" w:color="auto" w:fill="auto"/>
                  <w:noWrap w:val="0"/>
                  <w:vAlign w:val="center"/>
                </w:tcPr>
                <w:p w14:paraId="26E9CE7A">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eastAsia="zh-CN"/>
                    </w:rPr>
                    <w:t>昆明市寻甸县河口镇化桃箐水库饮用水水源保护区</w:t>
                  </w:r>
                </w:p>
              </w:tc>
              <w:tc>
                <w:tcPr>
                  <w:tcW w:w="817" w:type="pct"/>
                  <w:shd w:val="clear" w:color="auto" w:fill="auto"/>
                  <w:noWrap w:val="0"/>
                  <w:vAlign w:val="center"/>
                </w:tcPr>
                <w:p w14:paraId="39911AAA">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8#方阵东侧</w:t>
                  </w:r>
                </w:p>
              </w:tc>
              <w:tc>
                <w:tcPr>
                  <w:tcW w:w="483" w:type="pct"/>
                  <w:noWrap w:val="0"/>
                  <w:vAlign w:val="center"/>
                </w:tcPr>
                <w:p w14:paraId="4CE6F362">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1058" w:type="pct"/>
                  <w:shd w:val="clear" w:color="auto" w:fill="auto"/>
                  <w:noWrap w:val="0"/>
                  <w:vAlign w:val="center"/>
                </w:tcPr>
                <w:p w14:paraId="0BBA8875">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饮用二级、一般鱼类保护、工业用水、农业用水</w:t>
                  </w:r>
                </w:p>
              </w:tc>
              <w:tc>
                <w:tcPr>
                  <w:tcW w:w="770" w:type="pct"/>
                  <w:shd w:val="clear" w:color="auto" w:fill="auto"/>
                  <w:noWrap w:val="0"/>
                  <w:vAlign w:val="center"/>
                </w:tcPr>
                <w:p w14:paraId="3E733278">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饮用水水源保护地</w:t>
                  </w:r>
                </w:p>
              </w:tc>
              <w:tc>
                <w:tcPr>
                  <w:tcW w:w="889" w:type="pct"/>
                  <w:noWrap w:val="0"/>
                  <w:vAlign w:val="center"/>
                </w:tcPr>
                <w:p w14:paraId="15E926DB">
                  <w:pPr>
                    <w:keepNext w:val="0"/>
                    <w:keepLines w:val="0"/>
                    <w:suppressLineNumbers w:val="0"/>
                    <w:adjustRightIn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《地表水环境质量标准》（GB3838-2002）Ⅲ类标准</w:t>
                  </w:r>
                </w:p>
              </w:tc>
            </w:tr>
          </w:tbl>
          <w:p w14:paraId="0DDFA576">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color w:val="auto"/>
                <w:sz w:val="24"/>
              </w:rPr>
            </w:pPr>
            <w:r>
              <w:rPr>
                <w:rFonts w:hint="default" w:ascii="Times New Roman" w:hAnsi="Times New Roman" w:eastAsia="宋体"/>
                <w:color w:val="auto"/>
                <w:sz w:val="24"/>
              </w:rPr>
              <w:t xml:space="preserve">    </w:t>
            </w: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3</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环境空气保护目标</w:t>
            </w:r>
          </w:p>
          <w:p w14:paraId="7C6D3885">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olor w:val="auto"/>
                <w:sz w:val="24"/>
              </w:rPr>
            </w:pPr>
            <w:r>
              <w:rPr>
                <w:rFonts w:hint="eastAsia" w:ascii="Times New Roman" w:hAnsi="Times New Roman" w:eastAsia="宋体"/>
                <w:color w:val="auto"/>
                <w:sz w:val="24"/>
                <w:lang w:eastAsia="zh-CN"/>
              </w:rPr>
              <w:t>项目</w:t>
            </w:r>
            <w:r>
              <w:rPr>
                <w:rFonts w:hint="eastAsia" w:ascii="Times New Roman" w:hAnsi="Times New Roman" w:eastAsia="宋体"/>
                <w:color w:val="auto"/>
                <w:sz w:val="24"/>
              </w:rPr>
              <w:t>光伏区</w:t>
            </w:r>
            <w:r>
              <w:rPr>
                <w:rFonts w:hint="default" w:ascii="Times New Roman" w:hAnsi="Times New Roman" w:eastAsia="宋体"/>
                <w:color w:val="auto"/>
                <w:sz w:val="24"/>
              </w:rPr>
              <w:t>500m范围内环境空气保护目标如下表所示。</w:t>
            </w:r>
          </w:p>
          <w:p w14:paraId="729C98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eastAsia"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1</w:t>
            </w:r>
            <w:r>
              <w:rPr>
                <w:rFonts w:hint="eastAsia"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项目大气环境保护目标一览表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92"/>
              <w:gridCol w:w="1035"/>
              <w:gridCol w:w="1219"/>
              <w:gridCol w:w="1115"/>
              <w:gridCol w:w="1645"/>
              <w:gridCol w:w="1635"/>
            </w:tblGrid>
            <w:tr w14:paraId="243E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5" w:type="pct"/>
                  <w:vMerge w:val="restart"/>
                  <w:noWrap w:val="0"/>
                  <w:vAlign w:val="center"/>
                </w:tcPr>
                <w:p w14:paraId="76420D0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保护目标</w:t>
                  </w:r>
                </w:p>
              </w:tc>
              <w:tc>
                <w:tcPr>
                  <w:tcW w:w="312" w:type="pct"/>
                  <w:vMerge w:val="restart"/>
                  <w:noWrap w:val="0"/>
                  <w:vAlign w:val="center"/>
                </w:tcPr>
                <w:p w14:paraId="39746E8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保护内容</w:t>
                  </w:r>
                </w:p>
              </w:tc>
              <w:tc>
                <w:tcPr>
                  <w:tcW w:w="657" w:type="pct"/>
                  <w:vMerge w:val="restart"/>
                  <w:noWrap w:val="0"/>
                  <w:vAlign w:val="center"/>
                </w:tcPr>
                <w:p w14:paraId="6A76A20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规模</w:t>
                  </w:r>
                </w:p>
              </w:tc>
              <w:tc>
                <w:tcPr>
                  <w:tcW w:w="1482" w:type="pct"/>
                  <w:gridSpan w:val="2"/>
                  <w:noWrap w:val="0"/>
                  <w:vAlign w:val="center"/>
                </w:tcPr>
                <w:p w14:paraId="27D12CC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坐标</w:t>
                  </w:r>
                </w:p>
              </w:tc>
              <w:tc>
                <w:tcPr>
                  <w:tcW w:w="1044" w:type="pct"/>
                  <w:vMerge w:val="restart"/>
                  <w:noWrap w:val="0"/>
                  <w:vAlign w:val="center"/>
                </w:tcPr>
                <w:p w14:paraId="33DAEF7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方位与距离（高差）/m</w:t>
                  </w:r>
                </w:p>
              </w:tc>
              <w:tc>
                <w:tcPr>
                  <w:tcW w:w="1038" w:type="pct"/>
                  <w:vMerge w:val="restart"/>
                  <w:noWrap w:val="0"/>
                  <w:vAlign w:val="center"/>
                </w:tcPr>
                <w:p w14:paraId="6EBC7FF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r>
                    <w:rPr>
                      <w:rFonts w:hint="default"/>
                      <w:b/>
                      <w:bCs/>
                      <w:color w:val="auto"/>
                      <w:spacing w:val="-8"/>
                      <w:sz w:val="21"/>
                      <w:szCs w:val="21"/>
                    </w:rPr>
                    <w:t>保护级别</w:t>
                  </w:r>
                </w:p>
              </w:tc>
            </w:tr>
            <w:tr w14:paraId="24FC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65" w:type="pct"/>
                  <w:vMerge w:val="continue"/>
                  <w:noWrap w:val="0"/>
                  <w:vAlign w:val="center"/>
                </w:tcPr>
                <w:p w14:paraId="0C0139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312" w:type="pct"/>
                  <w:vMerge w:val="continue"/>
                  <w:noWrap w:val="0"/>
                  <w:vAlign w:val="center"/>
                </w:tcPr>
                <w:p w14:paraId="07E7D3D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657" w:type="pct"/>
                  <w:vMerge w:val="continue"/>
                  <w:noWrap w:val="0"/>
                  <w:vAlign w:val="center"/>
                </w:tcPr>
                <w:p w14:paraId="35875F3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774" w:type="pct"/>
                  <w:noWrap w:val="0"/>
                  <w:vAlign w:val="center"/>
                </w:tcPr>
                <w:p w14:paraId="0DD5984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eastAsia" w:eastAsia="宋体"/>
                      <w:b/>
                      <w:bCs/>
                      <w:color w:val="auto"/>
                      <w:spacing w:val="-8"/>
                      <w:sz w:val="21"/>
                      <w:szCs w:val="21"/>
                      <w:highlight w:val="none"/>
                      <w:lang w:eastAsia="zh-CN"/>
                    </w:rPr>
                  </w:pPr>
                  <w:r>
                    <w:rPr>
                      <w:rFonts w:hint="eastAsia"/>
                      <w:b/>
                      <w:bCs/>
                      <w:color w:val="auto"/>
                      <w:spacing w:val="-8"/>
                      <w:sz w:val="21"/>
                      <w:szCs w:val="21"/>
                      <w:highlight w:val="none"/>
                      <w:lang w:val="en-US" w:eastAsia="zh-CN"/>
                    </w:rPr>
                    <w:t>东经（°）</w:t>
                  </w:r>
                </w:p>
              </w:tc>
              <w:tc>
                <w:tcPr>
                  <w:tcW w:w="708" w:type="pct"/>
                  <w:noWrap w:val="0"/>
                  <w:vAlign w:val="center"/>
                </w:tcPr>
                <w:p w14:paraId="55FEC95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eastAsia" w:eastAsia="宋体"/>
                      <w:b/>
                      <w:bCs/>
                      <w:color w:val="auto"/>
                      <w:spacing w:val="-8"/>
                      <w:sz w:val="21"/>
                      <w:szCs w:val="21"/>
                      <w:highlight w:val="none"/>
                      <w:lang w:eastAsia="zh-CN"/>
                    </w:rPr>
                  </w:pPr>
                  <w:r>
                    <w:rPr>
                      <w:rFonts w:hint="eastAsia"/>
                      <w:b/>
                      <w:bCs/>
                      <w:color w:val="auto"/>
                      <w:spacing w:val="-8"/>
                      <w:sz w:val="21"/>
                      <w:szCs w:val="21"/>
                      <w:highlight w:val="none"/>
                      <w:lang w:val="en-US" w:eastAsia="zh-CN"/>
                    </w:rPr>
                    <w:t>北纬（°）</w:t>
                  </w:r>
                </w:p>
              </w:tc>
              <w:tc>
                <w:tcPr>
                  <w:tcW w:w="1044" w:type="pct"/>
                  <w:vMerge w:val="continue"/>
                  <w:noWrap w:val="0"/>
                  <w:vAlign w:val="center"/>
                </w:tcPr>
                <w:p w14:paraId="24A14DF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c>
                <w:tcPr>
                  <w:tcW w:w="1038" w:type="pct"/>
                  <w:vMerge w:val="continue"/>
                  <w:noWrap w:val="0"/>
                  <w:vAlign w:val="center"/>
                </w:tcPr>
                <w:p w14:paraId="5ED1D21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rPr>
                  </w:pPr>
                </w:p>
              </w:tc>
            </w:tr>
            <w:tr w14:paraId="09E2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65" w:type="pct"/>
                  <w:noWrap w:val="0"/>
                  <w:vAlign w:val="center"/>
                </w:tcPr>
                <w:p w14:paraId="6220175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大塘子</w:t>
                  </w:r>
                  <w:r>
                    <w:rPr>
                      <w:rFonts w:hint="eastAsia" w:cs="Times New Roman"/>
                      <w:bCs/>
                      <w:color w:val="auto"/>
                      <w:kern w:val="2"/>
                      <w:sz w:val="21"/>
                      <w:szCs w:val="21"/>
                      <w:lang w:val="en-US" w:eastAsia="zh-CN" w:bidi="ar-SA"/>
                    </w:rPr>
                    <w:t>村</w:t>
                  </w:r>
                </w:p>
              </w:tc>
              <w:tc>
                <w:tcPr>
                  <w:tcW w:w="312" w:type="pct"/>
                  <w:noWrap w:val="0"/>
                  <w:vAlign w:val="center"/>
                </w:tcPr>
                <w:p w14:paraId="0FB51A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居民</w:t>
                  </w:r>
                </w:p>
              </w:tc>
              <w:tc>
                <w:tcPr>
                  <w:tcW w:w="657" w:type="pct"/>
                  <w:noWrap w:val="0"/>
                  <w:vAlign w:val="center"/>
                </w:tcPr>
                <w:p w14:paraId="495C7C7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15户60人</w:t>
                  </w:r>
                </w:p>
              </w:tc>
              <w:tc>
                <w:tcPr>
                  <w:tcW w:w="774" w:type="pct"/>
                  <w:noWrap w:val="0"/>
                  <w:vAlign w:val="center"/>
                </w:tcPr>
                <w:p w14:paraId="29A917B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103.47336391</w:t>
                  </w:r>
                </w:p>
              </w:tc>
              <w:tc>
                <w:tcPr>
                  <w:tcW w:w="708" w:type="pct"/>
                  <w:noWrap w:val="0"/>
                  <w:vAlign w:val="center"/>
                </w:tcPr>
                <w:p w14:paraId="1D8FBC5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25.80280717</w:t>
                  </w:r>
                </w:p>
              </w:tc>
              <w:tc>
                <w:tcPr>
                  <w:tcW w:w="1044" w:type="pct"/>
                  <w:noWrap w:val="0"/>
                  <w:vAlign w:val="center"/>
                </w:tcPr>
                <w:p w14:paraId="4AB6F4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2#光伏方阵西侧</w:t>
                  </w:r>
                  <w:r>
                    <w:rPr>
                      <w:rFonts w:hint="eastAsia" w:cs="Times New Roman"/>
                      <w:color w:val="auto"/>
                      <w:sz w:val="21"/>
                      <w:szCs w:val="21"/>
                      <w:lang w:val="en-US" w:eastAsia="zh-CN"/>
                    </w:rPr>
                    <w:t>315m</w:t>
                  </w:r>
                  <w:r>
                    <w:rPr>
                      <w:rFonts w:hint="eastAsia" w:ascii="Times New Roman" w:hAnsi="Times New Roman" w:eastAsia="宋体" w:cs="Times New Roman"/>
                      <w:color w:val="auto"/>
                      <w:sz w:val="21"/>
                      <w:szCs w:val="21"/>
                      <w:lang w:val="en-US" w:eastAsia="zh-CN"/>
                    </w:rPr>
                    <w:t>（</w:t>
                  </w:r>
                  <w:r>
                    <w:rPr>
                      <w:rFonts w:hint="default" w:eastAsia="宋体"/>
                      <w:color w:val="auto"/>
                      <w:sz w:val="21"/>
                      <w:szCs w:val="21"/>
                    </w:rPr>
                    <w:t>高差</w:t>
                  </w:r>
                  <w:r>
                    <w:rPr>
                      <w:rFonts w:hint="eastAsia" w:ascii="Times New Roman" w:hAnsi="Times New Roman" w:eastAsia="宋体" w:cs="Times New Roman"/>
                      <w:color w:val="auto"/>
                      <w:sz w:val="21"/>
                      <w:szCs w:val="21"/>
                      <w:lang w:val="en-US" w:eastAsia="zh-CN"/>
                    </w:rPr>
                    <w:t>58</w:t>
                  </w:r>
                  <w:r>
                    <w:rPr>
                      <w:rFonts w:hint="default" w:ascii="Times New Roman" w:hAnsi="Times New Roman" w:eastAsia="宋体" w:cs="Arial"/>
                      <w:color w:val="auto"/>
                      <w:sz w:val="21"/>
                      <w:szCs w:val="21"/>
                    </w:rPr>
                    <w:t>m</w:t>
                  </w:r>
                  <w:r>
                    <w:rPr>
                      <w:rFonts w:hint="eastAsia" w:ascii="Times New Roman" w:hAnsi="Times New Roman" w:eastAsia="宋体" w:cs="Times New Roman"/>
                      <w:color w:val="auto"/>
                      <w:sz w:val="21"/>
                      <w:szCs w:val="21"/>
                      <w:lang w:val="en-US" w:eastAsia="zh-CN"/>
                    </w:rPr>
                    <w:t>）</w:t>
                  </w:r>
                </w:p>
              </w:tc>
              <w:tc>
                <w:tcPr>
                  <w:tcW w:w="1038" w:type="pct"/>
                  <w:vMerge w:val="restart"/>
                  <w:noWrap w:val="0"/>
                  <w:vAlign w:val="center"/>
                </w:tcPr>
                <w:p w14:paraId="6E6D7F56">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rPr>
                  </w:pPr>
                  <w:r>
                    <w:rPr>
                      <w:rFonts w:hint="default" w:eastAsia="宋体"/>
                      <w:color w:val="auto"/>
                      <w:sz w:val="21"/>
                      <w:szCs w:val="21"/>
                    </w:rPr>
                    <w:t>《环境空气质量标准》（GB3095-2012）及修改单二级标准</w:t>
                  </w:r>
                </w:p>
              </w:tc>
            </w:tr>
            <w:tr w14:paraId="32B5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65" w:type="pct"/>
                  <w:noWrap w:val="0"/>
                  <w:vAlign w:val="center"/>
                </w:tcPr>
                <w:p w14:paraId="60837EC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刘庆梅家</w:t>
                  </w:r>
                </w:p>
              </w:tc>
              <w:tc>
                <w:tcPr>
                  <w:tcW w:w="312" w:type="pct"/>
                  <w:noWrap w:val="0"/>
                  <w:vAlign w:val="center"/>
                </w:tcPr>
                <w:p w14:paraId="4A7ABD5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居民</w:t>
                  </w:r>
                </w:p>
              </w:tc>
              <w:tc>
                <w:tcPr>
                  <w:tcW w:w="657" w:type="pct"/>
                  <w:noWrap w:val="0"/>
                  <w:vAlign w:val="center"/>
                </w:tcPr>
                <w:p w14:paraId="24A7C10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户</w:t>
                  </w: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人</w:t>
                  </w:r>
                </w:p>
              </w:tc>
              <w:tc>
                <w:tcPr>
                  <w:tcW w:w="774" w:type="pct"/>
                  <w:noWrap w:val="0"/>
                  <w:vAlign w:val="center"/>
                </w:tcPr>
                <w:p w14:paraId="6FEC151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103.48493103</w:t>
                  </w:r>
                </w:p>
              </w:tc>
              <w:tc>
                <w:tcPr>
                  <w:tcW w:w="708" w:type="pct"/>
                  <w:noWrap w:val="0"/>
                  <w:vAlign w:val="center"/>
                </w:tcPr>
                <w:p w14:paraId="0001A03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25.79588246</w:t>
                  </w:r>
                </w:p>
              </w:tc>
              <w:tc>
                <w:tcPr>
                  <w:tcW w:w="1044" w:type="pct"/>
                  <w:noWrap w:val="0"/>
                  <w:vAlign w:val="center"/>
                </w:tcPr>
                <w:p w14:paraId="1381B69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#光伏方阵</w:t>
                  </w:r>
                  <w:r>
                    <w:rPr>
                      <w:rFonts w:hint="eastAsia" w:cs="Times New Roman"/>
                      <w:color w:val="auto"/>
                      <w:sz w:val="21"/>
                      <w:szCs w:val="21"/>
                      <w:lang w:val="en-US" w:eastAsia="zh-CN"/>
                    </w:rPr>
                    <w:t>南</w:t>
                  </w:r>
                  <w:r>
                    <w:rPr>
                      <w:rFonts w:hint="eastAsia" w:ascii="Times New Roman" w:hAnsi="Times New Roman" w:eastAsia="宋体" w:cs="Times New Roman"/>
                      <w:color w:val="auto"/>
                      <w:sz w:val="21"/>
                      <w:szCs w:val="21"/>
                      <w:lang w:val="en-US" w:eastAsia="zh-CN"/>
                    </w:rPr>
                    <w:t>侧</w:t>
                  </w:r>
                  <w:r>
                    <w:rPr>
                      <w:rFonts w:hint="eastAsia" w:cs="Times New Roman"/>
                      <w:color w:val="auto"/>
                      <w:sz w:val="21"/>
                      <w:szCs w:val="21"/>
                      <w:lang w:val="en-US" w:eastAsia="zh-CN"/>
                    </w:rPr>
                    <w:t>485</w:t>
                  </w:r>
                  <w:r>
                    <w:rPr>
                      <w:rFonts w:hint="eastAsia" w:ascii="Times New Roman" w:hAnsi="Times New Roman" w:eastAsia="宋体" w:cs="Times New Roman"/>
                      <w:color w:val="auto"/>
                      <w:sz w:val="21"/>
                      <w:szCs w:val="21"/>
                      <w:lang w:val="en-US" w:eastAsia="zh-CN"/>
                    </w:rPr>
                    <w:t>m（</w:t>
                  </w:r>
                  <w:r>
                    <w:rPr>
                      <w:rFonts w:hint="default" w:eastAsia="宋体"/>
                      <w:color w:val="auto"/>
                      <w:sz w:val="21"/>
                      <w:szCs w:val="21"/>
                    </w:rPr>
                    <w:t>高差</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Arial"/>
                      <w:color w:val="auto"/>
                      <w:sz w:val="21"/>
                      <w:szCs w:val="21"/>
                    </w:rPr>
                    <w:t>m</w:t>
                  </w:r>
                  <w:r>
                    <w:rPr>
                      <w:rFonts w:hint="eastAsia" w:ascii="Times New Roman" w:hAnsi="Times New Roman" w:eastAsia="宋体" w:cs="Times New Roman"/>
                      <w:color w:val="auto"/>
                      <w:sz w:val="21"/>
                      <w:szCs w:val="21"/>
                      <w:lang w:val="en-US" w:eastAsia="zh-CN"/>
                    </w:rPr>
                    <w:t>）</w:t>
                  </w:r>
                </w:p>
              </w:tc>
              <w:tc>
                <w:tcPr>
                  <w:tcW w:w="1038" w:type="pct"/>
                  <w:vMerge w:val="continue"/>
                  <w:noWrap w:val="0"/>
                  <w:vAlign w:val="center"/>
                </w:tcPr>
                <w:p w14:paraId="4F7600E4">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rPr>
                  </w:pPr>
                </w:p>
              </w:tc>
            </w:tr>
          </w:tbl>
          <w:p w14:paraId="5C995A34">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color w:val="auto"/>
                <w:sz w:val="24"/>
              </w:rPr>
            </w:pPr>
            <w:r>
              <w:rPr>
                <w:rFonts w:hint="eastAsia" w:ascii="Times New Roman" w:hAnsi="Times New Roman" w:eastAsia="宋体"/>
                <w:b/>
                <w:color w:val="auto"/>
                <w:sz w:val="24"/>
                <w:lang w:eastAsia="zh-CN"/>
              </w:rPr>
              <w:t>（</w:t>
            </w:r>
            <w:r>
              <w:rPr>
                <w:rFonts w:hint="eastAsia" w:ascii="Times New Roman" w:hAnsi="Times New Roman" w:eastAsia="宋体"/>
                <w:b/>
                <w:color w:val="auto"/>
                <w:sz w:val="24"/>
                <w:lang w:val="en-US" w:eastAsia="zh-CN"/>
              </w:rPr>
              <w:t>4</w:t>
            </w:r>
            <w:r>
              <w:rPr>
                <w:rFonts w:hint="eastAsia" w:ascii="Times New Roman" w:hAnsi="Times New Roman" w:eastAsia="宋体"/>
                <w:b/>
                <w:color w:val="auto"/>
                <w:sz w:val="24"/>
                <w:lang w:eastAsia="zh-CN"/>
              </w:rPr>
              <w:t>）</w:t>
            </w:r>
            <w:r>
              <w:rPr>
                <w:rFonts w:hint="default" w:ascii="Times New Roman" w:hAnsi="Times New Roman" w:eastAsia="宋体"/>
                <w:b/>
                <w:color w:val="auto"/>
                <w:sz w:val="24"/>
              </w:rPr>
              <w:t>声环境保护目标</w:t>
            </w:r>
          </w:p>
          <w:p w14:paraId="74200D8A">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Cs w:val="21"/>
              </w:rPr>
            </w:pPr>
            <w:r>
              <w:rPr>
                <w:rFonts w:hint="eastAsia" w:ascii="Times New Roman" w:hAnsi="Times New Roman" w:eastAsia="宋体"/>
                <w:color w:val="auto"/>
                <w:sz w:val="24"/>
                <w:lang w:eastAsia="zh-CN"/>
              </w:rPr>
              <w:t>项目</w:t>
            </w:r>
            <w:r>
              <w:rPr>
                <w:rFonts w:hint="eastAsia" w:ascii="Times New Roman" w:hAnsi="Times New Roman" w:eastAsia="宋体"/>
                <w:color w:val="auto"/>
                <w:sz w:val="24"/>
                <w:lang w:val="en-US" w:eastAsia="zh-CN"/>
              </w:rPr>
              <w:t>区</w:t>
            </w:r>
            <w:r>
              <w:rPr>
                <w:rFonts w:hint="eastAsia"/>
                <w:color w:val="auto"/>
                <w:sz w:val="24"/>
                <w:lang w:val="en-US" w:eastAsia="zh-CN"/>
              </w:rPr>
              <w:t>20</w:t>
            </w:r>
            <w:r>
              <w:rPr>
                <w:rFonts w:hint="default" w:ascii="Times New Roman" w:hAnsi="Times New Roman" w:eastAsia="宋体"/>
                <w:color w:val="auto"/>
                <w:sz w:val="24"/>
              </w:rPr>
              <w:t>0m范围内</w:t>
            </w:r>
            <w:r>
              <w:rPr>
                <w:rFonts w:hint="eastAsia"/>
                <w:color w:val="auto"/>
                <w:sz w:val="24"/>
                <w:lang w:val="en-US" w:eastAsia="zh-CN"/>
              </w:rPr>
              <w:t>无</w:t>
            </w:r>
            <w:r>
              <w:rPr>
                <w:rFonts w:hint="eastAsia" w:ascii="Times New Roman" w:hAnsi="Times New Roman" w:eastAsia="宋体"/>
                <w:color w:val="auto"/>
                <w:sz w:val="24"/>
                <w:lang w:val="en-US" w:eastAsia="zh-CN"/>
              </w:rPr>
              <w:t>声环境</w:t>
            </w:r>
            <w:r>
              <w:rPr>
                <w:rFonts w:hint="default" w:ascii="Times New Roman" w:hAnsi="Times New Roman" w:eastAsia="宋体"/>
                <w:color w:val="auto"/>
                <w:sz w:val="24"/>
              </w:rPr>
              <w:t>保护目标。</w:t>
            </w:r>
          </w:p>
        </w:tc>
      </w:tr>
      <w:tr w14:paraId="3D3A6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44" w:type="pct"/>
            <w:vAlign w:val="center"/>
          </w:tcPr>
          <w:p w14:paraId="4B7CDE52">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评价</w:t>
            </w:r>
          </w:p>
          <w:p w14:paraId="509A117E">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 w:val="24"/>
              </w:rPr>
              <w:t>标准</w:t>
            </w:r>
          </w:p>
        </w:tc>
        <w:tc>
          <w:tcPr>
            <w:tcW w:w="4755" w:type="pct"/>
            <w:vAlign w:val="center"/>
          </w:tcPr>
          <w:p w14:paraId="59589404">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rPr>
            </w:pPr>
            <w:r>
              <w:rPr>
                <w:rFonts w:hint="default"/>
                <w:b/>
                <w:bCs/>
                <w:color w:val="auto"/>
                <w:kern w:val="0"/>
                <w:sz w:val="24"/>
              </w:rPr>
              <w:t>1、环境质量标准</w:t>
            </w:r>
          </w:p>
          <w:p w14:paraId="3D47334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（1）环境空气</w:t>
            </w:r>
          </w:p>
          <w:p w14:paraId="03BE7A3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本</w:t>
            </w:r>
            <w:r>
              <w:rPr>
                <w:rFonts w:hint="default"/>
                <w:color w:val="auto"/>
                <w:kern w:val="0"/>
                <w:sz w:val="24"/>
              </w:rPr>
              <w:t>项目位于</w:t>
            </w:r>
            <w:r>
              <w:rPr>
                <w:rFonts w:hint="eastAsia" w:ascii="宋体" w:hAnsi="宋体" w:cs="宋体"/>
                <w:color w:val="auto"/>
                <w:kern w:val="0"/>
                <w:sz w:val="24"/>
                <w:szCs w:val="24"/>
                <w:lang w:val="en-US" w:eastAsia="zh-CN" w:bidi="ar"/>
              </w:rPr>
              <w:t>云南省昆明市寻甸回族彝族自治县河口镇、功山镇境内</w:t>
            </w:r>
            <w:r>
              <w:rPr>
                <w:rFonts w:hint="default"/>
                <w:color w:val="auto"/>
                <w:kern w:val="0"/>
                <w:sz w:val="24"/>
              </w:rPr>
              <w:t>，</w:t>
            </w:r>
            <w:r>
              <w:rPr>
                <w:rFonts w:hint="eastAsia"/>
                <w:color w:val="auto"/>
                <w:kern w:val="0"/>
                <w:sz w:val="24"/>
              </w:rPr>
              <w:t>区域</w:t>
            </w:r>
            <w:r>
              <w:rPr>
                <w:rFonts w:hint="default"/>
                <w:color w:val="auto"/>
                <w:kern w:val="0"/>
                <w:sz w:val="24"/>
              </w:rPr>
              <w:t>环境空气属于二类区，执行《环境空气质量标准》</w:t>
            </w:r>
            <w:r>
              <w:rPr>
                <w:rFonts w:hint="eastAsia"/>
                <w:color w:val="auto"/>
                <w:kern w:val="0"/>
                <w:sz w:val="24"/>
              </w:rPr>
              <w:t>（</w:t>
            </w:r>
            <w:r>
              <w:rPr>
                <w:rFonts w:hint="default"/>
                <w:color w:val="auto"/>
                <w:kern w:val="0"/>
                <w:sz w:val="24"/>
              </w:rPr>
              <w:t>GB3095-2012</w:t>
            </w:r>
            <w:r>
              <w:rPr>
                <w:rFonts w:hint="eastAsia"/>
                <w:color w:val="auto"/>
                <w:kern w:val="0"/>
                <w:sz w:val="24"/>
              </w:rPr>
              <w:t>）及修改单中</w:t>
            </w:r>
            <w:r>
              <w:rPr>
                <w:rFonts w:hint="default"/>
                <w:color w:val="auto"/>
                <w:kern w:val="0"/>
                <w:sz w:val="24"/>
              </w:rPr>
              <w:t>二级标准限值。</w:t>
            </w:r>
          </w:p>
          <w:p w14:paraId="3071611A">
            <w:pPr>
              <w:pStyle w:val="40"/>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12</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环境空气质量标准    单位：</w:t>
            </w:r>
            <w:r>
              <w:rPr>
                <w:rFonts w:hint="default" w:ascii="Times New Roman" w:hAnsi="Times New Roman"/>
                <w:b/>
                <w:bCs/>
                <w:color w:val="auto"/>
                <w:sz w:val="21"/>
                <w:szCs w:val="21"/>
              </w:rPr>
              <w:t>μ</w:t>
            </w:r>
            <w:r>
              <w:rPr>
                <w:rFonts w:hint="default" w:ascii="Times New Roman" w:hAnsi="Times New Roman"/>
                <w:b/>
                <w:color w:val="auto"/>
                <w:kern w:val="2"/>
                <w:sz w:val="21"/>
                <w:szCs w:val="21"/>
              </w:rPr>
              <w:t>g/m</w:t>
            </w:r>
            <w:r>
              <w:rPr>
                <w:rFonts w:hint="default" w:ascii="Times New Roman" w:hAnsi="Times New Roman"/>
                <w:b/>
                <w:color w:val="auto"/>
                <w:kern w:val="2"/>
                <w:sz w:val="21"/>
                <w:szCs w:val="21"/>
                <w:vertAlign w:val="superscript"/>
              </w:rPr>
              <w:t>3</w:t>
            </w:r>
          </w:p>
          <w:tbl>
            <w:tblPr>
              <w:tblStyle w:val="4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625"/>
              <w:gridCol w:w="619"/>
              <w:gridCol w:w="677"/>
              <w:gridCol w:w="712"/>
              <w:gridCol w:w="723"/>
              <w:gridCol w:w="760"/>
              <w:gridCol w:w="2440"/>
            </w:tblGrid>
            <w:tr w14:paraId="264D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14CDE9B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取值时间</w:t>
                  </w:r>
                </w:p>
              </w:tc>
              <w:tc>
                <w:tcPr>
                  <w:tcW w:w="397" w:type="pct"/>
                  <w:noWrap w:val="0"/>
                  <w:vAlign w:val="center"/>
                </w:tcPr>
                <w:p w14:paraId="2B54F19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TSP</w:t>
                  </w:r>
                </w:p>
              </w:tc>
              <w:tc>
                <w:tcPr>
                  <w:tcW w:w="393" w:type="pct"/>
                  <w:noWrap w:val="0"/>
                  <w:vAlign w:val="center"/>
                </w:tcPr>
                <w:p w14:paraId="4F91554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SO</w:t>
                  </w:r>
                  <w:r>
                    <w:rPr>
                      <w:rFonts w:hint="default" w:eastAsia="宋体"/>
                      <w:b/>
                      <w:bCs/>
                      <w:color w:val="auto"/>
                      <w:sz w:val="21"/>
                      <w:szCs w:val="21"/>
                      <w:vertAlign w:val="subscript"/>
                    </w:rPr>
                    <w:t>2</w:t>
                  </w:r>
                </w:p>
              </w:tc>
              <w:tc>
                <w:tcPr>
                  <w:tcW w:w="430" w:type="pct"/>
                  <w:noWrap w:val="0"/>
                  <w:vAlign w:val="center"/>
                </w:tcPr>
                <w:p w14:paraId="3A1FFA4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NO</w:t>
                  </w:r>
                  <w:r>
                    <w:rPr>
                      <w:rFonts w:hint="default" w:eastAsia="宋体"/>
                      <w:b/>
                      <w:bCs/>
                      <w:color w:val="auto"/>
                      <w:sz w:val="21"/>
                      <w:szCs w:val="21"/>
                      <w:vertAlign w:val="subscript"/>
                    </w:rPr>
                    <w:t>2</w:t>
                  </w:r>
                </w:p>
              </w:tc>
              <w:tc>
                <w:tcPr>
                  <w:tcW w:w="452" w:type="pct"/>
                  <w:noWrap w:val="0"/>
                  <w:vAlign w:val="center"/>
                </w:tcPr>
                <w:p w14:paraId="2657803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PM</w:t>
                  </w:r>
                  <w:r>
                    <w:rPr>
                      <w:rFonts w:hint="default" w:eastAsia="宋体"/>
                      <w:b/>
                      <w:bCs/>
                      <w:color w:val="auto"/>
                      <w:sz w:val="21"/>
                      <w:szCs w:val="21"/>
                      <w:vertAlign w:val="subscript"/>
                    </w:rPr>
                    <w:t>10</w:t>
                  </w:r>
                </w:p>
              </w:tc>
              <w:tc>
                <w:tcPr>
                  <w:tcW w:w="459" w:type="pct"/>
                  <w:noWrap w:val="0"/>
                  <w:vAlign w:val="center"/>
                </w:tcPr>
                <w:p w14:paraId="432EC2B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default" w:eastAsia="宋体"/>
                      <w:b/>
                      <w:bCs/>
                      <w:color w:val="auto"/>
                      <w:sz w:val="21"/>
                      <w:szCs w:val="21"/>
                    </w:rPr>
                    <w:t>PM</w:t>
                  </w:r>
                  <w:r>
                    <w:rPr>
                      <w:rFonts w:hint="default" w:eastAsia="宋体"/>
                      <w:b/>
                      <w:bCs/>
                      <w:color w:val="auto"/>
                      <w:sz w:val="21"/>
                      <w:szCs w:val="21"/>
                      <w:vertAlign w:val="subscript"/>
                    </w:rPr>
                    <w:t>2.5</w:t>
                  </w:r>
                </w:p>
              </w:tc>
              <w:tc>
                <w:tcPr>
                  <w:tcW w:w="482" w:type="pct"/>
                  <w:noWrap w:val="0"/>
                  <w:vAlign w:val="center"/>
                </w:tcPr>
                <w:p w14:paraId="27945E0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eastAsia" w:eastAsia="宋体"/>
                      <w:b/>
                      <w:bCs/>
                      <w:color w:val="auto"/>
                      <w:sz w:val="21"/>
                      <w:szCs w:val="21"/>
                    </w:rPr>
                    <w:t>CO</w:t>
                  </w:r>
                </w:p>
              </w:tc>
              <w:tc>
                <w:tcPr>
                  <w:tcW w:w="1548" w:type="pct"/>
                  <w:noWrap w:val="0"/>
                  <w:vAlign w:val="center"/>
                </w:tcPr>
                <w:p w14:paraId="6170026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rPr>
                  </w:pPr>
                  <w:r>
                    <w:rPr>
                      <w:rFonts w:hint="eastAsia" w:eastAsia="宋体"/>
                      <w:b/>
                      <w:bCs/>
                      <w:color w:val="auto"/>
                      <w:sz w:val="21"/>
                      <w:szCs w:val="21"/>
                    </w:rPr>
                    <w:t>O</w:t>
                  </w:r>
                  <w:r>
                    <w:rPr>
                      <w:rFonts w:hint="eastAsia" w:eastAsia="宋体"/>
                      <w:b/>
                      <w:bCs/>
                      <w:color w:val="auto"/>
                      <w:sz w:val="21"/>
                      <w:szCs w:val="21"/>
                      <w:vertAlign w:val="subscript"/>
                    </w:rPr>
                    <w:t>3</w:t>
                  </w:r>
                </w:p>
              </w:tc>
            </w:tr>
            <w:tr w14:paraId="56EB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2DDF988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年平均</w:t>
                  </w:r>
                </w:p>
              </w:tc>
              <w:tc>
                <w:tcPr>
                  <w:tcW w:w="397" w:type="pct"/>
                  <w:noWrap w:val="0"/>
                  <w:vAlign w:val="center"/>
                </w:tcPr>
                <w:p w14:paraId="10021BE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200</w:t>
                  </w:r>
                </w:p>
              </w:tc>
              <w:tc>
                <w:tcPr>
                  <w:tcW w:w="393" w:type="pct"/>
                  <w:noWrap w:val="0"/>
                  <w:vAlign w:val="center"/>
                </w:tcPr>
                <w:p w14:paraId="3A96272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60</w:t>
                  </w:r>
                </w:p>
              </w:tc>
              <w:tc>
                <w:tcPr>
                  <w:tcW w:w="430" w:type="pct"/>
                  <w:noWrap w:val="0"/>
                  <w:vAlign w:val="center"/>
                </w:tcPr>
                <w:p w14:paraId="3326B79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40</w:t>
                  </w:r>
                </w:p>
              </w:tc>
              <w:tc>
                <w:tcPr>
                  <w:tcW w:w="452" w:type="pct"/>
                  <w:noWrap w:val="0"/>
                  <w:vAlign w:val="center"/>
                </w:tcPr>
                <w:p w14:paraId="61E3385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70</w:t>
                  </w:r>
                </w:p>
              </w:tc>
              <w:tc>
                <w:tcPr>
                  <w:tcW w:w="459" w:type="pct"/>
                  <w:noWrap w:val="0"/>
                  <w:vAlign w:val="center"/>
                </w:tcPr>
                <w:p w14:paraId="4196974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35</w:t>
                  </w:r>
                </w:p>
              </w:tc>
              <w:tc>
                <w:tcPr>
                  <w:tcW w:w="482" w:type="pct"/>
                  <w:noWrap w:val="0"/>
                  <w:vAlign w:val="center"/>
                </w:tcPr>
                <w:p w14:paraId="5DC21A9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w:t>
                  </w:r>
                </w:p>
              </w:tc>
              <w:tc>
                <w:tcPr>
                  <w:tcW w:w="1548" w:type="pct"/>
                  <w:noWrap w:val="0"/>
                  <w:vAlign w:val="center"/>
                </w:tcPr>
                <w:p w14:paraId="0FB9776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w:t>
                  </w:r>
                </w:p>
              </w:tc>
            </w:tr>
            <w:tr w14:paraId="58D2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041A3EA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2</w:t>
                  </w:r>
                  <w:r>
                    <w:rPr>
                      <w:rFonts w:hint="default" w:eastAsia="宋体"/>
                      <w:color w:val="auto"/>
                      <w:sz w:val="21"/>
                      <w:szCs w:val="21"/>
                    </w:rPr>
                    <w:t>4</w:t>
                  </w:r>
                  <w:r>
                    <w:rPr>
                      <w:rFonts w:hint="eastAsia" w:eastAsia="宋体"/>
                      <w:color w:val="auto"/>
                      <w:sz w:val="21"/>
                      <w:szCs w:val="21"/>
                    </w:rPr>
                    <w:t>小时</w:t>
                  </w:r>
                  <w:r>
                    <w:rPr>
                      <w:rFonts w:hint="default" w:eastAsia="宋体"/>
                      <w:color w:val="auto"/>
                      <w:sz w:val="21"/>
                      <w:szCs w:val="21"/>
                    </w:rPr>
                    <w:t>平均</w:t>
                  </w:r>
                </w:p>
              </w:tc>
              <w:tc>
                <w:tcPr>
                  <w:tcW w:w="397" w:type="pct"/>
                  <w:noWrap w:val="0"/>
                  <w:vAlign w:val="center"/>
                </w:tcPr>
                <w:p w14:paraId="72CA179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300</w:t>
                  </w:r>
                </w:p>
              </w:tc>
              <w:tc>
                <w:tcPr>
                  <w:tcW w:w="393" w:type="pct"/>
                  <w:noWrap w:val="0"/>
                  <w:vAlign w:val="center"/>
                </w:tcPr>
                <w:p w14:paraId="35AE085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150</w:t>
                  </w:r>
                </w:p>
              </w:tc>
              <w:tc>
                <w:tcPr>
                  <w:tcW w:w="430" w:type="pct"/>
                  <w:noWrap w:val="0"/>
                  <w:vAlign w:val="center"/>
                </w:tcPr>
                <w:p w14:paraId="528F845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8</w:t>
                  </w:r>
                  <w:r>
                    <w:rPr>
                      <w:rFonts w:hint="eastAsia" w:eastAsia="宋体"/>
                      <w:color w:val="auto"/>
                      <w:sz w:val="21"/>
                      <w:szCs w:val="21"/>
                    </w:rPr>
                    <w:t>0</w:t>
                  </w:r>
                </w:p>
              </w:tc>
              <w:tc>
                <w:tcPr>
                  <w:tcW w:w="452" w:type="pct"/>
                  <w:noWrap w:val="0"/>
                  <w:vAlign w:val="center"/>
                </w:tcPr>
                <w:p w14:paraId="03B1343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150</w:t>
                  </w:r>
                </w:p>
              </w:tc>
              <w:tc>
                <w:tcPr>
                  <w:tcW w:w="459" w:type="pct"/>
                  <w:noWrap w:val="0"/>
                  <w:vAlign w:val="center"/>
                </w:tcPr>
                <w:p w14:paraId="3D8BE62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75</w:t>
                  </w:r>
                </w:p>
              </w:tc>
              <w:tc>
                <w:tcPr>
                  <w:tcW w:w="482" w:type="pct"/>
                  <w:noWrap w:val="0"/>
                  <w:vAlign w:val="center"/>
                </w:tcPr>
                <w:p w14:paraId="20DC1CD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4</w:t>
                  </w:r>
                  <w:r>
                    <w:rPr>
                      <w:rFonts w:hint="default" w:eastAsia="宋体"/>
                      <w:color w:val="auto"/>
                      <w:sz w:val="21"/>
                      <w:szCs w:val="21"/>
                    </w:rPr>
                    <w:t>000</w:t>
                  </w:r>
                </w:p>
              </w:tc>
              <w:tc>
                <w:tcPr>
                  <w:tcW w:w="1548" w:type="pct"/>
                  <w:noWrap w:val="0"/>
                  <w:vAlign w:val="center"/>
                </w:tcPr>
                <w:p w14:paraId="3EC3DCF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1</w:t>
                  </w:r>
                  <w:r>
                    <w:rPr>
                      <w:rFonts w:hint="default" w:eastAsia="宋体"/>
                      <w:color w:val="auto"/>
                      <w:sz w:val="21"/>
                      <w:szCs w:val="21"/>
                    </w:rPr>
                    <w:t>60</w:t>
                  </w:r>
                  <w:r>
                    <w:rPr>
                      <w:rFonts w:hint="eastAsia" w:eastAsia="宋体"/>
                      <w:color w:val="auto"/>
                      <w:sz w:val="21"/>
                      <w:szCs w:val="21"/>
                      <w:lang w:eastAsia="zh-CN"/>
                    </w:rPr>
                    <w:t>（</w:t>
                  </w:r>
                  <w:r>
                    <w:rPr>
                      <w:rFonts w:hint="eastAsia" w:eastAsia="宋体"/>
                      <w:color w:val="auto"/>
                      <w:sz w:val="21"/>
                      <w:szCs w:val="21"/>
                    </w:rPr>
                    <w:t>日最大8小时平均</w:t>
                  </w:r>
                  <w:r>
                    <w:rPr>
                      <w:rFonts w:hint="eastAsia" w:eastAsia="宋体"/>
                      <w:color w:val="auto"/>
                      <w:sz w:val="21"/>
                      <w:szCs w:val="21"/>
                      <w:lang w:eastAsia="zh-CN"/>
                    </w:rPr>
                    <w:t>）</w:t>
                  </w:r>
                </w:p>
              </w:tc>
            </w:tr>
            <w:tr w14:paraId="5F62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7A1AF2E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1</w:t>
                  </w:r>
                  <w:r>
                    <w:rPr>
                      <w:rFonts w:hint="default" w:eastAsia="宋体"/>
                      <w:color w:val="auto"/>
                      <w:sz w:val="21"/>
                      <w:szCs w:val="21"/>
                    </w:rPr>
                    <w:t>小时</w:t>
                  </w:r>
                  <w:r>
                    <w:rPr>
                      <w:rFonts w:hint="eastAsia" w:eastAsia="宋体"/>
                      <w:color w:val="auto"/>
                      <w:sz w:val="21"/>
                      <w:szCs w:val="21"/>
                    </w:rPr>
                    <w:t>平</w:t>
                  </w:r>
                  <w:r>
                    <w:rPr>
                      <w:rFonts w:hint="default" w:eastAsia="宋体"/>
                      <w:color w:val="auto"/>
                      <w:sz w:val="21"/>
                      <w:szCs w:val="21"/>
                    </w:rPr>
                    <w:t>均</w:t>
                  </w:r>
                </w:p>
              </w:tc>
              <w:tc>
                <w:tcPr>
                  <w:tcW w:w="397" w:type="pct"/>
                  <w:noWrap w:val="0"/>
                  <w:vAlign w:val="center"/>
                </w:tcPr>
                <w:p w14:paraId="3F3F79A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w:t>
                  </w:r>
                </w:p>
              </w:tc>
              <w:tc>
                <w:tcPr>
                  <w:tcW w:w="393" w:type="pct"/>
                  <w:noWrap w:val="0"/>
                  <w:vAlign w:val="center"/>
                </w:tcPr>
                <w:p w14:paraId="62030B3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500</w:t>
                  </w:r>
                </w:p>
              </w:tc>
              <w:tc>
                <w:tcPr>
                  <w:tcW w:w="430" w:type="pct"/>
                  <w:noWrap w:val="0"/>
                  <w:vAlign w:val="center"/>
                </w:tcPr>
                <w:p w14:paraId="069CA1D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200</w:t>
                  </w:r>
                </w:p>
              </w:tc>
              <w:tc>
                <w:tcPr>
                  <w:tcW w:w="452" w:type="pct"/>
                  <w:noWrap w:val="0"/>
                  <w:vAlign w:val="center"/>
                </w:tcPr>
                <w:p w14:paraId="21970BB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w:t>
                  </w:r>
                </w:p>
              </w:tc>
              <w:tc>
                <w:tcPr>
                  <w:tcW w:w="459" w:type="pct"/>
                  <w:noWrap w:val="0"/>
                  <w:vAlign w:val="center"/>
                </w:tcPr>
                <w:p w14:paraId="4A5829A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default" w:eastAsia="宋体"/>
                      <w:color w:val="auto"/>
                      <w:sz w:val="21"/>
                      <w:szCs w:val="21"/>
                    </w:rPr>
                    <w:t>/</w:t>
                  </w:r>
                </w:p>
              </w:tc>
              <w:tc>
                <w:tcPr>
                  <w:tcW w:w="482" w:type="pct"/>
                  <w:noWrap w:val="0"/>
                  <w:vAlign w:val="center"/>
                </w:tcPr>
                <w:p w14:paraId="227136E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1</w:t>
                  </w:r>
                  <w:r>
                    <w:rPr>
                      <w:rFonts w:hint="default" w:eastAsia="宋体"/>
                      <w:color w:val="auto"/>
                      <w:sz w:val="21"/>
                      <w:szCs w:val="21"/>
                    </w:rPr>
                    <w:t>0000</w:t>
                  </w:r>
                </w:p>
              </w:tc>
              <w:tc>
                <w:tcPr>
                  <w:tcW w:w="1548" w:type="pct"/>
                  <w:noWrap w:val="0"/>
                  <w:vAlign w:val="center"/>
                </w:tcPr>
                <w:p w14:paraId="3ADD0E1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rPr>
                  </w:pPr>
                  <w:r>
                    <w:rPr>
                      <w:rFonts w:hint="eastAsia" w:eastAsia="宋体"/>
                      <w:color w:val="auto"/>
                      <w:sz w:val="21"/>
                      <w:szCs w:val="21"/>
                    </w:rPr>
                    <w:t>2</w:t>
                  </w:r>
                  <w:r>
                    <w:rPr>
                      <w:rFonts w:hint="default" w:eastAsia="宋体"/>
                      <w:color w:val="auto"/>
                      <w:sz w:val="21"/>
                      <w:szCs w:val="21"/>
                    </w:rPr>
                    <w:t>00</w:t>
                  </w:r>
                </w:p>
              </w:tc>
            </w:tr>
          </w:tbl>
          <w:p w14:paraId="0E95C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（2）地表水</w:t>
            </w:r>
          </w:p>
          <w:p w14:paraId="7C6FA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w:t>
            </w:r>
            <w:r>
              <w:rPr>
                <w:rFonts w:hint="eastAsia" w:cs="Times New Roman"/>
                <w:color w:val="auto"/>
                <w:kern w:val="0"/>
                <w:sz w:val="24"/>
                <w:szCs w:val="24"/>
                <w:lang w:val="en-US" w:eastAsia="zh-CN" w:bidi="ar-SA"/>
              </w:rPr>
              <w:t>东北片区</w:t>
            </w:r>
            <w:r>
              <w:rPr>
                <w:rFonts w:hint="eastAsia" w:ascii="Times New Roman" w:hAnsi="Times New Roman" w:eastAsia="宋体" w:cs="Times New Roman"/>
                <w:color w:val="auto"/>
                <w:kern w:val="0"/>
                <w:sz w:val="24"/>
                <w:szCs w:val="24"/>
                <w:lang w:val="en-US" w:eastAsia="zh-CN" w:bidi="ar-SA"/>
              </w:rPr>
              <w:t>涉及的地表水为</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cs="Times New Roman"/>
                <w:color w:val="auto"/>
                <w:kern w:val="0"/>
                <w:sz w:val="24"/>
                <w:szCs w:val="24"/>
                <w:lang w:val="en-US" w:eastAsia="zh-CN" w:bidi="ar-SA"/>
              </w:rPr>
              <w:t>、干河以及牛栏江</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长地</w:t>
            </w:r>
            <w:r>
              <w:rPr>
                <w:rFonts w:hint="eastAsia" w:ascii="Times New Roman" w:hAnsi="Times New Roman" w:eastAsia="宋体" w:cs="Times New Roman"/>
                <w:color w:val="auto"/>
                <w:kern w:val="0"/>
                <w:sz w:val="24"/>
                <w:szCs w:val="24"/>
                <w:lang w:val="en-US" w:eastAsia="zh-CN" w:bidi="ar-SA"/>
              </w:rPr>
              <w:t>沟</w:t>
            </w:r>
            <w:r>
              <w:rPr>
                <w:rFonts w:hint="eastAsia" w:ascii="Times New Roman" w:hAnsi="Times New Roman" w:cs="Times New Roman"/>
                <w:color w:val="auto"/>
                <w:kern w:val="0"/>
                <w:sz w:val="24"/>
                <w:szCs w:val="24"/>
                <w:lang w:val="en-US" w:eastAsia="zh-CN" w:bidi="ar-SA"/>
              </w:rPr>
              <w:t>流入</w:t>
            </w:r>
            <w:r>
              <w:rPr>
                <w:rFonts w:hint="eastAsia" w:cs="Times New Roman"/>
                <w:color w:val="auto"/>
                <w:kern w:val="0"/>
                <w:sz w:val="24"/>
                <w:szCs w:val="24"/>
                <w:lang w:val="en-US" w:eastAsia="zh-CN" w:bidi="ar-SA"/>
              </w:rPr>
              <w:t>干河再</w:t>
            </w:r>
            <w:r>
              <w:rPr>
                <w:rFonts w:hint="eastAsia" w:ascii="Times New Roman" w:hAnsi="Times New Roman" w:cs="Times New Roman"/>
                <w:color w:val="auto"/>
                <w:kern w:val="0"/>
                <w:sz w:val="24"/>
                <w:szCs w:val="24"/>
                <w:lang w:val="en-US" w:eastAsia="zh-CN" w:bidi="ar-SA"/>
              </w:rPr>
              <w:t>汇入</w:t>
            </w:r>
            <w:r>
              <w:rPr>
                <w:rFonts w:hint="eastAsia" w:cs="Times New Roman"/>
                <w:color w:val="auto"/>
                <w:kern w:val="0"/>
                <w:sz w:val="24"/>
                <w:szCs w:val="24"/>
                <w:lang w:val="en-US" w:eastAsia="zh-CN" w:bidi="ar-SA"/>
              </w:rPr>
              <w:t>牛栏江</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西南片区</w:t>
            </w:r>
            <w:r>
              <w:rPr>
                <w:rFonts w:hint="eastAsia" w:ascii="Times New Roman" w:hAnsi="Times New Roman" w:eastAsia="宋体" w:cs="Times New Roman"/>
                <w:color w:val="auto"/>
                <w:kern w:val="0"/>
                <w:sz w:val="24"/>
                <w:szCs w:val="24"/>
                <w:lang w:val="en-US" w:eastAsia="zh-CN" w:bidi="ar-SA"/>
              </w:rPr>
              <w:t>涉及的地表水为长地箐</w:t>
            </w:r>
            <w:r>
              <w:rPr>
                <w:rFonts w:hint="eastAsia" w:cs="Times New Roman"/>
                <w:color w:val="auto"/>
                <w:kern w:val="0"/>
                <w:sz w:val="24"/>
                <w:szCs w:val="24"/>
                <w:lang w:val="en-US" w:eastAsia="zh-CN" w:bidi="ar-SA"/>
              </w:rPr>
              <w:t>、</w:t>
            </w:r>
            <w:r>
              <w:rPr>
                <w:rFonts w:hint="eastAsia" w:ascii="Times New Roman" w:cs="Times New Roman"/>
                <w:color w:val="auto"/>
                <w:sz w:val="24"/>
                <w:szCs w:val="24"/>
                <w:vertAlign w:val="baseline"/>
                <w:lang w:val="en-US" w:eastAsia="zh-CN"/>
              </w:rPr>
              <w:t>小石岩沟</w:t>
            </w:r>
            <w:r>
              <w:rPr>
                <w:rFonts w:hint="eastAsia" w:ascii="Times New Roman" w:hAnsi="Times New Roman" w:eastAsia="宋体" w:cs="Times New Roman"/>
                <w:color w:val="auto"/>
                <w:kern w:val="0"/>
                <w:sz w:val="24"/>
                <w:szCs w:val="24"/>
                <w:lang w:val="en-US" w:eastAsia="zh-CN" w:bidi="ar-SA"/>
              </w:rPr>
              <w:t>和化桃箐水库，</w:t>
            </w:r>
            <w:r>
              <w:rPr>
                <w:rFonts w:hint="eastAsia" w:cs="Times New Roman"/>
                <w:color w:val="auto"/>
                <w:kern w:val="0"/>
                <w:sz w:val="24"/>
                <w:szCs w:val="24"/>
                <w:lang w:val="en-US" w:eastAsia="zh-CN" w:bidi="ar-SA"/>
              </w:rPr>
              <w:t>长地箐流入小石岩沟，最终汇入牛栏江。</w:t>
            </w:r>
            <w:r>
              <w:rPr>
                <w:rFonts w:hint="eastAsia" w:ascii="Times New Roman" w:hAnsi="Times New Roman" w:eastAsia="宋体" w:cs="Times New Roman"/>
                <w:color w:val="auto"/>
                <w:kern w:val="0"/>
                <w:sz w:val="24"/>
                <w:szCs w:val="24"/>
                <w:lang w:val="en-US" w:eastAsia="zh-CN" w:bidi="ar-SA"/>
              </w:rPr>
              <w:t>化桃箐水库</w:t>
            </w:r>
            <w:r>
              <w:rPr>
                <w:rFonts w:hint="default" w:ascii="Times New Roman" w:hAnsi="Times New Roman"/>
                <w:color w:val="auto"/>
                <w:sz w:val="24"/>
                <w:szCs w:val="24"/>
              </w:rPr>
              <w:t>位于化桃箐河上游，属于长江流域金沙江水系牛栏江左岸一级支流。</w:t>
            </w:r>
            <w:r>
              <w:rPr>
                <w:rFonts w:hint="eastAsia" w:ascii="Times New Roman" w:hAnsi="Times New Roman" w:eastAsia="宋体" w:cs="Times New Roman"/>
                <w:color w:val="auto"/>
                <w:sz w:val="24"/>
                <w:szCs w:val="24"/>
                <w:lang w:val="en-US" w:eastAsia="zh-CN"/>
              </w:rPr>
              <w:t>根据《牛栏江流域（云南部分）水环境保护规划报告（2009-2030年）》和《云南省牛栏江保护条例》（云南省第十一届人民代表大会常务委员会公告第68号公布）总则第八条，牛栏江流域水体水质</w:t>
            </w:r>
            <w:r>
              <w:rPr>
                <w:rFonts w:hint="eastAsia" w:ascii="Times New Roman" w:hAnsi="Times New Roman" w:eastAsia="宋体" w:cs="Times New Roman"/>
                <w:color w:val="auto"/>
                <w:sz w:val="24"/>
                <w:szCs w:val="24"/>
              </w:rPr>
              <w:t>执行《地表水环境质量标准》（GB3838-2002）Ⅲ类水标准。</w:t>
            </w:r>
            <w:r>
              <w:rPr>
                <w:rFonts w:hint="eastAsia" w:ascii="Times New Roman" w:hAnsi="Times New Roman" w:eastAsia="宋体" w:cs="Times New Roman"/>
                <w:color w:val="auto"/>
                <w:kern w:val="0"/>
                <w:sz w:val="24"/>
                <w:szCs w:val="24"/>
                <w:lang w:val="en-US" w:eastAsia="zh-CN" w:bidi="ar-SA"/>
              </w:rPr>
              <w:t>根据《昆明市寻甸县河口镇化桃箐水库饮用水水源保护区划定方案》，化桃箐水库按照Ⅲ类水体保护，执行《地表水环境质量标准》（GB3838-2002）Ⅲ类标准</w:t>
            </w:r>
            <w:r>
              <w:rPr>
                <w:rFonts w:hint="eastAsia" w:cs="Times New Roman"/>
                <w:color w:val="auto"/>
                <w:kern w:val="0"/>
                <w:sz w:val="24"/>
                <w:szCs w:val="24"/>
                <w:lang w:val="en-US" w:eastAsia="zh-CN" w:bidi="ar-SA"/>
              </w:rPr>
              <w:t>，</w:t>
            </w:r>
            <w:r>
              <w:rPr>
                <w:rFonts w:hint="eastAsia"/>
                <w:color w:val="auto"/>
                <w:sz w:val="24"/>
              </w:rPr>
              <w:t>且应满足集中式生活饮用水地表水源地补充项目</w:t>
            </w:r>
            <w:r>
              <w:rPr>
                <w:rFonts w:hint="eastAsia"/>
                <w:color w:val="auto"/>
                <w:kern w:val="0"/>
                <w:sz w:val="24"/>
              </w:rPr>
              <w:t>和特定项目</w:t>
            </w:r>
            <w:r>
              <w:rPr>
                <w:rFonts w:hint="eastAsia"/>
                <w:color w:val="auto"/>
                <w:sz w:val="24"/>
              </w:rPr>
              <w:t>标准限值的要求</w:t>
            </w:r>
            <w:r>
              <w:rPr>
                <w:rFonts w:hint="eastAsia" w:ascii="Times New Roman" w:hAnsi="Times New Roman" w:eastAsia="宋体" w:cs="Times New Roman"/>
                <w:color w:val="auto"/>
                <w:kern w:val="0"/>
                <w:sz w:val="24"/>
                <w:szCs w:val="24"/>
                <w:lang w:val="en-US" w:eastAsia="zh-CN" w:bidi="ar-SA"/>
              </w:rPr>
              <w:t>。</w:t>
            </w:r>
          </w:p>
          <w:p w14:paraId="52C96C66">
            <w:pPr>
              <w:pStyle w:val="40"/>
              <w:keepNext w:val="0"/>
              <w:keepLines w:val="0"/>
              <w:widowControl w:val="0"/>
              <w:suppressLineNumbers w:val="0"/>
              <w:spacing w:before="0" w:beforeAutospacing="0" w:after="0" w:afterAutospacing="0"/>
              <w:ind w:left="0" w:right="0"/>
              <w:jc w:val="center"/>
              <w:rPr>
                <w:rFonts w:hint="eastAsia" w:eastAsia="宋体"/>
                <w:color w:val="auto"/>
                <w:lang w:eastAsia="zh-CN"/>
              </w:rPr>
            </w:pPr>
            <w:r>
              <w:rPr>
                <w:rFonts w:hint="eastAsia" w:ascii="Times New Roman" w:hAnsi="Times New Roman"/>
                <w:b/>
                <w:color w:val="auto"/>
                <w:kern w:val="2"/>
                <w:sz w:val="21"/>
                <w:szCs w:val="21"/>
              </w:rPr>
              <w:t>表3</w:t>
            </w:r>
            <w:r>
              <w:rPr>
                <w:rFonts w:hint="eastAsia" w:ascii="Times New Roman" w:hAnsi="Times New Roman"/>
                <w:b/>
                <w:color w:val="auto"/>
                <w:kern w:val="2"/>
                <w:sz w:val="21"/>
                <w:szCs w:val="21"/>
                <w:lang w:val="en-US" w:eastAsia="zh-CN"/>
              </w:rPr>
              <w:t>-13</w:t>
            </w:r>
            <w:r>
              <w:rPr>
                <w:rFonts w:hint="default" w:ascii="Times New Roman" w:hAnsi="Times New Roman"/>
                <w:b/>
                <w:color w:val="auto"/>
                <w:kern w:val="2"/>
                <w:sz w:val="21"/>
                <w:szCs w:val="21"/>
              </w:rPr>
              <w:t xml:space="preserve"> </w:t>
            </w:r>
            <w:r>
              <w:rPr>
                <w:rFonts w:hint="eastAsia" w:ascii="Times New Roman" w:hAnsi="Times New Roman"/>
                <w:b/>
                <w:color w:val="auto"/>
                <w:kern w:val="2"/>
                <w:sz w:val="21"/>
                <w:szCs w:val="21"/>
                <w:lang w:val="en-US" w:eastAsia="zh-CN"/>
              </w:rPr>
              <w:t xml:space="preserve"> </w:t>
            </w:r>
            <w:r>
              <w:rPr>
                <w:rFonts w:hint="default" w:ascii="Times New Roman" w:hAnsi="Times New Roman"/>
                <w:b/>
                <w:color w:val="auto"/>
                <w:kern w:val="2"/>
                <w:sz w:val="21"/>
                <w:szCs w:val="21"/>
              </w:rPr>
              <w:t>地</w:t>
            </w:r>
            <w:r>
              <w:rPr>
                <w:rFonts w:hint="eastAsia" w:ascii="Times New Roman" w:hAnsi="Times New Roman"/>
                <w:b/>
                <w:color w:val="auto"/>
                <w:kern w:val="2"/>
                <w:sz w:val="21"/>
                <w:szCs w:val="21"/>
              </w:rPr>
              <w:t>表</w:t>
            </w:r>
            <w:r>
              <w:rPr>
                <w:rFonts w:hint="default" w:ascii="Times New Roman" w:hAnsi="Times New Roman"/>
                <w:b/>
                <w:color w:val="auto"/>
                <w:kern w:val="2"/>
                <w:sz w:val="21"/>
                <w:szCs w:val="21"/>
              </w:rPr>
              <w:t>水环境质量标准</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单位：mg/L</w:t>
            </w:r>
            <w:r>
              <w:rPr>
                <w:rFonts w:hint="eastAsia" w:ascii="Times New Roman" w:hAnsi="Times New Roman"/>
                <w:b/>
                <w:color w:val="auto"/>
                <w:kern w:val="2"/>
                <w:sz w:val="21"/>
                <w:szCs w:val="21"/>
                <w:lang w:eastAsia="zh-CN"/>
              </w:rPr>
              <w:t>（</w:t>
            </w:r>
            <w:r>
              <w:rPr>
                <w:rFonts w:hint="eastAsia" w:ascii="Times New Roman" w:hAnsi="Times New Roman"/>
                <w:b/>
                <w:color w:val="auto"/>
                <w:kern w:val="2"/>
                <w:sz w:val="21"/>
                <w:szCs w:val="21"/>
                <w:lang w:val="en-US" w:eastAsia="zh-CN"/>
              </w:rPr>
              <w:t>pH除外</w:t>
            </w:r>
            <w:r>
              <w:rPr>
                <w:rFonts w:hint="eastAsia" w:ascii="Times New Roman" w:hAnsi="Times New Roman"/>
                <w:b/>
                <w:color w:val="auto"/>
                <w:kern w:val="2"/>
                <w:sz w:val="21"/>
                <w:szCs w:val="21"/>
                <w:lang w:eastAsia="zh-CN"/>
              </w:rPr>
              <w:t>）</w:t>
            </w:r>
          </w:p>
          <w:tbl>
            <w:tblPr>
              <w:tblStyle w:val="42"/>
              <w:tblW w:w="49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6"/>
              <w:gridCol w:w="703"/>
              <w:gridCol w:w="565"/>
              <w:gridCol w:w="739"/>
              <w:gridCol w:w="750"/>
              <w:gridCol w:w="900"/>
              <w:gridCol w:w="876"/>
              <w:gridCol w:w="669"/>
              <w:gridCol w:w="1200"/>
              <w:gridCol w:w="740"/>
            </w:tblGrid>
            <w:tr w14:paraId="0105E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55" w:type="pct"/>
                  <w:noWrap w:val="0"/>
                  <w:vAlign w:val="center"/>
                </w:tcPr>
                <w:p w14:paraId="0BB4694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447" w:type="pct"/>
                  <w:noWrap w:val="0"/>
                  <w:vAlign w:val="center"/>
                </w:tcPr>
                <w:p w14:paraId="384772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359" w:type="pct"/>
                  <w:noWrap w:val="0"/>
                  <w:vAlign w:val="center"/>
                </w:tcPr>
                <w:p w14:paraId="2D5543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DO</w:t>
                  </w:r>
                </w:p>
              </w:tc>
              <w:tc>
                <w:tcPr>
                  <w:tcW w:w="470" w:type="pct"/>
                  <w:noWrap w:val="0"/>
                  <w:vAlign w:val="center"/>
                </w:tcPr>
                <w:p w14:paraId="3073963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p>
              </w:tc>
              <w:tc>
                <w:tcPr>
                  <w:tcW w:w="477" w:type="pct"/>
                  <w:noWrap w:val="0"/>
                  <w:vAlign w:val="center"/>
                </w:tcPr>
                <w:p w14:paraId="7BDA45C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572" w:type="pct"/>
                  <w:noWrap w:val="0"/>
                  <w:vAlign w:val="center"/>
                </w:tcPr>
                <w:p w14:paraId="02A774F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高锰酸盐指数</w:t>
                  </w:r>
                </w:p>
              </w:tc>
              <w:tc>
                <w:tcPr>
                  <w:tcW w:w="557" w:type="pct"/>
                  <w:noWrap w:val="0"/>
                  <w:vAlign w:val="center"/>
                </w:tcPr>
                <w:p w14:paraId="177EB5E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石油类</w:t>
                  </w:r>
                </w:p>
              </w:tc>
              <w:tc>
                <w:tcPr>
                  <w:tcW w:w="425" w:type="pct"/>
                  <w:noWrap w:val="0"/>
                  <w:vAlign w:val="center"/>
                </w:tcPr>
                <w:p w14:paraId="31C0A35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氨氮</w:t>
                  </w:r>
                </w:p>
              </w:tc>
              <w:tc>
                <w:tcPr>
                  <w:tcW w:w="763" w:type="pct"/>
                  <w:noWrap w:val="0"/>
                  <w:vAlign w:val="center"/>
                </w:tcPr>
                <w:p w14:paraId="769B68B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470" w:type="pct"/>
                  <w:noWrap w:val="0"/>
                  <w:vAlign w:val="center"/>
                </w:tcPr>
                <w:p w14:paraId="3DC8A7B6">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总氮</w:t>
                  </w:r>
                </w:p>
              </w:tc>
            </w:tr>
            <w:tr w14:paraId="7FC9A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455" w:type="pct"/>
                  <w:noWrap w:val="0"/>
                  <w:vAlign w:val="center"/>
                </w:tcPr>
                <w:p w14:paraId="4F1F29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Ⅲ</w:t>
                  </w:r>
                  <w:r>
                    <w:rPr>
                      <w:rFonts w:hint="default" w:ascii="Times New Roman" w:hAnsi="Times New Roman" w:eastAsia="宋体" w:cs="Times New Roman"/>
                      <w:color w:val="auto"/>
                      <w:sz w:val="21"/>
                      <w:szCs w:val="21"/>
                    </w:rPr>
                    <w:t>类标准</w:t>
                  </w:r>
                </w:p>
              </w:tc>
              <w:tc>
                <w:tcPr>
                  <w:tcW w:w="447" w:type="pct"/>
                  <w:noWrap w:val="0"/>
                  <w:vAlign w:val="center"/>
                </w:tcPr>
                <w:p w14:paraId="342FB5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9</w:t>
                  </w:r>
                </w:p>
              </w:tc>
              <w:tc>
                <w:tcPr>
                  <w:tcW w:w="359" w:type="pct"/>
                  <w:noWrap w:val="0"/>
                  <w:vAlign w:val="center"/>
                </w:tcPr>
                <w:p w14:paraId="4D7F76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70" w:type="pct"/>
                  <w:noWrap w:val="0"/>
                  <w:vAlign w:val="center"/>
                </w:tcPr>
                <w:p w14:paraId="19F758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77" w:type="pct"/>
                  <w:noWrap w:val="0"/>
                  <w:vAlign w:val="center"/>
                </w:tcPr>
                <w:p w14:paraId="1C8888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72" w:type="pct"/>
                  <w:noWrap w:val="0"/>
                  <w:vAlign w:val="center"/>
                </w:tcPr>
                <w:p w14:paraId="2BB336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57" w:type="pct"/>
                  <w:noWrap w:val="0"/>
                  <w:vAlign w:val="center"/>
                </w:tcPr>
                <w:p w14:paraId="2241D5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425" w:type="pct"/>
                  <w:noWrap w:val="0"/>
                  <w:vAlign w:val="center"/>
                </w:tcPr>
                <w:p w14:paraId="445E4C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63" w:type="pct"/>
                  <w:noWrap w:val="0"/>
                  <w:vAlign w:val="center"/>
                </w:tcPr>
                <w:p w14:paraId="3897567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≤0.2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湖、库0.05</w:t>
                  </w:r>
                  <w:r>
                    <w:rPr>
                      <w:rFonts w:hint="eastAsia" w:cs="Times New Roman"/>
                      <w:color w:val="auto"/>
                      <w:sz w:val="21"/>
                      <w:szCs w:val="21"/>
                      <w:highlight w:val="none"/>
                      <w:lang w:eastAsia="zh-CN"/>
                    </w:rPr>
                    <w:t>）</w:t>
                  </w:r>
                </w:p>
              </w:tc>
              <w:tc>
                <w:tcPr>
                  <w:tcW w:w="470" w:type="pct"/>
                  <w:noWrap w:val="0"/>
                  <w:vAlign w:val="center"/>
                </w:tcPr>
                <w:p w14:paraId="4C7012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bl>
          <w:p w14:paraId="3AC78CC2">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表3-14  集中式生活饮用水地表水源地补充项目标准限值</w:t>
            </w:r>
          </w:p>
          <w:tbl>
            <w:tblPr>
              <w:tblStyle w:val="4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3291"/>
              <w:gridCol w:w="2866"/>
            </w:tblGrid>
            <w:tr w14:paraId="7BDE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shd w:val="clear" w:color="auto" w:fill="D7D7D7"/>
                  <w:vAlign w:val="center"/>
                </w:tcPr>
                <w:p w14:paraId="42C0D647">
                  <w:pPr>
                    <w:keepNext w:val="0"/>
                    <w:keepLines w:val="0"/>
                    <w:suppressLineNumbers w:val="0"/>
                    <w:spacing w:before="0" w:beforeAutospacing="0" w:after="0" w:afterAutospacing="0" w:line="240" w:lineRule="auto"/>
                    <w:ind w:left="0" w:right="0"/>
                    <w:jc w:val="center"/>
                    <w:rPr>
                      <w:rFonts w:hint="default"/>
                      <w:b/>
                      <w:color w:val="auto"/>
                      <w:sz w:val="21"/>
                      <w:szCs w:val="21"/>
                    </w:rPr>
                  </w:pPr>
                  <w:r>
                    <w:rPr>
                      <w:rFonts w:hint="eastAsia"/>
                      <w:b/>
                      <w:color w:val="auto"/>
                      <w:sz w:val="21"/>
                      <w:szCs w:val="21"/>
                    </w:rPr>
                    <w:t>序号</w:t>
                  </w:r>
                </w:p>
              </w:tc>
              <w:tc>
                <w:tcPr>
                  <w:tcW w:w="3291" w:type="dxa"/>
                  <w:shd w:val="clear" w:color="auto" w:fill="D7D7D7"/>
                  <w:vAlign w:val="center"/>
                </w:tcPr>
                <w:p w14:paraId="1E19A17F">
                  <w:pPr>
                    <w:keepNext w:val="0"/>
                    <w:keepLines w:val="0"/>
                    <w:suppressLineNumbers w:val="0"/>
                    <w:spacing w:before="0" w:beforeAutospacing="0" w:after="0" w:afterAutospacing="0" w:line="240" w:lineRule="auto"/>
                    <w:ind w:left="0" w:right="0"/>
                    <w:jc w:val="center"/>
                    <w:rPr>
                      <w:rFonts w:hint="default"/>
                      <w:b/>
                      <w:color w:val="auto"/>
                      <w:sz w:val="21"/>
                      <w:szCs w:val="21"/>
                    </w:rPr>
                  </w:pPr>
                  <w:r>
                    <w:rPr>
                      <w:rFonts w:hint="eastAsia"/>
                      <w:b/>
                      <w:color w:val="auto"/>
                      <w:sz w:val="21"/>
                      <w:szCs w:val="21"/>
                    </w:rPr>
                    <w:t>项目</w:t>
                  </w:r>
                </w:p>
              </w:tc>
              <w:tc>
                <w:tcPr>
                  <w:tcW w:w="2866" w:type="dxa"/>
                  <w:shd w:val="clear" w:color="auto" w:fill="D7D7D7"/>
                  <w:vAlign w:val="center"/>
                </w:tcPr>
                <w:p w14:paraId="68308147">
                  <w:pPr>
                    <w:keepNext w:val="0"/>
                    <w:keepLines w:val="0"/>
                    <w:suppressLineNumbers w:val="0"/>
                    <w:spacing w:before="0" w:beforeAutospacing="0" w:after="0" w:afterAutospacing="0" w:line="240" w:lineRule="auto"/>
                    <w:ind w:left="0" w:right="0"/>
                    <w:jc w:val="center"/>
                    <w:rPr>
                      <w:rFonts w:hint="default"/>
                      <w:b/>
                      <w:color w:val="auto"/>
                      <w:sz w:val="21"/>
                      <w:szCs w:val="21"/>
                    </w:rPr>
                  </w:pPr>
                  <w:r>
                    <w:rPr>
                      <w:rFonts w:hint="eastAsia"/>
                      <w:b/>
                      <w:color w:val="auto"/>
                      <w:sz w:val="21"/>
                      <w:szCs w:val="21"/>
                    </w:rPr>
                    <w:t>标准值（mg/L）</w:t>
                  </w:r>
                </w:p>
              </w:tc>
            </w:tr>
            <w:tr w14:paraId="33E0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3CD757C1">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1</w:t>
                  </w:r>
                </w:p>
              </w:tc>
              <w:tc>
                <w:tcPr>
                  <w:tcW w:w="3291" w:type="dxa"/>
                  <w:vAlign w:val="center"/>
                </w:tcPr>
                <w:p w14:paraId="0C633AF4">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硫酸盐</w:t>
                  </w:r>
                </w:p>
              </w:tc>
              <w:tc>
                <w:tcPr>
                  <w:tcW w:w="2866" w:type="dxa"/>
                  <w:vAlign w:val="center"/>
                </w:tcPr>
                <w:p w14:paraId="3D089026">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250</w:t>
                  </w:r>
                </w:p>
              </w:tc>
            </w:tr>
            <w:tr w14:paraId="7E86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613D0D7B">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2</w:t>
                  </w:r>
                </w:p>
              </w:tc>
              <w:tc>
                <w:tcPr>
                  <w:tcW w:w="3291" w:type="dxa"/>
                  <w:vAlign w:val="center"/>
                </w:tcPr>
                <w:p w14:paraId="6590E907">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氯化物</w:t>
                  </w:r>
                </w:p>
              </w:tc>
              <w:tc>
                <w:tcPr>
                  <w:tcW w:w="2866" w:type="dxa"/>
                  <w:vAlign w:val="center"/>
                </w:tcPr>
                <w:p w14:paraId="03703F7E">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250</w:t>
                  </w:r>
                </w:p>
              </w:tc>
            </w:tr>
            <w:tr w14:paraId="2453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50D4ED80">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3</w:t>
                  </w:r>
                </w:p>
              </w:tc>
              <w:tc>
                <w:tcPr>
                  <w:tcW w:w="3291" w:type="dxa"/>
                  <w:vAlign w:val="center"/>
                </w:tcPr>
                <w:p w14:paraId="14E18EC8">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硝酸盐</w:t>
                  </w:r>
                </w:p>
              </w:tc>
              <w:tc>
                <w:tcPr>
                  <w:tcW w:w="2866" w:type="dxa"/>
                  <w:vAlign w:val="center"/>
                </w:tcPr>
                <w:p w14:paraId="746263A5">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10</w:t>
                  </w:r>
                </w:p>
              </w:tc>
            </w:tr>
            <w:tr w14:paraId="3930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2868FC7C">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4</w:t>
                  </w:r>
                </w:p>
              </w:tc>
              <w:tc>
                <w:tcPr>
                  <w:tcW w:w="3291" w:type="dxa"/>
                  <w:vAlign w:val="center"/>
                </w:tcPr>
                <w:p w14:paraId="3F137AEF">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铁</w:t>
                  </w:r>
                </w:p>
              </w:tc>
              <w:tc>
                <w:tcPr>
                  <w:tcW w:w="2866" w:type="dxa"/>
                  <w:vAlign w:val="center"/>
                </w:tcPr>
                <w:p w14:paraId="4F08C317">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0.3</w:t>
                  </w:r>
                </w:p>
              </w:tc>
            </w:tr>
            <w:tr w14:paraId="2784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14:paraId="510A94FE">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5</w:t>
                  </w:r>
                </w:p>
              </w:tc>
              <w:tc>
                <w:tcPr>
                  <w:tcW w:w="3291" w:type="dxa"/>
                  <w:vAlign w:val="center"/>
                </w:tcPr>
                <w:p w14:paraId="311B236B">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锰</w:t>
                  </w:r>
                </w:p>
              </w:tc>
              <w:tc>
                <w:tcPr>
                  <w:tcW w:w="2866" w:type="dxa"/>
                  <w:vAlign w:val="center"/>
                </w:tcPr>
                <w:p w14:paraId="0653A1AA">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0.1</w:t>
                  </w:r>
                </w:p>
              </w:tc>
            </w:tr>
          </w:tbl>
          <w:p w14:paraId="75FA5C98">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表3-15  集中式生活饮用水地表水源地特定项目标准限值</w:t>
            </w:r>
          </w:p>
          <w:tbl>
            <w:tblPr>
              <w:tblStyle w:val="42"/>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3293"/>
              <w:gridCol w:w="2865"/>
            </w:tblGrid>
            <w:tr w14:paraId="2159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shd w:val="clear" w:color="auto" w:fill="D7D7D7"/>
                  <w:vAlign w:val="center"/>
                </w:tcPr>
                <w:p w14:paraId="725F367F">
                  <w:pPr>
                    <w:keepNext w:val="0"/>
                    <w:keepLines w:val="0"/>
                    <w:suppressLineNumbers w:val="0"/>
                    <w:spacing w:before="0" w:beforeAutospacing="0" w:after="0" w:afterAutospacing="0" w:line="240" w:lineRule="auto"/>
                    <w:ind w:left="0" w:right="0"/>
                    <w:jc w:val="center"/>
                    <w:rPr>
                      <w:rFonts w:hint="default"/>
                      <w:b/>
                      <w:color w:val="auto"/>
                      <w:szCs w:val="21"/>
                    </w:rPr>
                  </w:pPr>
                  <w:r>
                    <w:rPr>
                      <w:rFonts w:hint="eastAsia"/>
                      <w:b/>
                      <w:color w:val="auto"/>
                      <w:szCs w:val="21"/>
                    </w:rPr>
                    <w:t>序号</w:t>
                  </w:r>
                </w:p>
              </w:tc>
              <w:tc>
                <w:tcPr>
                  <w:tcW w:w="3293" w:type="dxa"/>
                  <w:shd w:val="clear" w:color="auto" w:fill="D7D7D7"/>
                  <w:vAlign w:val="center"/>
                </w:tcPr>
                <w:p w14:paraId="79E14967">
                  <w:pPr>
                    <w:keepNext w:val="0"/>
                    <w:keepLines w:val="0"/>
                    <w:suppressLineNumbers w:val="0"/>
                    <w:spacing w:before="0" w:beforeAutospacing="0" w:after="0" w:afterAutospacing="0" w:line="240" w:lineRule="auto"/>
                    <w:ind w:left="0" w:right="0"/>
                    <w:jc w:val="center"/>
                    <w:rPr>
                      <w:rFonts w:hint="default"/>
                      <w:b/>
                      <w:color w:val="auto"/>
                      <w:szCs w:val="21"/>
                    </w:rPr>
                  </w:pPr>
                  <w:r>
                    <w:rPr>
                      <w:rFonts w:hint="eastAsia"/>
                      <w:b/>
                      <w:color w:val="auto"/>
                      <w:szCs w:val="21"/>
                    </w:rPr>
                    <w:t>项目</w:t>
                  </w:r>
                </w:p>
              </w:tc>
              <w:tc>
                <w:tcPr>
                  <w:tcW w:w="2865" w:type="dxa"/>
                  <w:shd w:val="clear" w:color="auto" w:fill="D7D7D7"/>
                  <w:vAlign w:val="center"/>
                </w:tcPr>
                <w:p w14:paraId="4E7AE70A">
                  <w:pPr>
                    <w:keepNext w:val="0"/>
                    <w:keepLines w:val="0"/>
                    <w:suppressLineNumbers w:val="0"/>
                    <w:spacing w:before="0" w:beforeAutospacing="0" w:after="0" w:afterAutospacing="0" w:line="240" w:lineRule="auto"/>
                    <w:ind w:left="0" w:right="0"/>
                    <w:jc w:val="center"/>
                    <w:rPr>
                      <w:rFonts w:hint="default"/>
                      <w:b/>
                      <w:color w:val="auto"/>
                      <w:szCs w:val="21"/>
                    </w:rPr>
                  </w:pPr>
                  <w:r>
                    <w:rPr>
                      <w:rFonts w:hint="eastAsia"/>
                      <w:b/>
                      <w:color w:val="auto"/>
                      <w:szCs w:val="21"/>
                    </w:rPr>
                    <w:t>标准值（mg/L）</w:t>
                  </w:r>
                </w:p>
              </w:tc>
            </w:tr>
            <w:tr w14:paraId="3FF7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vAlign w:val="center"/>
                </w:tcPr>
                <w:p w14:paraId="16510AE8">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1</w:t>
                  </w:r>
                </w:p>
              </w:tc>
              <w:tc>
                <w:tcPr>
                  <w:tcW w:w="3293" w:type="dxa"/>
                  <w:vAlign w:val="center"/>
                </w:tcPr>
                <w:p w14:paraId="58740E59">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color w:val="auto"/>
                      <w:szCs w:val="21"/>
                    </w:rPr>
                    <w:t>三氯甲烷</w:t>
                  </w:r>
                </w:p>
              </w:tc>
              <w:tc>
                <w:tcPr>
                  <w:tcW w:w="2865" w:type="dxa"/>
                  <w:vAlign w:val="center"/>
                </w:tcPr>
                <w:p w14:paraId="15B9C5FE">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0.06</w:t>
                  </w:r>
                </w:p>
              </w:tc>
            </w:tr>
            <w:tr w14:paraId="4FEA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vAlign w:val="center"/>
                </w:tcPr>
                <w:p w14:paraId="01B07B74">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2</w:t>
                  </w:r>
                </w:p>
              </w:tc>
              <w:tc>
                <w:tcPr>
                  <w:tcW w:w="3293" w:type="dxa"/>
                  <w:vAlign w:val="center"/>
                </w:tcPr>
                <w:p w14:paraId="3805DCA8">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color w:val="auto"/>
                      <w:szCs w:val="21"/>
                    </w:rPr>
                    <w:t>四氯化碳</w:t>
                  </w:r>
                </w:p>
              </w:tc>
              <w:tc>
                <w:tcPr>
                  <w:tcW w:w="2865" w:type="dxa"/>
                  <w:vAlign w:val="center"/>
                </w:tcPr>
                <w:p w14:paraId="11605421">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0.002</w:t>
                  </w:r>
                </w:p>
              </w:tc>
            </w:tr>
            <w:tr w14:paraId="4F44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vAlign w:val="center"/>
                </w:tcPr>
                <w:p w14:paraId="4AB855BE">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3</w:t>
                  </w:r>
                </w:p>
              </w:tc>
              <w:tc>
                <w:tcPr>
                  <w:tcW w:w="3293" w:type="dxa"/>
                  <w:vAlign w:val="center"/>
                </w:tcPr>
                <w:p w14:paraId="6FA84365">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color w:val="auto"/>
                      <w:szCs w:val="21"/>
                    </w:rPr>
                    <w:t>甲醛</w:t>
                  </w:r>
                </w:p>
              </w:tc>
              <w:tc>
                <w:tcPr>
                  <w:tcW w:w="2865" w:type="dxa"/>
                  <w:vAlign w:val="center"/>
                </w:tcPr>
                <w:p w14:paraId="5399C1BF">
                  <w:pPr>
                    <w:keepNext w:val="0"/>
                    <w:keepLines w:val="0"/>
                    <w:suppressLineNumbers w:val="0"/>
                    <w:spacing w:before="0" w:beforeAutospacing="0" w:after="0" w:afterAutospacing="0" w:line="240" w:lineRule="auto"/>
                    <w:ind w:left="0" w:right="0"/>
                    <w:jc w:val="center"/>
                    <w:rPr>
                      <w:rFonts w:hint="default"/>
                      <w:bCs/>
                      <w:color w:val="auto"/>
                      <w:szCs w:val="21"/>
                    </w:rPr>
                  </w:pPr>
                  <w:r>
                    <w:rPr>
                      <w:rFonts w:hint="eastAsia"/>
                      <w:bCs/>
                      <w:color w:val="auto"/>
                      <w:szCs w:val="21"/>
                    </w:rPr>
                    <w:t>0.9</w:t>
                  </w:r>
                </w:p>
              </w:tc>
            </w:tr>
          </w:tbl>
          <w:p w14:paraId="4A6D3BD5">
            <w:pPr>
              <w:pStyle w:val="74"/>
              <w:keepNext w:val="0"/>
              <w:keepLines w:val="0"/>
              <w:suppressLineNumbers w:val="0"/>
              <w:adjustRightInd w:val="0"/>
              <w:snapToGrid w:val="0"/>
              <w:spacing w:before="0" w:beforeAutospacing="0" w:after="0" w:afterAutospacing="0" w:line="360" w:lineRule="auto"/>
              <w:ind w:left="0" w:right="0" w:firstLine="480"/>
              <w:jc w:val="left"/>
              <w:rPr>
                <w:rFonts w:hint="default" w:eastAsia="宋体"/>
                <w:color w:val="auto"/>
                <w:kern w:val="0"/>
              </w:rPr>
            </w:pPr>
            <w:r>
              <w:rPr>
                <w:rFonts w:hint="default" w:eastAsia="宋体"/>
                <w:color w:val="auto"/>
                <w:kern w:val="0"/>
              </w:rPr>
              <w:t>（</w:t>
            </w:r>
            <w:r>
              <w:rPr>
                <w:rFonts w:hint="eastAsia" w:eastAsia="宋体"/>
                <w:color w:val="auto"/>
                <w:kern w:val="0"/>
              </w:rPr>
              <w:t>3</w:t>
            </w:r>
            <w:r>
              <w:rPr>
                <w:rFonts w:hint="default" w:eastAsia="宋体"/>
                <w:color w:val="auto"/>
                <w:kern w:val="0"/>
              </w:rPr>
              <w:t>）声环境</w:t>
            </w:r>
          </w:p>
          <w:p w14:paraId="0D8665C7">
            <w:pPr>
              <w:pStyle w:val="74"/>
              <w:keepNext w:val="0"/>
              <w:keepLines w:val="0"/>
              <w:suppressLineNumbers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sz w:val="24"/>
              </w:rPr>
              <w:t>项目地处山区，</w:t>
            </w:r>
            <w:r>
              <w:rPr>
                <w:rFonts w:hint="default" w:ascii="Times New Roman" w:hAnsi="Times New Roman" w:eastAsia="宋体" w:cs="Times New Roman"/>
                <w:color w:val="auto"/>
                <w:sz w:val="24"/>
                <w:szCs w:val="24"/>
                <w:lang w:val="en-US" w:eastAsia="zh-CN"/>
              </w:rPr>
              <w:t>区域声环境主要为声环境1类区，</w:t>
            </w:r>
            <w:r>
              <w:rPr>
                <w:rFonts w:hint="default" w:ascii="Times New Roman" w:hAnsi="Times New Roman" w:eastAsia="宋体" w:cs="Times New Roman"/>
                <w:color w:val="auto"/>
                <w:sz w:val="24"/>
                <w:lang w:val="en-US" w:eastAsia="zh-CN"/>
              </w:rPr>
              <w:t>执行</w:t>
            </w:r>
            <w:r>
              <w:rPr>
                <w:rFonts w:hint="default" w:ascii="Times New Roman" w:hAnsi="Times New Roman" w:eastAsia="宋体" w:cs="Times New Roman"/>
                <w:color w:val="auto"/>
                <w:sz w:val="24"/>
              </w:rPr>
              <w:t>《声环境质量标准》（GB3096-2008）1类</w:t>
            </w:r>
            <w:r>
              <w:rPr>
                <w:rFonts w:hint="default" w:ascii="Times New Roman" w:hAnsi="Times New Roman" w:eastAsia="宋体" w:cs="Times New Roman"/>
                <w:color w:val="auto"/>
                <w:sz w:val="24"/>
                <w:lang w:val="en-US" w:eastAsia="zh-CN"/>
              </w:rPr>
              <w:t>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标准限值见下表。</w:t>
            </w:r>
          </w:p>
          <w:p w14:paraId="73EB1208">
            <w:pPr>
              <w:pStyle w:val="40"/>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16</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声环境质量标准</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单位：dB(A)</w:t>
            </w:r>
          </w:p>
          <w:tbl>
            <w:tblPr>
              <w:tblStyle w:val="42"/>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220"/>
              <w:gridCol w:w="2272"/>
              <w:gridCol w:w="2388"/>
            </w:tblGrid>
            <w:tr w14:paraId="1EF1D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2043" w:type="pct"/>
                  <w:vAlign w:val="center"/>
                </w:tcPr>
                <w:p w14:paraId="1BCCAD34">
                  <w:pPr>
                    <w:pStyle w:val="73"/>
                    <w:keepNext w:val="0"/>
                    <w:keepLines w:val="0"/>
                    <w:suppressLineNumbers w:val="0"/>
                    <w:spacing w:before="0" w:beforeAutospacing="0" w:after="0" w:afterAutospacing="0"/>
                    <w:ind w:left="0" w:right="0"/>
                    <w:jc w:val="center"/>
                    <w:rPr>
                      <w:rFonts w:hint="default" w:eastAsia="宋体"/>
                      <w:b/>
                      <w:bCs/>
                      <w:color w:val="auto"/>
                    </w:rPr>
                  </w:pPr>
                  <w:r>
                    <w:rPr>
                      <w:rFonts w:hint="default" w:eastAsia="宋体"/>
                      <w:b/>
                      <w:bCs/>
                      <w:color w:val="auto"/>
                    </w:rPr>
                    <w:t>类别</w:t>
                  </w:r>
                </w:p>
              </w:tc>
              <w:tc>
                <w:tcPr>
                  <w:tcW w:w="1441" w:type="pct"/>
                  <w:vAlign w:val="center"/>
                </w:tcPr>
                <w:p w14:paraId="5573800D">
                  <w:pPr>
                    <w:pStyle w:val="73"/>
                    <w:keepNext w:val="0"/>
                    <w:keepLines w:val="0"/>
                    <w:suppressLineNumbers w:val="0"/>
                    <w:spacing w:before="0" w:beforeAutospacing="0" w:after="0" w:afterAutospacing="0"/>
                    <w:ind w:left="0" w:right="0"/>
                    <w:jc w:val="center"/>
                    <w:rPr>
                      <w:rFonts w:hint="default" w:eastAsia="宋体"/>
                      <w:b/>
                      <w:bCs/>
                      <w:color w:val="auto"/>
                    </w:rPr>
                  </w:pPr>
                  <w:r>
                    <w:rPr>
                      <w:rFonts w:hint="default" w:eastAsia="宋体"/>
                      <w:b/>
                      <w:bCs/>
                      <w:color w:val="auto"/>
                    </w:rPr>
                    <w:t>昼间</w:t>
                  </w:r>
                </w:p>
              </w:tc>
              <w:tc>
                <w:tcPr>
                  <w:tcW w:w="1515" w:type="pct"/>
                  <w:vAlign w:val="center"/>
                </w:tcPr>
                <w:p w14:paraId="29086DEF">
                  <w:pPr>
                    <w:pStyle w:val="73"/>
                    <w:keepNext w:val="0"/>
                    <w:keepLines w:val="0"/>
                    <w:suppressLineNumbers w:val="0"/>
                    <w:spacing w:before="0" w:beforeAutospacing="0" w:after="0" w:afterAutospacing="0"/>
                    <w:ind w:left="0" w:right="0"/>
                    <w:jc w:val="center"/>
                    <w:rPr>
                      <w:rFonts w:hint="default" w:eastAsia="宋体"/>
                      <w:b/>
                      <w:bCs/>
                      <w:color w:val="auto"/>
                    </w:rPr>
                  </w:pPr>
                  <w:r>
                    <w:rPr>
                      <w:rFonts w:hint="default" w:eastAsia="宋体"/>
                      <w:b/>
                      <w:bCs/>
                      <w:color w:val="auto"/>
                    </w:rPr>
                    <w:t>夜间</w:t>
                  </w:r>
                </w:p>
              </w:tc>
            </w:tr>
            <w:tr w14:paraId="78E654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2043" w:type="pct"/>
                  <w:vAlign w:val="center"/>
                </w:tcPr>
                <w:p w14:paraId="0043FD65">
                  <w:pPr>
                    <w:pStyle w:val="73"/>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1类</w:t>
                  </w:r>
                </w:p>
              </w:tc>
              <w:tc>
                <w:tcPr>
                  <w:tcW w:w="1441" w:type="pct"/>
                  <w:vAlign w:val="center"/>
                </w:tcPr>
                <w:p w14:paraId="1E0D842A">
                  <w:pPr>
                    <w:pStyle w:val="73"/>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55</w:t>
                  </w:r>
                </w:p>
              </w:tc>
              <w:tc>
                <w:tcPr>
                  <w:tcW w:w="1515" w:type="pct"/>
                  <w:vAlign w:val="center"/>
                </w:tcPr>
                <w:p w14:paraId="02A70FDE">
                  <w:pPr>
                    <w:pStyle w:val="73"/>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45</w:t>
                  </w:r>
                </w:p>
              </w:tc>
            </w:tr>
          </w:tbl>
          <w:p w14:paraId="2597C7A1">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szCs w:val="21"/>
              </w:rPr>
            </w:pPr>
            <w:r>
              <w:rPr>
                <w:rFonts w:hint="default"/>
                <w:b/>
                <w:bCs/>
                <w:color w:val="auto"/>
                <w:kern w:val="0"/>
                <w:sz w:val="24"/>
                <w:szCs w:val="21"/>
              </w:rPr>
              <w:t>2、污染物排放标准</w:t>
            </w:r>
          </w:p>
          <w:p w14:paraId="1997278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rPr>
            </w:pPr>
            <w:r>
              <w:rPr>
                <w:rFonts w:hint="default"/>
                <w:color w:val="auto"/>
                <w:sz w:val="24"/>
              </w:rPr>
              <w:t>（1）大气污染物排放标准</w:t>
            </w:r>
          </w:p>
          <w:p w14:paraId="5066BD8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施工期：</w:t>
            </w:r>
            <w:r>
              <w:rPr>
                <w:rFonts w:hint="default"/>
                <w:color w:val="auto"/>
                <w:sz w:val="24"/>
              </w:rPr>
              <w:t>产生的废气主要为施工期间的施工扬尘，</w:t>
            </w:r>
            <w:r>
              <w:rPr>
                <w:rFonts w:hint="eastAsia"/>
                <w:color w:val="auto"/>
                <w:sz w:val="24"/>
                <w:lang w:eastAsia="zh-CN"/>
              </w:rPr>
              <w:t>施工扬尘</w:t>
            </w:r>
            <w:r>
              <w:rPr>
                <w:rFonts w:hint="default"/>
                <w:color w:val="auto"/>
                <w:sz w:val="24"/>
              </w:rPr>
              <w:t>排放方式为无组织排放，执行《大气污染物综合排放标准》（GB12697-1996）表2中无组织排放浓度限值，即周界外浓度≤1.0mg/m</w:t>
            </w:r>
            <w:r>
              <w:rPr>
                <w:rFonts w:hint="default"/>
                <w:color w:val="auto"/>
                <w:sz w:val="24"/>
                <w:vertAlign w:val="superscript"/>
              </w:rPr>
              <w:t>3</w:t>
            </w:r>
            <w:r>
              <w:rPr>
                <w:rFonts w:hint="default"/>
                <w:color w:val="auto"/>
                <w:sz w:val="24"/>
              </w:rPr>
              <w:t>。</w:t>
            </w:r>
          </w:p>
          <w:p w14:paraId="30E4E16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rPr>
            </w:pPr>
            <w:r>
              <w:rPr>
                <w:rFonts w:hint="default"/>
                <w:color w:val="auto"/>
                <w:kern w:val="0"/>
                <w:sz w:val="24"/>
                <w:szCs w:val="21"/>
              </w:rPr>
              <w:t>（</w:t>
            </w:r>
            <w:r>
              <w:rPr>
                <w:rFonts w:hint="eastAsia"/>
                <w:color w:val="auto"/>
                <w:kern w:val="0"/>
                <w:sz w:val="24"/>
                <w:szCs w:val="21"/>
              </w:rPr>
              <w:t>2</w:t>
            </w:r>
            <w:r>
              <w:rPr>
                <w:rFonts w:hint="default"/>
                <w:color w:val="auto"/>
                <w:kern w:val="0"/>
                <w:sz w:val="24"/>
                <w:szCs w:val="21"/>
              </w:rPr>
              <w:t>）废水排放标准</w:t>
            </w:r>
          </w:p>
          <w:p w14:paraId="2361749B">
            <w:pPr>
              <w:keepNext w:val="0"/>
              <w:keepLines w:val="0"/>
              <w:suppressLineNumbers w:val="0"/>
              <w:spacing w:before="0" w:beforeAutospacing="0" w:after="0" w:afterAutospacing="0" w:line="360" w:lineRule="auto"/>
              <w:ind w:left="0" w:right="0" w:firstLine="480"/>
              <w:rPr>
                <w:rFonts w:hint="default"/>
                <w:color w:val="auto"/>
                <w:sz w:val="24"/>
                <w:lang w:bidi="ar"/>
              </w:rPr>
            </w:pPr>
            <w:r>
              <w:rPr>
                <w:rFonts w:hint="default"/>
                <w:color w:val="auto"/>
                <w:sz w:val="24"/>
              </w:rPr>
              <w:t>施工期</w:t>
            </w:r>
            <w:r>
              <w:rPr>
                <w:rFonts w:hint="default"/>
                <w:color w:val="auto"/>
                <w:sz w:val="24"/>
                <w:lang w:bidi="ar"/>
              </w:rPr>
              <w:t>：</w:t>
            </w:r>
            <w:r>
              <w:rPr>
                <w:rFonts w:hint="default"/>
                <w:color w:val="auto"/>
                <w:sz w:val="24"/>
                <w:lang w:val="en-US" w:eastAsia="zh-CN" w:bidi="ar"/>
              </w:rPr>
              <w:t>施工废水</w:t>
            </w:r>
            <w:r>
              <w:rPr>
                <w:rFonts w:hint="eastAsia"/>
                <w:color w:val="auto"/>
                <w:sz w:val="24"/>
                <w:lang w:val="en-US" w:eastAsia="zh-CN" w:bidi="ar"/>
              </w:rPr>
              <w:t>经沉淀池处理后</w:t>
            </w:r>
            <w:r>
              <w:rPr>
                <w:rFonts w:hint="default"/>
                <w:color w:val="auto"/>
                <w:sz w:val="24"/>
                <w:lang w:val="en-US" w:eastAsia="zh-CN" w:bidi="ar"/>
              </w:rPr>
              <w:t>回用于施工工序和洒水降尘，不外排</w:t>
            </w:r>
            <w:r>
              <w:rPr>
                <w:rFonts w:hint="eastAsia"/>
                <w:color w:val="auto"/>
                <w:sz w:val="24"/>
                <w:lang w:val="en-US" w:eastAsia="zh-CN" w:bidi="ar"/>
              </w:rPr>
              <w:t>。</w:t>
            </w:r>
          </w:p>
          <w:p w14:paraId="06C3E6D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lang w:val="en-US" w:eastAsia="zh-CN" w:bidi="ar"/>
              </w:rPr>
              <w:t>运营期废水主要为光伏板清洗废水</w:t>
            </w:r>
            <w:r>
              <w:rPr>
                <w:rFonts w:hint="eastAsia"/>
                <w:color w:val="auto"/>
                <w:sz w:val="24"/>
                <w:lang w:val="en-US" w:eastAsia="zh-CN" w:bidi="ar"/>
              </w:rPr>
              <w:t>，不新增生活污水</w:t>
            </w:r>
            <w:r>
              <w:rPr>
                <w:rFonts w:hint="default"/>
                <w:color w:val="auto"/>
                <w:sz w:val="24"/>
                <w:lang w:val="en-US" w:eastAsia="zh-CN" w:bidi="ar"/>
              </w:rPr>
              <w:t>。光伏电池板清洗废水</w:t>
            </w:r>
            <w:r>
              <w:rPr>
                <w:rFonts w:hint="eastAsia"/>
                <w:color w:val="auto"/>
                <w:sz w:val="24"/>
                <w:lang w:val="en-US" w:eastAsia="zh-CN" w:bidi="ar"/>
              </w:rPr>
              <w:t>顺电池组件倾斜角度直接淋洒于</w:t>
            </w:r>
            <w:r>
              <w:rPr>
                <w:rFonts w:hint="default"/>
                <w:color w:val="auto"/>
                <w:sz w:val="24"/>
                <w:lang w:val="en-US" w:eastAsia="zh-CN" w:bidi="ar"/>
              </w:rPr>
              <w:t>光伏板区底层</w:t>
            </w:r>
            <w:r>
              <w:rPr>
                <w:rFonts w:hint="eastAsia"/>
                <w:color w:val="auto"/>
                <w:sz w:val="24"/>
                <w:lang w:val="en-US" w:eastAsia="zh-CN" w:bidi="ar"/>
              </w:rPr>
              <w:t>植被</w:t>
            </w:r>
            <w:r>
              <w:rPr>
                <w:rFonts w:hint="default"/>
                <w:color w:val="auto"/>
                <w:sz w:val="24"/>
                <w:lang w:val="en-US" w:eastAsia="zh-CN" w:bidi="ar"/>
              </w:rPr>
              <w:t>浇灌用水，不外排，故不设</w:t>
            </w:r>
            <w:r>
              <w:rPr>
                <w:rFonts w:hint="eastAsia"/>
                <w:color w:val="auto"/>
                <w:sz w:val="24"/>
                <w:lang w:val="en-US" w:eastAsia="zh-CN" w:bidi="ar"/>
              </w:rPr>
              <w:t>废水</w:t>
            </w:r>
            <w:r>
              <w:rPr>
                <w:rFonts w:hint="default"/>
                <w:color w:val="auto"/>
                <w:sz w:val="24"/>
                <w:lang w:val="en-US" w:eastAsia="zh-CN" w:bidi="ar"/>
              </w:rPr>
              <w:t>排放标准。</w:t>
            </w:r>
          </w:p>
          <w:p w14:paraId="7CD8653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rPr>
              <w:t>3</w:t>
            </w:r>
            <w:r>
              <w:rPr>
                <w:rFonts w:hint="default"/>
                <w:color w:val="auto"/>
                <w:sz w:val="24"/>
              </w:rPr>
              <w:t>）噪声排放标准</w:t>
            </w:r>
          </w:p>
          <w:p w14:paraId="3533A62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施工期</w:t>
            </w:r>
            <w:r>
              <w:rPr>
                <w:rFonts w:hint="eastAsia"/>
                <w:color w:val="auto"/>
                <w:sz w:val="24"/>
              </w:rPr>
              <w:t>：施工厂界噪声</w:t>
            </w:r>
            <w:r>
              <w:rPr>
                <w:rFonts w:hint="default"/>
                <w:color w:val="auto"/>
                <w:sz w:val="24"/>
              </w:rPr>
              <w:t>执行《建筑施工场界环境噪声排放标准》（GB12523-2011）</w:t>
            </w:r>
            <w:r>
              <w:rPr>
                <w:rFonts w:hint="eastAsia"/>
                <w:color w:val="auto"/>
                <w:sz w:val="24"/>
              </w:rPr>
              <w:t>，标准限值见</w:t>
            </w:r>
            <w:r>
              <w:rPr>
                <w:rFonts w:hint="eastAsia"/>
                <w:color w:val="auto"/>
                <w:sz w:val="24"/>
                <w:lang w:val="en-US" w:eastAsia="zh-CN"/>
              </w:rPr>
              <w:t>下表</w:t>
            </w:r>
            <w:r>
              <w:rPr>
                <w:rFonts w:hint="default"/>
                <w:color w:val="auto"/>
                <w:sz w:val="24"/>
              </w:rPr>
              <w:t>。</w:t>
            </w:r>
          </w:p>
          <w:p w14:paraId="351C72BE">
            <w:pPr>
              <w:pStyle w:val="40"/>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17</w:t>
            </w:r>
            <w:r>
              <w:rPr>
                <w:rFonts w:hint="eastAsia" w:ascii="Times New Roman" w:hAnsi="Times New Roman"/>
                <w:b/>
                <w:color w:val="auto"/>
                <w:kern w:val="2"/>
                <w:sz w:val="21"/>
                <w:szCs w:val="21"/>
              </w:rPr>
              <w:t xml:space="preserve"> </w:t>
            </w:r>
            <w:r>
              <w:rPr>
                <w:rFonts w:hint="eastAsia" w:ascii="Times New Roman" w:hAnsi="Times New Roman"/>
                <w:b/>
                <w:color w:val="auto"/>
                <w:kern w:val="2"/>
                <w:sz w:val="21"/>
                <w:szCs w:val="21"/>
                <w:lang w:val="en-US" w:eastAsia="zh-CN"/>
              </w:rPr>
              <w:t xml:space="preserve"> </w:t>
            </w:r>
            <w:r>
              <w:rPr>
                <w:rFonts w:hint="default" w:ascii="Times New Roman" w:hAnsi="Times New Roman"/>
                <w:b/>
                <w:color w:val="auto"/>
                <w:kern w:val="2"/>
                <w:sz w:val="21"/>
                <w:szCs w:val="21"/>
              </w:rPr>
              <w:t>建筑施工场界噪声</w:t>
            </w:r>
            <w:r>
              <w:rPr>
                <w:rFonts w:hint="eastAsia" w:ascii="Times New Roman" w:hAnsi="Times New Roman"/>
                <w:b/>
                <w:color w:val="auto"/>
                <w:kern w:val="2"/>
                <w:sz w:val="21"/>
                <w:szCs w:val="21"/>
              </w:rPr>
              <w:t>排放标准</w:t>
            </w:r>
            <w:r>
              <w:rPr>
                <w:rFonts w:hint="default" w:ascii="Times New Roman" w:hAnsi="Times New Roman"/>
                <w:b/>
                <w:color w:val="auto"/>
                <w:kern w:val="2"/>
                <w:sz w:val="21"/>
                <w:szCs w:val="21"/>
              </w:rPr>
              <w:t xml:space="preserve">  单位：dB(A)</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4"/>
              <w:gridCol w:w="2626"/>
              <w:gridCol w:w="2625"/>
            </w:tblGrid>
            <w:tr w14:paraId="489E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7468DE5F">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时段</w:t>
                  </w:r>
                </w:p>
              </w:tc>
              <w:tc>
                <w:tcPr>
                  <w:tcW w:w="1667" w:type="pct"/>
                  <w:vAlign w:val="center"/>
                </w:tcPr>
                <w:p w14:paraId="433965C0">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昼间</w:t>
                  </w:r>
                </w:p>
              </w:tc>
              <w:tc>
                <w:tcPr>
                  <w:tcW w:w="1666" w:type="pct"/>
                  <w:vAlign w:val="center"/>
                </w:tcPr>
                <w:p w14:paraId="7740ABBC">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夜间</w:t>
                  </w:r>
                </w:p>
              </w:tc>
            </w:tr>
            <w:tr w14:paraId="1FA3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77A3593E">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标准值</w:t>
                  </w:r>
                </w:p>
              </w:tc>
              <w:tc>
                <w:tcPr>
                  <w:tcW w:w="1667" w:type="pct"/>
                  <w:vAlign w:val="center"/>
                </w:tcPr>
                <w:p w14:paraId="0699A2A9">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70</w:t>
                  </w:r>
                </w:p>
              </w:tc>
              <w:tc>
                <w:tcPr>
                  <w:tcW w:w="1666" w:type="pct"/>
                  <w:vAlign w:val="center"/>
                </w:tcPr>
                <w:p w14:paraId="46C245EB">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55</w:t>
                  </w:r>
                </w:p>
              </w:tc>
            </w:tr>
          </w:tbl>
          <w:p w14:paraId="0ADC81D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运营期</w:t>
            </w:r>
            <w:r>
              <w:rPr>
                <w:rFonts w:hint="eastAsia"/>
                <w:color w:val="auto"/>
                <w:sz w:val="24"/>
              </w:rPr>
              <w:t>：</w:t>
            </w:r>
            <w:r>
              <w:rPr>
                <w:rFonts w:hint="eastAsia"/>
                <w:color w:val="auto"/>
                <w:sz w:val="24"/>
                <w:lang w:val="en-US" w:eastAsia="zh-CN"/>
              </w:rPr>
              <w:t>项目厂界</w:t>
            </w:r>
            <w:r>
              <w:rPr>
                <w:rFonts w:hint="default"/>
                <w:color w:val="auto"/>
                <w:sz w:val="24"/>
              </w:rPr>
              <w:t>执行《工业企业厂界环境噪声排放标准》（GB12348-2008）</w:t>
            </w:r>
            <w:r>
              <w:rPr>
                <w:rFonts w:hint="eastAsia"/>
                <w:color w:val="auto"/>
                <w:sz w:val="24"/>
                <w:lang w:val="en-US" w:eastAsia="zh-CN"/>
              </w:rPr>
              <w:t>1</w:t>
            </w:r>
            <w:r>
              <w:rPr>
                <w:rFonts w:hint="default"/>
                <w:color w:val="auto"/>
                <w:sz w:val="24"/>
              </w:rPr>
              <w:t>类标准</w:t>
            </w:r>
            <w:r>
              <w:rPr>
                <w:rFonts w:hint="eastAsia"/>
                <w:color w:val="auto"/>
                <w:sz w:val="24"/>
              </w:rPr>
              <w:t>，标准限值见</w:t>
            </w:r>
            <w:r>
              <w:rPr>
                <w:rFonts w:hint="eastAsia"/>
                <w:color w:val="auto"/>
                <w:sz w:val="24"/>
                <w:lang w:val="en-US" w:eastAsia="zh-CN"/>
              </w:rPr>
              <w:t>下表</w:t>
            </w:r>
            <w:r>
              <w:rPr>
                <w:rFonts w:hint="eastAsia"/>
                <w:color w:val="auto"/>
                <w:sz w:val="24"/>
              </w:rPr>
              <w:t>。</w:t>
            </w:r>
          </w:p>
          <w:p w14:paraId="2F9089DA">
            <w:pPr>
              <w:pStyle w:val="40"/>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ascii="Times New Roman" w:hAnsi="Times New Roman"/>
                <w:b/>
                <w:color w:val="auto"/>
                <w:kern w:val="2"/>
                <w:sz w:val="21"/>
                <w:szCs w:val="21"/>
              </w:rPr>
              <w:t>表3</w:t>
            </w:r>
            <w:r>
              <w:rPr>
                <w:rFonts w:hint="default" w:ascii="Times New Roman" w:hAnsi="Times New Roman"/>
                <w:b/>
                <w:color w:val="auto"/>
                <w:kern w:val="2"/>
                <w:sz w:val="21"/>
                <w:szCs w:val="21"/>
              </w:rPr>
              <w:t>-</w:t>
            </w:r>
            <w:r>
              <w:rPr>
                <w:rFonts w:hint="eastAsia" w:ascii="Times New Roman" w:hAnsi="Times New Roman"/>
                <w:b/>
                <w:color w:val="auto"/>
                <w:kern w:val="2"/>
                <w:sz w:val="21"/>
                <w:szCs w:val="21"/>
                <w:lang w:val="en-US" w:eastAsia="zh-CN"/>
              </w:rPr>
              <w:t>18</w:t>
            </w:r>
            <w:r>
              <w:rPr>
                <w:rFonts w:hint="default" w:ascii="Times New Roman" w:hAnsi="Times New Roman"/>
                <w:b/>
                <w:color w:val="auto"/>
                <w:kern w:val="2"/>
                <w:sz w:val="21"/>
                <w:szCs w:val="21"/>
              </w:rPr>
              <w:t xml:space="preserve"> </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工业企业厂界环境噪声排放标准</w:t>
            </w:r>
            <w:r>
              <w:rPr>
                <w:rFonts w:hint="eastAsia" w:ascii="Times New Roman" w:hAnsi="Times New Roman"/>
                <w:b/>
                <w:color w:val="auto"/>
                <w:kern w:val="2"/>
                <w:sz w:val="21"/>
                <w:szCs w:val="21"/>
              </w:rPr>
              <w:t xml:space="preserve"> </w:t>
            </w:r>
            <w:r>
              <w:rPr>
                <w:rFonts w:hint="default" w:ascii="Times New Roman" w:hAnsi="Times New Roman"/>
                <w:b/>
                <w:color w:val="auto"/>
                <w:kern w:val="2"/>
                <w:sz w:val="21"/>
                <w:szCs w:val="21"/>
              </w:rPr>
              <w:t xml:space="preserve"> 单位：dB(A)</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3"/>
              <w:gridCol w:w="2626"/>
              <w:gridCol w:w="2625"/>
            </w:tblGrid>
            <w:tr w14:paraId="72EE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44A6A174">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eastAsia="宋体"/>
                      <w:b/>
                      <w:bCs/>
                      <w:color w:val="auto"/>
                    </w:rPr>
                    <w:t>类别</w:t>
                  </w:r>
                </w:p>
              </w:tc>
              <w:tc>
                <w:tcPr>
                  <w:tcW w:w="1667" w:type="pct"/>
                  <w:vAlign w:val="center"/>
                </w:tcPr>
                <w:p w14:paraId="1DC44803">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昼间</w:t>
                  </w:r>
                </w:p>
              </w:tc>
              <w:tc>
                <w:tcPr>
                  <w:tcW w:w="1666" w:type="pct"/>
                  <w:vAlign w:val="center"/>
                </w:tcPr>
                <w:p w14:paraId="2C7F39AD">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夜间</w:t>
                  </w:r>
                </w:p>
              </w:tc>
            </w:tr>
            <w:tr w14:paraId="6325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358633DB">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eastAsia" w:eastAsia="宋体"/>
                      <w:color w:val="auto"/>
                      <w:lang w:val="en-US" w:eastAsia="zh-CN"/>
                    </w:rPr>
                    <w:t>1类</w:t>
                  </w:r>
                </w:p>
              </w:tc>
              <w:tc>
                <w:tcPr>
                  <w:tcW w:w="1667" w:type="pct"/>
                  <w:vAlign w:val="center"/>
                </w:tcPr>
                <w:p w14:paraId="58BDEE94">
                  <w:pPr>
                    <w:keepNext w:val="0"/>
                    <w:keepLines w:val="0"/>
                    <w:suppressLineNumbers w:val="0"/>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55</w:t>
                  </w:r>
                </w:p>
              </w:tc>
              <w:tc>
                <w:tcPr>
                  <w:tcW w:w="1666" w:type="pct"/>
                  <w:vAlign w:val="center"/>
                </w:tcPr>
                <w:p w14:paraId="41EDB65E">
                  <w:pPr>
                    <w:keepNext w:val="0"/>
                    <w:keepLines w:val="0"/>
                    <w:suppressLineNumbers w:val="0"/>
                    <w:adjustRightInd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45</w:t>
                  </w:r>
                </w:p>
              </w:tc>
            </w:tr>
          </w:tbl>
          <w:p w14:paraId="5AB8451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（4）固废标准</w:t>
            </w:r>
          </w:p>
          <w:p w14:paraId="6B05B11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rPr>
            </w:pPr>
            <w:r>
              <w:rPr>
                <w:rFonts w:hint="eastAsia"/>
                <w:color w:val="auto"/>
                <w:sz w:val="24"/>
                <w:lang w:eastAsia="zh-CN"/>
              </w:rPr>
              <w:t>本项目产生的</w:t>
            </w:r>
            <w:r>
              <w:rPr>
                <w:rFonts w:hint="default"/>
                <w:color w:val="auto"/>
                <w:sz w:val="24"/>
              </w:rPr>
              <w:t>一般工业固</w:t>
            </w:r>
            <w:r>
              <w:rPr>
                <w:rFonts w:hint="eastAsia"/>
                <w:color w:val="auto"/>
                <w:sz w:val="24"/>
              </w:rPr>
              <w:t>体</w:t>
            </w:r>
            <w:r>
              <w:rPr>
                <w:rFonts w:hint="default"/>
                <w:color w:val="auto"/>
                <w:sz w:val="24"/>
              </w:rPr>
              <w:t>废</w:t>
            </w:r>
            <w:r>
              <w:rPr>
                <w:rFonts w:hint="eastAsia"/>
                <w:color w:val="auto"/>
                <w:sz w:val="24"/>
              </w:rPr>
              <w:t>物</w:t>
            </w:r>
            <w:r>
              <w:rPr>
                <w:rFonts w:hint="default"/>
                <w:color w:val="auto"/>
                <w:sz w:val="24"/>
              </w:rPr>
              <w:t>执行</w:t>
            </w:r>
            <w:r>
              <w:rPr>
                <w:rFonts w:hint="eastAsia"/>
                <w:color w:val="auto"/>
                <w:sz w:val="24"/>
              </w:rPr>
              <w:t>《一般工业固体废物贮存和填埋污染控制标准》（GB 18599-2020）</w:t>
            </w:r>
            <w:r>
              <w:rPr>
                <w:rFonts w:hint="default"/>
                <w:color w:val="auto"/>
                <w:kern w:val="0"/>
                <w:sz w:val="24"/>
                <w:szCs w:val="21"/>
              </w:rPr>
              <w:t>。</w:t>
            </w:r>
          </w:p>
          <w:p w14:paraId="08F6868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szCs w:val="21"/>
                <w:lang w:eastAsia="zh-CN"/>
              </w:rPr>
              <w:t>本项目产生的</w:t>
            </w:r>
            <w:r>
              <w:rPr>
                <w:rFonts w:hint="eastAsia"/>
                <w:color w:val="auto"/>
                <w:kern w:val="0"/>
                <w:sz w:val="24"/>
                <w:szCs w:val="21"/>
              </w:rPr>
              <w:t>危险废物</w:t>
            </w:r>
            <w:r>
              <w:rPr>
                <w:rFonts w:hint="default"/>
                <w:color w:val="auto"/>
                <w:kern w:val="0"/>
                <w:sz w:val="24"/>
                <w:szCs w:val="21"/>
              </w:rPr>
              <w:t>贮存</w:t>
            </w:r>
            <w:r>
              <w:rPr>
                <w:rFonts w:hint="eastAsia"/>
                <w:color w:val="auto"/>
                <w:kern w:val="0"/>
                <w:sz w:val="24"/>
                <w:szCs w:val="21"/>
                <w:lang w:eastAsia="zh-CN"/>
              </w:rPr>
              <w:t>、处置</w:t>
            </w:r>
            <w:r>
              <w:rPr>
                <w:rFonts w:hint="default"/>
                <w:color w:val="auto"/>
                <w:kern w:val="0"/>
                <w:sz w:val="24"/>
                <w:szCs w:val="21"/>
              </w:rPr>
              <w:t>执行《危险废物贮存污染控制标准》（GB18597-20</w:t>
            </w:r>
            <w:r>
              <w:rPr>
                <w:rFonts w:hint="eastAsia"/>
                <w:color w:val="auto"/>
                <w:kern w:val="0"/>
                <w:sz w:val="24"/>
                <w:szCs w:val="21"/>
                <w:lang w:val="en-US" w:eastAsia="zh-CN"/>
              </w:rPr>
              <w:t>23</w:t>
            </w:r>
            <w:r>
              <w:rPr>
                <w:rFonts w:hint="default"/>
                <w:color w:val="auto"/>
                <w:kern w:val="0"/>
                <w:sz w:val="24"/>
                <w:szCs w:val="21"/>
              </w:rPr>
              <w:t>）。</w:t>
            </w:r>
          </w:p>
        </w:tc>
      </w:tr>
      <w:tr w14:paraId="5EB3E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44" w:type="pct"/>
            <w:vAlign w:val="center"/>
          </w:tcPr>
          <w:p w14:paraId="742066E4">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其他</w:t>
            </w:r>
          </w:p>
        </w:tc>
        <w:tc>
          <w:tcPr>
            <w:tcW w:w="4755" w:type="pct"/>
            <w:vAlign w:val="center"/>
          </w:tcPr>
          <w:p w14:paraId="2534DEF1">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根据</w:t>
            </w:r>
            <w:r>
              <w:rPr>
                <w:rFonts w:hint="eastAsia" w:ascii="宋体" w:hAnsi="宋体" w:eastAsia="宋体" w:cs="宋体"/>
                <w:color w:val="auto"/>
                <w:sz w:val="24"/>
              </w:rPr>
              <w:t>“十</w:t>
            </w:r>
            <w:r>
              <w:rPr>
                <w:rFonts w:hint="eastAsia" w:ascii="宋体" w:hAnsi="宋体" w:eastAsia="宋体" w:cs="宋体"/>
                <w:color w:val="auto"/>
                <w:sz w:val="24"/>
                <w:lang w:eastAsia="zh-CN"/>
              </w:rPr>
              <w:t>四</w:t>
            </w:r>
            <w:r>
              <w:rPr>
                <w:rFonts w:hint="eastAsia" w:ascii="宋体" w:hAnsi="宋体" w:eastAsia="宋体" w:cs="宋体"/>
                <w:color w:val="auto"/>
                <w:sz w:val="24"/>
              </w:rPr>
              <w:t>五”主要</w:t>
            </w:r>
            <w:r>
              <w:rPr>
                <w:rFonts w:hint="default"/>
                <w:color w:val="auto"/>
                <w:sz w:val="24"/>
              </w:rPr>
              <w:t>污染物总量控制规划，</w:t>
            </w:r>
            <w:r>
              <w:rPr>
                <w:rFonts w:hint="eastAsia"/>
                <w:color w:val="auto"/>
                <w:sz w:val="24"/>
                <w:lang w:val="en-US" w:eastAsia="zh-CN"/>
              </w:rPr>
              <w:t>国家将继续实施主要污染物总量控制制度，将化学需氧量、</w:t>
            </w:r>
            <w:r>
              <w:rPr>
                <w:rFonts w:hint="default"/>
                <w:color w:val="auto"/>
                <w:sz w:val="24"/>
              </w:rPr>
              <w:t>氨氮（NH</w:t>
            </w:r>
            <w:r>
              <w:rPr>
                <w:rFonts w:hint="default"/>
                <w:color w:val="auto"/>
                <w:sz w:val="24"/>
                <w:vertAlign w:val="subscript"/>
              </w:rPr>
              <w:t>3</w:t>
            </w:r>
            <w:r>
              <w:rPr>
                <w:rFonts w:hint="default"/>
                <w:color w:val="auto"/>
                <w:sz w:val="24"/>
              </w:rPr>
              <w:t>-N）</w:t>
            </w:r>
            <w:r>
              <w:rPr>
                <w:rFonts w:hint="eastAsia"/>
                <w:color w:val="auto"/>
                <w:sz w:val="24"/>
                <w:lang w:eastAsia="zh-CN"/>
              </w:rPr>
              <w:t>、</w:t>
            </w:r>
            <w:r>
              <w:rPr>
                <w:rFonts w:hint="default"/>
                <w:color w:val="auto"/>
                <w:sz w:val="24"/>
              </w:rPr>
              <w:t>氮氧化物（NO</w:t>
            </w:r>
            <w:r>
              <w:rPr>
                <w:rFonts w:hint="default"/>
                <w:color w:val="auto"/>
                <w:sz w:val="24"/>
                <w:vertAlign w:val="subscript"/>
              </w:rPr>
              <w:t>X</w:t>
            </w:r>
            <w:r>
              <w:rPr>
                <w:rFonts w:hint="default"/>
                <w:color w:val="auto"/>
                <w:sz w:val="24"/>
              </w:rPr>
              <w:t>）</w:t>
            </w:r>
            <w:r>
              <w:rPr>
                <w:rFonts w:hint="eastAsia"/>
                <w:color w:val="auto"/>
                <w:sz w:val="24"/>
                <w:lang w:eastAsia="zh-CN"/>
              </w:rPr>
              <w:t>、</w:t>
            </w:r>
            <w:r>
              <w:rPr>
                <w:rFonts w:hint="eastAsia"/>
                <w:color w:val="auto"/>
                <w:sz w:val="24"/>
                <w:lang w:val="en-US" w:eastAsia="zh-CN"/>
              </w:rPr>
              <w:t>挥发性有机物</w:t>
            </w:r>
            <w:r>
              <w:rPr>
                <w:rFonts w:hint="default"/>
                <w:color w:val="auto"/>
                <w:sz w:val="24"/>
              </w:rPr>
              <w:t>（VOCs）</w:t>
            </w:r>
            <w:r>
              <w:rPr>
                <w:rFonts w:hint="eastAsia"/>
                <w:color w:val="auto"/>
                <w:sz w:val="24"/>
                <w:lang w:val="en-US" w:eastAsia="zh-CN"/>
              </w:rPr>
              <w:t>等4项污染物作为约束性指标进行考核，</w:t>
            </w:r>
            <w:r>
              <w:rPr>
                <w:rFonts w:hint="eastAsia" w:ascii="宋体" w:hAnsi="宋体" w:eastAsia="宋体" w:cs="宋体"/>
                <w:color w:val="auto"/>
                <w:sz w:val="24"/>
              </w:rPr>
              <w:t>“十</w:t>
            </w:r>
            <w:r>
              <w:rPr>
                <w:rFonts w:hint="eastAsia" w:ascii="宋体" w:hAnsi="宋体" w:eastAsia="宋体" w:cs="宋体"/>
                <w:color w:val="auto"/>
                <w:sz w:val="24"/>
                <w:lang w:eastAsia="zh-CN"/>
              </w:rPr>
              <w:t>四</w:t>
            </w:r>
            <w:r>
              <w:rPr>
                <w:rFonts w:hint="eastAsia" w:ascii="宋体" w:hAnsi="宋体" w:eastAsia="宋体" w:cs="宋体"/>
                <w:color w:val="auto"/>
                <w:sz w:val="24"/>
              </w:rPr>
              <w:t>五”期</w:t>
            </w:r>
            <w:r>
              <w:rPr>
                <w:rFonts w:hint="default"/>
                <w:color w:val="auto"/>
                <w:sz w:val="24"/>
              </w:rPr>
              <w:t>间国家对化学需氧量、二氧化硫、氨氮和氮氧化物四种主要污染物实行排放总量控制计划管理。全面推进二氧化硫（SO</w:t>
            </w:r>
            <w:r>
              <w:rPr>
                <w:rFonts w:hint="default"/>
                <w:color w:val="auto"/>
                <w:sz w:val="24"/>
                <w:vertAlign w:val="subscript"/>
              </w:rPr>
              <w:t>2</w:t>
            </w:r>
            <w:r>
              <w:rPr>
                <w:rFonts w:hint="default"/>
                <w:color w:val="auto"/>
                <w:sz w:val="24"/>
              </w:rPr>
              <w:t>）、氮氧化物（NO</w:t>
            </w:r>
            <w:r>
              <w:rPr>
                <w:rFonts w:hint="default"/>
                <w:color w:val="auto"/>
                <w:sz w:val="24"/>
                <w:vertAlign w:val="subscript"/>
              </w:rPr>
              <w:t>X</w:t>
            </w:r>
            <w:r>
              <w:rPr>
                <w:rFonts w:hint="default"/>
                <w:color w:val="auto"/>
                <w:sz w:val="24"/>
              </w:rPr>
              <w:t>）、挥发性有机物（VOCs）等多种污染物的协同控制。</w:t>
            </w:r>
          </w:p>
          <w:p w14:paraId="76A79823">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rPr>
            </w:pPr>
            <w:r>
              <w:rPr>
                <w:rFonts w:hint="eastAsia"/>
                <w:color w:val="auto"/>
                <w:sz w:val="24"/>
              </w:rPr>
              <w:t>本项目为光伏发电项目，结合拟建项目污染物排放特征，项目无废水外排，不设置废水总量控制指标</w:t>
            </w:r>
            <w:r>
              <w:rPr>
                <w:rFonts w:hint="eastAsia"/>
                <w:color w:val="auto"/>
                <w:sz w:val="24"/>
                <w:lang w:eastAsia="zh-CN"/>
              </w:rPr>
              <w:t>；</w:t>
            </w:r>
            <w:r>
              <w:rPr>
                <w:rFonts w:hint="eastAsia"/>
                <w:color w:val="auto"/>
                <w:sz w:val="24"/>
              </w:rPr>
              <w:t>项目运营期无生产废气排放，不设废气总量控制指标</w:t>
            </w:r>
            <w:r>
              <w:rPr>
                <w:rFonts w:hint="eastAsia"/>
                <w:color w:val="auto"/>
                <w:sz w:val="24"/>
                <w:lang w:eastAsia="zh-CN"/>
              </w:rPr>
              <w:t>；</w:t>
            </w:r>
            <w:r>
              <w:rPr>
                <w:rFonts w:hint="eastAsia"/>
                <w:color w:val="auto"/>
                <w:sz w:val="24"/>
              </w:rPr>
              <w:t>本项目固体废物处置率：</w:t>
            </w:r>
            <w:r>
              <w:rPr>
                <w:rFonts w:hint="default"/>
                <w:color w:val="auto"/>
                <w:sz w:val="24"/>
              </w:rPr>
              <w:t>100%</w:t>
            </w:r>
            <w:r>
              <w:rPr>
                <w:rFonts w:hint="eastAsia"/>
                <w:color w:val="auto"/>
                <w:sz w:val="24"/>
              </w:rPr>
              <w:t>。固体废物不纳入总量控制，故本次环评不需设总量指标。</w:t>
            </w:r>
          </w:p>
        </w:tc>
      </w:tr>
    </w:tbl>
    <w:p w14:paraId="6E2871BA">
      <w:pPr>
        <w:pStyle w:val="40"/>
        <w:shd w:val="clear"/>
        <w:spacing w:before="0" w:beforeAutospacing="0" w:after="0" w:afterAutospacing="0" w:line="360" w:lineRule="auto"/>
        <w:outlineLvl w:val="0"/>
        <w:rPr>
          <w:b/>
          <w:bCs/>
          <w:snapToGrid w:val="0"/>
          <w:color w:val="auto"/>
          <w:sz w:val="30"/>
          <w:szCs w:val="30"/>
          <w:highlight w:val="none"/>
          <w:shd w:val="clear" w:color="auto" w:fill="auto"/>
        </w:rPr>
      </w:pPr>
      <w:r>
        <w:rPr>
          <w:rFonts w:ascii="Times New Roman" w:hAnsi="Times New Roman"/>
          <w:snapToGrid w:val="0"/>
          <w:color w:val="auto"/>
          <w:kern w:val="2"/>
          <w:sz w:val="36"/>
          <w:szCs w:val="36"/>
          <w:highlight w:val="none"/>
          <w:shd w:val="clear" w:color="auto" w:fill="auto"/>
        </w:rPr>
        <w:br w:type="page"/>
      </w:r>
      <w:bookmarkStart w:id="35" w:name="_Toc16260"/>
      <w:r>
        <w:rPr>
          <w:b/>
          <w:bCs/>
          <w:snapToGrid w:val="0"/>
          <w:color w:val="auto"/>
          <w:sz w:val="30"/>
          <w:szCs w:val="30"/>
          <w:highlight w:val="none"/>
          <w:shd w:val="clear" w:color="auto" w:fill="auto"/>
        </w:rPr>
        <w:t>四、生态环境影响分析</w:t>
      </w:r>
      <w:bookmarkEnd w:id="35"/>
    </w:p>
    <w:tbl>
      <w:tblPr>
        <w:tblStyle w:val="4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0"/>
        <w:gridCol w:w="8160"/>
      </w:tblGrid>
      <w:tr w14:paraId="2AD9B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66" w:type="pct"/>
            <w:tcMar>
              <w:left w:w="28" w:type="dxa"/>
              <w:right w:w="28" w:type="dxa"/>
            </w:tcMar>
            <w:vAlign w:val="center"/>
          </w:tcPr>
          <w:p w14:paraId="38547AB2">
            <w:pPr>
              <w:pStyle w:val="40"/>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bookmarkStart w:id="36" w:name="_Hlk49796138"/>
            <w:r>
              <w:rPr>
                <w:rFonts w:hint="default" w:ascii="Times New Roman" w:hAnsi="Times New Roman"/>
                <w:bCs/>
                <w:color w:val="auto"/>
                <w:spacing w:val="10"/>
                <w:kern w:val="2"/>
                <w:highlight w:val="none"/>
                <w:shd w:val="clear" w:color="auto" w:fill="auto"/>
              </w:rPr>
              <w:t>施工期生态环境影响分析</w:t>
            </w:r>
            <w:bookmarkEnd w:id="36"/>
          </w:p>
        </w:tc>
        <w:tc>
          <w:tcPr>
            <w:tcW w:w="4833" w:type="pct"/>
          </w:tcPr>
          <w:p w14:paraId="661A6333">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4.1</w:t>
            </w:r>
            <w:r>
              <w:rPr>
                <w:rFonts w:hint="eastAsia"/>
                <w:b/>
                <w:color w:val="auto"/>
                <w:sz w:val="24"/>
                <w:highlight w:val="none"/>
                <w:shd w:val="clear" w:color="auto" w:fill="auto"/>
              </w:rPr>
              <w:t>施工期污染影响因素</w:t>
            </w:r>
          </w:p>
          <w:p w14:paraId="6BBEFCE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（1）施工工艺流程及产污节点</w:t>
            </w:r>
          </w:p>
          <w:p w14:paraId="47E715A6">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rPr>
            </w:pPr>
            <w:r>
              <w:rPr>
                <w:rFonts w:hint="default"/>
                <w:color w:val="auto"/>
                <w:sz w:val="24"/>
              </w:rPr>
              <w:t>本项目施工期间施工内容包括光伏发电区施工、道路施工，施工工艺流程及产污环节分别如下图4-1、图4-2所示，具体施工方案</w:t>
            </w:r>
            <w:r>
              <w:rPr>
                <w:rFonts w:hint="eastAsia" w:ascii="宋体" w:hAnsi="宋体" w:eastAsia="宋体" w:cs="宋体"/>
                <w:color w:val="auto"/>
                <w:sz w:val="24"/>
              </w:rPr>
              <w:t>见前面表二中“施工方案”相应的内容，此处不再赘述。</w:t>
            </w:r>
          </w:p>
          <w:p w14:paraId="217AE623">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4"/>
              </w:rPr>
            </w:pPr>
            <w:r>
              <w:rPr>
                <w:rFonts w:hint="default"/>
                <w:color w:val="auto"/>
                <w:sz w:val="24"/>
              </w:rPr>
              <w:object>
                <v:shape id="_x0000_i1028" o:spt="75" type="#_x0000_t75" style="height:120.8pt;width:328.35pt;" o:ole="t" filled="f" o:preferrelative="t" stroked="f" coordsize="21600,21600">
                  <v:path/>
                  <v:fill on="f" focussize="0,0"/>
                  <v:stroke on="f"/>
                  <v:imagedata r:id="rId22" o:title=""/>
                  <o:lock v:ext="edit" aspectratio="f"/>
                  <w10:wrap type="none"/>
                  <w10:anchorlock/>
                </v:shape>
                <o:OLEObject Type="Embed" ProgID="Visio.Drawing.11" ShapeID="_x0000_i1028" DrawAspect="Content" ObjectID="_1468075728" r:id="rId21">
                  <o:LockedField>false</o:LockedField>
                </o:OLEObject>
              </w:object>
            </w:r>
          </w:p>
          <w:p w14:paraId="7D083B4F">
            <w:pPr>
              <w:keepNext w:val="0"/>
              <w:keepLines w:val="0"/>
              <w:suppressLineNumbers w:val="0"/>
              <w:adjustRightInd w:val="0"/>
              <w:snapToGrid w:val="0"/>
              <w:spacing w:before="0" w:beforeAutospacing="0" w:after="0" w:afterAutospacing="0" w:line="360" w:lineRule="auto"/>
              <w:ind w:left="0" w:right="0"/>
              <w:jc w:val="center"/>
              <w:rPr>
                <w:rFonts w:hint="default"/>
                <w:b/>
                <w:bCs/>
                <w:color w:val="auto"/>
                <w:sz w:val="24"/>
              </w:rPr>
            </w:pPr>
            <w:r>
              <w:rPr>
                <w:rFonts w:hint="default"/>
                <w:b/>
                <w:bCs/>
                <w:color w:val="auto"/>
                <w:sz w:val="24"/>
              </w:rPr>
              <w:t>图4-1 光伏发电区施工工艺流程及产污节点图</w:t>
            </w:r>
          </w:p>
          <w:p w14:paraId="592BFAE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（2）污染影响因素</w:t>
            </w:r>
          </w:p>
          <w:p w14:paraId="4C72FA0B">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b w:val="0"/>
                <w:bCs w:val="0"/>
                <w:color w:val="auto"/>
                <w:sz w:val="24"/>
                <w:szCs w:val="24"/>
                <w:highlight w:val="none"/>
                <w:shd w:val="clear" w:color="auto" w:fill="auto"/>
              </w:rPr>
              <w:t>项目施工期的污染影响因素如下表所示</w:t>
            </w:r>
            <w:r>
              <w:rPr>
                <w:rFonts w:hint="eastAsia"/>
                <w:color w:val="auto"/>
                <w:sz w:val="24"/>
                <w:highlight w:val="none"/>
                <w:shd w:val="clear" w:color="auto" w:fill="auto"/>
              </w:rPr>
              <w:t>：</w:t>
            </w:r>
          </w:p>
          <w:p w14:paraId="5F75ED99">
            <w:pPr>
              <w:keepNext w:val="0"/>
              <w:keepLines w:val="0"/>
              <w:suppressLineNumbers w:val="0"/>
              <w:shd w:val="clear"/>
              <w:adjustRightInd w:val="0"/>
              <w:spacing w:before="0" w:beforeAutospacing="0" w:after="0" w:afterAutospacing="0"/>
              <w:ind w:left="0" w:right="0" w:firstLine="422"/>
              <w:jc w:val="center"/>
              <w:rPr>
                <w:rFonts w:hint="default"/>
                <w:b/>
                <w:color w:val="auto"/>
                <w:szCs w:val="21"/>
                <w:highlight w:val="none"/>
                <w:shd w:val="clear" w:color="auto" w:fill="auto"/>
              </w:rPr>
            </w:pPr>
            <w:r>
              <w:rPr>
                <w:rFonts w:hint="eastAsia"/>
                <w:b/>
                <w:color w:val="auto"/>
                <w:szCs w:val="21"/>
                <w:highlight w:val="none"/>
                <w:shd w:val="clear" w:color="auto" w:fill="auto"/>
              </w:rPr>
              <w:t>表</w:t>
            </w:r>
            <w:r>
              <w:rPr>
                <w:rFonts w:hint="default"/>
                <w:b/>
                <w:color w:val="auto"/>
                <w:szCs w:val="21"/>
                <w:highlight w:val="none"/>
                <w:shd w:val="clear" w:color="auto" w:fill="auto"/>
              </w:rPr>
              <w:t>4</w:t>
            </w:r>
            <w:r>
              <w:rPr>
                <w:rFonts w:hint="eastAsia"/>
                <w:b/>
                <w:color w:val="auto"/>
                <w:szCs w:val="21"/>
                <w:highlight w:val="none"/>
                <w:shd w:val="clear" w:color="auto" w:fill="auto"/>
              </w:rPr>
              <w:t>-1  施工期</w:t>
            </w:r>
            <w:r>
              <w:rPr>
                <w:rFonts w:hint="eastAsia"/>
                <w:b/>
                <w:bCs/>
                <w:color w:val="auto"/>
                <w:sz w:val="21"/>
                <w:szCs w:val="21"/>
                <w:highlight w:val="none"/>
                <w:shd w:val="clear" w:color="auto" w:fill="auto"/>
                <w:lang w:val="en-US" w:eastAsia="zh-CN"/>
              </w:rPr>
              <w:t>污染影响因素一览表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784"/>
              <w:gridCol w:w="2965"/>
              <w:gridCol w:w="1221"/>
            </w:tblGrid>
            <w:tr w14:paraId="0AB3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Align w:val="center"/>
                </w:tcPr>
                <w:p w14:paraId="4781BD86">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污染类别</w:t>
                  </w:r>
                </w:p>
              </w:tc>
              <w:tc>
                <w:tcPr>
                  <w:tcW w:w="1755" w:type="pct"/>
                  <w:vAlign w:val="center"/>
                </w:tcPr>
                <w:p w14:paraId="76F96B09">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污染源</w:t>
                  </w:r>
                </w:p>
              </w:tc>
              <w:tc>
                <w:tcPr>
                  <w:tcW w:w="1869" w:type="pct"/>
                  <w:vAlign w:val="center"/>
                </w:tcPr>
                <w:p w14:paraId="5FB8009A">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主要污染因子</w:t>
                  </w:r>
                </w:p>
              </w:tc>
              <w:tc>
                <w:tcPr>
                  <w:tcW w:w="769" w:type="pct"/>
                  <w:vAlign w:val="center"/>
                </w:tcPr>
                <w:p w14:paraId="170EB5F5">
                  <w:pPr>
                    <w:keepNext w:val="0"/>
                    <w:keepLines w:val="0"/>
                    <w:suppressLineNumbers w:val="0"/>
                    <w:shd w:val="clear"/>
                    <w:adjustRightInd w:val="0"/>
                    <w:snapToGrid w:val="0"/>
                    <w:spacing w:before="0" w:beforeAutospacing="0" w:after="0" w:afterAutospacing="0"/>
                    <w:ind w:left="0" w:right="0"/>
                    <w:jc w:val="center"/>
                    <w:rPr>
                      <w:rFonts w:hint="eastAsia"/>
                      <w:b/>
                      <w:color w:val="auto"/>
                      <w:sz w:val="21"/>
                      <w:szCs w:val="21"/>
                      <w:highlight w:val="none"/>
                      <w:shd w:val="clear" w:color="auto" w:fill="auto"/>
                    </w:rPr>
                  </w:pPr>
                  <w:r>
                    <w:rPr>
                      <w:rFonts w:hint="eastAsia"/>
                      <w:b/>
                      <w:bCs/>
                      <w:color w:val="auto"/>
                      <w:kern w:val="0"/>
                      <w:sz w:val="21"/>
                      <w:szCs w:val="21"/>
                      <w:highlight w:val="none"/>
                      <w:shd w:val="clear" w:color="auto" w:fill="auto"/>
                      <w:lang w:eastAsia="zh-CN"/>
                    </w:rPr>
                    <w:t>产生特征</w:t>
                  </w:r>
                </w:p>
              </w:tc>
            </w:tr>
            <w:tr w14:paraId="1D94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restart"/>
                  <w:vAlign w:val="center"/>
                </w:tcPr>
                <w:p w14:paraId="14F245C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废气</w:t>
                  </w:r>
                </w:p>
              </w:tc>
              <w:tc>
                <w:tcPr>
                  <w:tcW w:w="1755" w:type="pct"/>
                  <w:vAlign w:val="center"/>
                </w:tcPr>
                <w:p w14:paraId="6569D048">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施工作业</w:t>
                  </w:r>
                  <w:r>
                    <w:rPr>
                      <w:rFonts w:hint="eastAsia"/>
                      <w:color w:val="auto"/>
                      <w:sz w:val="21"/>
                      <w:szCs w:val="21"/>
                      <w:highlight w:val="none"/>
                      <w:shd w:val="clear" w:color="auto" w:fill="auto"/>
                      <w:lang w:eastAsia="zh-CN"/>
                    </w:rPr>
                    <w:t>（</w:t>
                  </w:r>
                  <w:r>
                    <w:rPr>
                      <w:rFonts w:hint="eastAsia"/>
                      <w:color w:val="auto"/>
                      <w:kern w:val="0"/>
                      <w:sz w:val="21"/>
                      <w:szCs w:val="21"/>
                      <w:highlight w:val="none"/>
                      <w:shd w:val="clear" w:color="auto" w:fill="auto"/>
                    </w:rPr>
                    <w:t>地表清理、场地平整、基础开挖、配套设施建设、物料装卸及运输</w:t>
                  </w:r>
                  <w:r>
                    <w:rPr>
                      <w:rFonts w:hint="eastAsia"/>
                      <w:color w:val="auto"/>
                      <w:kern w:val="0"/>
                      <w:sz w:val="21"/>
                      <w:szCs w:val="21"/>
                      <w:highlight w:val="none"/>
                      <w:shd w:val="clear" w:color="auto" w:fill="auto"/>
                      <w:lang w:val="en-US" w:eastAsia="zh-CN"/>
                    </w:rPr>
                    <w:t>等</w:t>
                  </w:r>
                  <w:r>
                    <w:rPr>
                      <w:rFonts w:hint="eastAsia"/>
                      <w:color w:val="auto"/>
                      <w:sz w:val="21"/>
                      <w:szCs w:val="21"/>
                      <w:highlight w:val="none"/>
                      <w:shd w:val="clear" w:color="auto" w:fill="auto"/>
                      <w:lang w:eastAsia="zh-CN"/>
                    </w:rPr>
                    <w:t>）</w:t>
                  </w:r>
                </w:p>
              </w:tc>
              <w:tc>
                <w:tcPr>
                  <w:tcW w:w="1869" w:type="pct"/>
                  <w:vAlign w:val="center"/>
                </w:tcPr>
                <w:p w14:paraId="6FA55CFA">
                  <w:pPr>
                    <w:keepNext w:val="0"/>
                    <w:keepLines w:val="0"/>
                    <w:widowControl/>
                    <w:suppressLineNumbers w:val="0"/>
                    <w:shd w:val="clear"/>
                    <w:spacing w:before="0" w:beforeAutospacing="0" w:after="0" w:afterAutospacing="0"/>
                    <w:ind w:left="0" w:right="0"/>
                    <w:jc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rPr>
                    <w:t>扬尘</w:t>
                  </w:r>
                  <w:r>
                    <w:rPr>
                      <w:rFonts w:hint="eastAsia"/>
                      <w:color w:val="auto"/>
                      <w:sz w:val="21"/>
                      <w:szCs w:val="21"/>
                      <w:highlight w:val="none"/>
                      <w:shd w:val="clear" w:color="auto" w:fill="auto"/>
                      <w:lang w:eastAsia="zh-CN"/>
                    </w:rPr>
                    <w:t>（</w:t>
                  </w:r>
                  <w:r>
                    <w:rPr>
                      <w:rFonts w:hint="eastAsia"/>
                      <w:color w:val="auto"/>
                      <w:sz w:val="21"/>
                      <w:szCs w:val="21"/>
                      <w:highlight w:val="none"/>
                      <w:shd w:val="clear" w:color="auto" w:fill="auto"/>
                    </w:rPr>
                    <w:t>TSP</w:t>
                  </w:r>
                  <w:r>
                    <w:rPr>
                      <w:rFonts w:hint="eastAsia"/>
                      <w:color w:val="auto"/>
                      <w:sz w:val="21"/>
                      <w:szCs w:val="21"/>
                      <w:highlight w:val="none"/>
                      <w:shd w:val="clear" w:color="auto" w:fill="auto"/>
                      <w:lang w:eastAsia="zh-CN"/>
                    </w:rPr>
                    <w:t>）、</w:t>
                  </w:r>
                  <w:r>
                    <w:rPr>
                      <w:rFonts w:hint="eastAsia" w:ascii="宋体" w:hAnsi="宋体" w:eastAsia="宋体" w:cs="宋体"/>
                      <w:color w:val="auto"/>
                      <w:kern w:val="0"/>
                      <w:sz w:val="21"/>
                      <w:szCs w:val="21"/>
                      <w:highlight w:val="none"/>
                      <w:shd w:val="clear" w:color="auto" w:fill="auto"/>
                      <w:lang w:val="en-US" w:eastAsia="zh-CN" w:bidi="ar"/>
                    </w:rPr>
                    <w:t>焊接废气（烟尘、</w:t>
                  </w:r>
                  <w:r>
                    <w:rPr>
                      <w:rFonts w:hint="default" w:ascii="Times New Roman" w:hAnsi="Times New Roman" w:eastAsia="宋体" w:cs="Times New Roman"/>
                      <w:color w:val="auto"/>
                      <w:kern w:val="0"/>
                      <w:sz w:val="21"/>
                      <w:szCs w:val="21"/>
                      <w:highlight w:val="none"/>
                      <w:shd w:val="clear" w:color="auto" w:fill="auto"/>
                      <w:lang w:val="en-US" w:eastAsia="zh-CN" w:bidi="ar"/>
                    </w:rPr>
                    <w:t>NOx</w:t>
                  </w:r>
                  <w:r>
                    <w:rPr>
                      <w:rFonts w:hint="eastAsia" w:ascii="宋体" w:hAnsi="宋体" w:eastAsia="宋体" w:cs="宋体"/>
                      <w:color w:val="auto"/>
                      <w:kern w:val="0"/>
                      <w:sz w:val="21"/>
                      <w:szCs w:val="21"/>
                      <w:highlight w:val="none"/>
                      <w:shd w:val="clear" w:color="auto" w:fill="auto"/>
                      <w:lang w:val="en-US" w:eastAsia="zh-CN" w:bidi="ar"/>
                    </w:rPr>
                    <w:t>、</w:t>
                  </w:r>
                  <w:r>
                    <w:rPr>
                      <w:rFonts w:hint="default" w:ascii="Times New Roman" w:hAnsi="Times New Roman" w:eastAsia="宋体" w:cs="Times New Roman"/>
                      <w:color w:val="auto"/>
                      <w:kern w:val="0"/>
                      <w:sz w:val="21"/>
                      <w:szCs w:val="21"/>
                      <w:highlight w:val="none"/>
                      <w:shd w:val="clear" w:color="auto" w:fill="auto"/>
                      <w:lang w:val="en-US" w:eastAsia="zh-CN" w:bidi="ar"/>
                    </w:rPr>
                    <w:t>CO</w:t>
                  </w:r>
                  <w:r>
                    <w:rPr>
                      <w:rFonts w:hint="eastAsia" w:ascii="宋体" w:hAnsi="宋体" w:eastAsia="宋体" w:cs="宋体"/>
                      <w:color w:val="auto"/>
                      <w:kern w:val="0"/>
                      <w:sz w:val="21"/>
                      <w:szCs w:val="21"/>
                      <w:highlight w:val="none"/>
                      <w:shd w:val="clear" w:color="auto" w:fill="auto"/>
                      <w:lang w:val="en-US" w:eastAsia="zh-CN" w:bidi="ar"/>
                    </w:rPr>
                    <w:t>、</w:t>
                  </w:r>
                  <w:r>
                    <w:rPr>
                      <w:rFonts w:hint="default" w:ascii="Times New Roman" w:hAnsi="Times New Roman" w:eastAsia="宋体" w:cs="Times New Roman"/>
                      <w:color w:val="auto"/>
                      <w:kern w:val="0"/>
                      <w:sz w:val="21"/>
                      <w:szCs w:val="21"/>
                      <w:highlight w:val="none"/>
                      <w:shd w:val="clear" w:color="auto" w:fill="auto"/>
                      <w:lang w:val="en-US" w:eastAsia="zh-CN" w:bidi="ar"/>
                    </w:rPr>
                    <w:t>CO</w:t>
                  </w:r>
                  <w:r>
                    <w:rPr>
                      <w:rFonts w:hint="default" w:ascii="Times New Roman" w:hAnsi="Times New Roman" w:eastAsia="宋体" w:cs="Times New Roman"/>
                      <w:color w:val="auto"/>
                      <w:kern w:val="0"/>
                      <w:sz w:val="21"/>
                      <w:szCs w:val="21"/>
                      <w:highlight w:val="none"/>
                      <w:shd w:val="clear" w:color="auto" w:fill="auto"/>
                      <w:vertAlign w:val="subscript"/>
                      <w:lang w:val="en-US" w:eastAsia="zh-CN" w:bidi="ar"/>
                    </w:rPr>
                    <w:t>2</w:t>
                  </w:r>
                  <w:r>
                    <w:rPr>
                      <w:rFonts w:hint="eastAsia" w:ascii="宋体" w:hAnsi="宋体" w:eastAsia="宋体" w:cs="宋体"/>
                      <w:color w:val="auto"/>
                      <w:kern w:val="0"/>
                      <w:sz w:val="21"/>
                      <w:szCs w:val="21"/>
                      <w:highlight w:val="none"/>
                      <w:shd w:val="clear" w:color="auto" w:fill="auto"/>
                      <w:lang w:val="en-US" w:eastAsia="zh-CN" w:bidi="ar"/>
                    </w:rPr>
                    <w:t>及</w:t>
                  </w:r>
                  <w:r>
                    <w:rPr>
                      <w:rFonts w:hint="default" w:ascii="Times New Roman" w:hAnsi="Times New Roman" w:eastAsia="宋体" w:cs="Times New Roman"/>
                      <w:color w:val="auto"/>
                      <w:kern w:val="0"/>
                      <w:sz w:val="21"/>
                      <w:szCs w:val="21"/>
                      <w:highlight w:val="none"/>
                      <w:shd w:val="clear" w:color="auto" w:fill="auto"/>
                      <w:lang w:val="en-US" w:eastAsia="zh-CN" w:bidi="ar"/>
                    </w:rPr>
                    <w:t>CHx</w:t>
                  </w:r>
                  <w:r>
                    <w:rPr>
                      <w:rFonts w:hint="eastAsia" w:ascii="宋体" w:hAnsi="宋体" w:eastAsia="宋体" w:cs="宋体"/>
                      <w:color w:val="auto"/>
                      <w:kern w:val="0"/>
                      <w:sz w:val="21"/>
                      <w:szCs w:val="21"/>
                      <w:highlight w:val="none"/>
                      <w:shd w:val="clear" w:color="auto" w:fill="auto"/>
                      <w:lang w:val="en-US" w:eastAsia="zh-CN" w:bidi="ar"/>
                    </w:rPr>
                    <w:t>等）</w:t>
                  </w:r>
                </w:p>
              </w:tc>
              <w:tc>
                <w:tcPr>
                  <w:tcW w:w="769" w:type="pct"/>
                  <w:vAlign w:val="center"/>
                </w:tcPr>
                <w:p w14:paraId="047F393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间歇，无组织</w:t>
                  </w:r>
                </w:p>
              </w:tc>
            </w:tr>
            <w:tr w14:paraId="25A5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076EDA29">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3F08B1F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施工机械及运输车辆</w:t>
                  </w:r>
                </w:p>
              </w:tc>
              <w:tc>
                <w:tcPr>
                  <w:tcW w:w="1869" w:type="pct"/>
                  <w:vAlign w:val="center"/>
                </w:tcPr>
                <w:p w14:paraId="29639E5C">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机械废气</w:t>
                  </w:r>
                  <w:r>
                    <w:rPr>
                      <w:rFonts w:hint="eastAsia" w:ascii="宋体" w:hAnsi="宋体" w:eastAsia="宋体" w:cs="宋体"/>
                      <w:color w:val="auto"/>
                      <w:kern w:val="0"/>
                      <w:sz w:val="21"/>
                      <w:szCs w:val="21"/>
                      <w:highlight w:val="none"/>
                      <w:shd w:val="clear" w:color="auto" w:fill="auto"/>
                      <w:lang w:val="en-US" w:eastAsia="zh-CN" w:bidi="ar"/>
                    </w:rPr>
                    <w:t>（</w:t>
                  </w:r>
                  <w:r>
                    <w:rPr>
                      <w:rFonts w:hint="eastAsia"/>
                      <w:color w:val="auto"/>
                      <w:sz w:val="21"/>
                      <w:szCs w:val="21"/>
                      <w:highlight w:val="none"/>
                      <w:shd w:val="clear" w:color="auto" w:fill="auto"/>
                    </w:rPr>
                    <w:t>CO、NOx、烃类</w:t>
                  </w:r>
                  <w:r>
                    <w:rPr>
                      <w:rFonts w:hint="eastAsia" w:ascii="宋体" w:hAnsi="宋体" w:eastAsia="宋体" w:cs="宋体"/>
                      <w:color w:val="auto"/>
                      <w:kern w:val="0"/>
                      <w:sz w:val="21"/>
                      <w:szCs w:val="21"/>
                      <w:highlight w:val="none"/>
                      <w:shd w:val="clear" w:color="auto" w:fill="auto"/>
                      <w:lang w:val="en-US" w:eastAsia="zh-CN" w:bidi="ar"/>
                    </w:rPr>
                    <w:t>）</w:t>
                  </w:r>
                </w:p>
              </w:tc>
              <w:tc>
                <w:tcPr>
                  <w:tcW w:w="769" w:type="pct"/>
                  <w:vAlign w:val="center"/>
                </w:tcPr>
                <w:p w14:paraId="155D22F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间歇，无组织</w:t>
                  </w:r>
                </w:p>
              </w:tc>
            </w:tr>
            <w:tr w14:paraId="2090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14:paraId="4EF76FF0">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废水</w:t>
                  </w:r>
                </w:p>
              </w:tc>
              <w:tc>
                <w:tcPr>
                  <w:tcW w:w="1755" w:type="pct"/>
                  <w:vAlign w:val="center"/>
                </w:tcPr>
                <w:p w14:paraId="4494BF45">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施工废水</w:t>
                  </w:r>
                </w:p>
              </w:tc>
              <w:tc>
                <w:tcPr>
                  <w:tcW w:w="1869" w:type="pct"/>
                  <w:vAlign w:val="center"/>
                </w:tcPr>
                <w:p w14:paraId="77968C1B">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lang w:val="en-US"/>
                    </w:rPr>
                  </w:pPr>
                  <w:r>
                    <w:rPr>
                      <w:rFonts w:hint="eastAsia"/>
                      <w:color w:val="auto"/>
                      <w:kern w:val="0"/>
                      <w:sz w:val="21"/>
                      <w:szCs w:val="21"/>
                      <w:highlight w:val="none"/>
                      <w:shd w:val="clear" w:color="auto" w:fill="auto"/>
                      <w:lang w:val="en-US" w:eastAsia="zh-CN"/>
                    </w:rPr>
                    <w:t>SS、石油类、pH</w:t>
                  </w:r>
                </w:p>
              </w:tc>
              <w:tc>
                <w:tcPr>
                  <w:tcW w:w="769" w:type="pct"/>
                  <w:vAlign w:val="center"/>
                </w:tcPr>
                <w:p w14:paraId="473DE65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794F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223743CB">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3374DAC0">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初期雨水</w:t>
                  </w:r>
                </w:p>
              </w:tc>
              <w:tc>
                <w:tcPr>
                  <w:tcW w:w="1869" w:type="pct"/>
                  <w:vAlign w:val="center"/>
                </w:tcPr>
                <w:p w14:paraId="7E9FA896">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SS</w:t>
                  </w:r>
                </w:p>
              </w:tc>
              <w:tc>
                <w:tcPr>
                  <w:tcW w:w="769" w:type="pct"/>
                  <w:vAlign w:val="center"/>
                </w:tcPr>
                <w:p w14:paraId="7C6AF4A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0A2B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14:paraId="117DC5E3">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噪声</w:t>
                  </w:r>
                </w:p>
              </w:tc>
              <w:tc>
                <w:tcPr>
                  <w:tcW w:w="1755" w:type="pct"/>
                  <w:vAlign w:val="center"/>
                </w:tcPr>
                <w:p w14:paraId="71EA4E87">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施工机械</w:t>
                  </w:r>
                </w:p>
              </w:tc>
              <w:tc>
                <w:tcPr>
                  <w:tcW w:w="1869" w:type="pct"/>
                  <w:vAlign w:val="center"/>
                </w:tcPr>
                <w:p w14:paraId="3C4DA7B7">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机械噪声</w:t>
                  </w:r>
                </w:p>
              </w:tc>
              <w:tc>
                <w:tcPr>
                  <w:tcW w:w="769" w:type="pct"/>
                  <w:vAlign w:val="center"/>
                </w:tcPr>
                <w:p w14:paraId="71C029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2481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52632424">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6B45FA70">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运输车辆</w:t>
                  </w:r>
                </w:p>
              </w:tc>
              <w:tc>
                <w:tcPr>
                  <w:tcW w:w="1869" w:type="pct"/>
                  <w:vAlign w:val="center"/>
                </w:tcPr>
                <w:p w14:paraId="115D4D3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交通噪声</w:t>
                  </w:r>
                </w:p>
              </w:tc>
              <w:tc>
                <w:tcPr>
                  <w:tcW w:w="769" w:type="pct"/>
                  <w:vAlign w:val="center"/>
                </w:tcPr>
                <w:p w14:paraId="2EEEA24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4CCA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14:paraId="2ABE9E96">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固废</w:t>
                  </w:r>
                </w:p>
              </w:tc>
              <w:tc>
                <w:tcPr>
                  <w:tcW w:w="1755" w:type="pct"/>
                  <w:vAlign w:val="center"/>
                </w:tcPr>
                <w:p w14:paraId="463912E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场地平整及开挖</w:t>
                  </w:r>
                </w:p>
              </w:tc>
              <w:tc>
                <w:tcPr>
                  <w:tcW w:w="1869" w:type="pct"/>
                  <w:vAlign w:val="center"/>
                </w:tcPr>
                <w:p w14:paraId="097F8BB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土石方</w:t>
                  </w:r>
                </w:p>
              </w:tc>
              <w:tc>
                <w:tcPr>
                  <w:tcW w:w="769" w:type="pct"/>
                  <w:vAlign w:val="center"/>
                </w:tcPr>
                <w:p w14:paraId="23072C3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43BF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22E94863">
                  <w:pPr>
                    <w:keepNext w:val="0"/>
                    <w:keepLines w:val="0"/>
                    <w:suppressLineNumbers w:val="0"/>
                    <w:shd w:val="clear"/>
                    <w:adjustRightInd w:val="0"/>
                    <w:snapToGrid w:val="0"/>
                    <w:spacing w:before="0" w:beforeAutospacing="0" w:after="0" w:afterAutospacing="0"/>
                    <w:ind w:left="0" w:right="0"/>
                    <w:jc w:val="center"/>
                    <w:rPr>
                      <w:rFonts w:hint="eastAsia"/>
                      <w:color w:val="auto"/>
                      <w:sz w:val="21"/>
                      <w:szCs w:val="21"/>
                      <w:highlight w:val="none"/>
                      <w:shd w:val="clear" w:color="auto" w:fill="auto"/>
                    </w:rPr>
                  </w:pPr>
                </w:p>
              </w:tc>
              <w:tc>
                <w:tcPr>
                  <w:tcW w:w="1755" w:type="pct"/>
                  <w:vAlign w:val="center"/>
                </w:tcPr>
                <w:p w14:paraId="5C049D5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土建</w:t>
                  </w:r>
                </w:p>
              </w:tc>
              <w:tc>
                <w:tcPr>
                  <w:tcW w:w="1869" w:type="pct"/>
                  <w:vAlign w:val="center"/>
                </w:tcPr>
                <w:p w14:paraId="07EA3AF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建筑垃圾</w:t>
                  </w:r>
                </w:p>
              </w:tc>
              <w:tc>
                <w:tcPr>
                  <w:tcW w:w="769" w:type="pct"/>
                  <w:vAlign w:val="center"/>
                </w:tcPr>
                <w:p w14:paraId="028DB3B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color w:val="auto"/>
                      <w:kern w:val="0"/>
                      <w:sz w:val="21"/>
                      <w:szCs w:val="21"/>
                      <w:highlight w:val="none"/>
                      <w:shd w:val="clear" w:color="auto" w:fill="auto"/>
                      <w:lang w:eastAsia="zh-CN"/>
                    </w:rPr>
                  </w:pPr>
                  <w:r>
                    <w:rPr>
                      <w:rFonts w:hint="eastAsia"/>
                      <w:color w:val="auto"/>
                      <w:kern w:val="0"/>
                      <w:sz w:val="21"/>
                      <w:szCs w:val="21"/>
                      <w:highlight w:val="none"/>
                      <w:shd w:val="clear" w:color="auto" w:fill="auto"/>
                      <w:lang w:eastAsia="zh-CN"/>
                    </w:rPr>
                    <w:t>间歇</w:t>
                  </w:r>
                </w:p>
              </w:tc>
            </w:tr>
            <w:tr w14:paraId="6369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18F5A12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5980F3B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kern w:val="0"/>
                      <w:sz w:val="21"/>
                      <w:szCs w:val="21"/>
                      <w:highlight w:val="none"/>
                      <w:shd w:val="clear" w:color="auto" w:fill="auto"/>
                      <w:lang w:eastAsia="zh-CN"/>
                    </w:rPr>
                    <w:t>设备安装</w:t>
                  </w:r>
                </w:p>
              </w:tc>
              <w:tc>
                <w:tcPr>
                  <w:tcW w:w="1869" w:type="pct"/>
                  <w:vAlign w:val="center"/>
                </w:tcPr>
                <w:p w14:paraId="37C3FBB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kern w:val="0"/>
                      <w:sz w:val="21"/>
                      <w:szCs w:val="21"/>
                      <w:highlight w:val="none"/>
                      <w:shd w:val="clear" w:color="auto" w:fill="auto"/>
                      <w:lang w:eastAsia="zh-CN"/>
                    </w:rPr>
                    <w:t>废弃设备零件</w:t>
                  </w:r>
                </w:p>
              </w:tc>
              <w:tc>
                <w:tcPr>
                  <w:tcW w:w="769" w:type="pct"/>
                  <w:vAlign w:val="center"/>
                </w:tcPr>
                <w:p w14:paraId="05F9763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10BF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14:paraId="679A672A">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74C078A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施工人员</w:t>
                  </w:r>
                </w:p>
              </w:tc>
              <w:tc>
                <w:tcPr>
                  <w:tcW w:w="1869" w:type="pct"/>
                  <w:vAlign w:val="center"/>
                </w:tcPr>
                <w:p w14:paraId="583C497A">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生活垃圾</w:t>
                  </w:r>
                </w:p>
              </w:tc>
              <w:tc>
                <w:tcPr>
                  <w:tcW w:w="769" w:type="pct"/>
                  <w:vAlign w:val="center"/>
                </w:tcPr>
                <w:p w14:paraId="2786D574">
                  <w:pPr>
                    <w:keepNext w:val="0"/>
                    <w:keepLines w:val="0"/>
                    <w:suppressLineNumbers w:val="0"/>
                    <w:shd w:val="clear"/>
                    <w:adjustRightInd w:val="0"/>
                    <w:snapToGrid w:val="0"/>
                    <w:spacing w:before="0" w:beforeAutospacing="0" w:after="0" w:afterAutospacing="0"/>
                    <w:ind w:left="0" w:right="0"/>
                    <w:jc w:val="center"/>
                    <w:rPr>
                      <w:rFonts w:hint="eastAsia"/>
                      <w:color w:val="auto"/>
                      <w:sz w:val="21"/>
                      <w:szCs w:val="21"/>
                      <w:highlight w:val="none"/>
                      <w:shd w:val="clear" w:color="auto" w:fill="auto"/>
                    </w:rPr>
                  </w:pPr>
                  <w:r>
                    <w:rPr>
                      <w:rFonts w:hint="eastAsia"/>
                      <w:color w:val="auto"/>
                      <w:kern w:val="0"/>
                      <w:sz w:val="21"/>
                      <w:szCs w:val="21"/>
                      <w:highlight w:val="none"/>
                      <w:shd w:val="clear" w:color="auto" w:fill="auto"/>
                      <w:lang w:eastAsia="zh-CN"/>
                    </w:rPr>
                    <w:t>间歇</w:t>
                  </w:r>
                </w:p>
              </w:tc>
            </w:tr>
          </w:tbl>
          <w:p w14:paraId="0CC46BF5">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eastAsia"/>
                <w:b/>
                <w:bCs/>
                <w:color w:val="auto"/>
                <w:sz w:val="24"/>
                <w:szCs w:val="24"/>
                <w:highlight w:val="none"/>
                <w:shd w:val="clear" w:color="auto" w:fill="auto"/>
              </w:rPr>
            </w:pPr>
            <w:r>
              <w:rPr>
                <w:rFonts w:hint="eastAsia"/>
                <w:b w:val="0"/>
                <w:bCs w:val="0"/>
                <w:color w:val="auto"/>
                <w:sz w:val="24"/>
                <w:szCs w:val="24"/>
                <w:highlight w:val="none"/>
                <w:shd w:val="clear" w:color="auto" w:fill="auto"/>
              </w:rPr>
              <w:t>项目施工期的</w:t>
            </w:r>
            <w:r>
              <w:rPr>
                <w:rFonts w:hint="eastAsia"/>
                <w:b w:val="0"/>
                <w:bCs w:val="0"/>
                <w:color w:val="auto"/>
                <w:sz w:val="24"/>
                <w:szCs w:val="24"/>
                <w:highlight w:val="none"/>
                <w:shd w:val="clear" w:color="auto" w:fill="auto"/>
                <w:lang w:eastAsia="zh-CN"/>
              </w:rPr>
              <w:t>生态</w:t>
            </w:r>
            <w:r>
              <w:rPr>
                <w:rFonts w:hint="eastAsia"/>
                <w:b w:val="0"/>
                <w:bCs w:val="0"/>
                <w:color w:val="auto"/>
                <w:sz w:val="24"/>
                <w:szCs w:val="24"/>
                <w:highlight w:val="none"/>
                <w:shd w:val="clear" w:color="auto" w:fill="auto"/>
              </w:rPr>
              <w:t>影响因素如下表所示。</w:t>
            </w:r>
          </w:p>
          <w:p w14:paraId="6755B2D1">
            <w:pPr>
              <w:keepNext w:val="0"/>
              <w:keepLines w:val="0"/>
              <w:suppressLineNumbers w:val="0"/>
              <w:shd w:val="clear"/>
              <w:adjustRightInd w:val="0"/>
              <w:snapToGrid w:val="0"/>
              <w:spacing w:before="0" w:beforeAutospacing="0" w:after="0" w:afterAutospacing="0" w:line="240" w:lineRule="auto"/>
              <w:ind w:left="0" w:right="0" w:firstLine="422" w:firstLineChars="200"/>
              <w:jc w:val="center"/>
              <w:rPr>
                <w:rFonts w:hint="eastAsia" w:eastAsia="宋体"/>
                <w:b/>
                <w:bCs/>
                <w:color w:val="auto"/>
                <w:sz w:val="21"/>
                <w:szCs w:val="21"/>
                <w:highlight w:val="none"/>
                <w:shd w:val="clear" w:color="auto" w:fill="auto"/>
                <w:lang w:eastAsia="zh-CN"/>
              </w:rPr>
            </w:pPr>
            <w:r>
              <w:rPr>
                <w:rFonts w:hint="eastAsia"/>
                <w:b/>
                <w:bCs/>
                <w:color w:val="auto"/>
                <w:sz w:val="21"/>
                <w:szCs w:val="21"/>
                <w:highlight w:val="none"/>
                <w:shd w:val="clear" w:color="auto" w:fill="auto"/>
                <w:lang w:eastAsia="zh-CN"/>
              </w:rPr>
              <w:t>表</w:t>
            </w:r>
            <w:r>
              <w:rPr>
                <w:rFonts w:hint="eastAsia"/>
                <w:b/>
                <w:bCs/>
                <w:color w:val="auto"/>
                <w:sz w:val="21"/>
                <w:szCs w:val="21"/>
                <w:highlight w:val="none"/>
                <w:shd w:val="clear" w:color="auto" w:fill="auto"/>
                <w:lang w:val="en-US" w:eastAsia="zh-CN"/>
              </w:rPr>
              <w:t>4-2  施工期生态影响因素一览表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4203"/>
              <w:gridCol w:w="1062"/>
            </w:tblGrid>
            <w:tr w14:paraId="2E24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0" w:type="pct"/>
                  <w:vAlign w:val="center"/>
                </w:tcPr>
                <w:p w14:paraId="3CD7EDB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项目建设活动</w:t>
                  </w:r>
                </w:p>
              </w:tc>
              <w:tc>
                <w:tcPr>
                  <w:tcW w:w="2649" w:type="pct"/>
                  <w:vAlign w:val="center"/>
                </w:tcPr>
                <w:p w14:paraId="79F3D23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生态影响因素</w:t>
                  </w:r>
                </w:p>
              </w:tc>
              <w:tc>
                <w:tcPr>
                  <w:tcW w:w="669" w:type="pct"/>
                  <w:vAlign w:val="center"/>
                </w:tcPr>
                <w:p w14:paraId="275B0F3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影响因子</w:t>
                  </w:r>
                </w:p>
              </w:tc>
            </w:tr>
            <w:tr w14:paraId="37B1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0" w:type="pct"/>
                  <w:vAlign w:val="center"/>
                </w:tcPr>
                <w:p w14:paraId="6CE1C37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color w:val="auto"/>
                      <w:kern w:val="0"/>
                      <w:sz w:val="21"/>
                      <w:szCs w:val="21"/>
                      <w:highlight w:val="none"/>
                      <w:shd w:val="clear" w:color="auto" w:fill="auto"/>
                      <w:lang w:eastAsia="zh-CN"/>
                    </w:rPr>
                    <w:t>土建及土石方工程</w:t>
                  </w:r>
                </w:p>
              </w:tc>
              <w:tc>
                <w:tcPr>
                  <w:tcW w:w="2649" w:type="pct"/>
                  <w:vAlign w:val="center"/>
                </w:tcPr>
                <w:p w14:paraId="7D7670C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永久占用土地、改变土地利用现状功能；破坏地表植被</w:t>
                  </w:r>
                </w:p>
              </w:tc>
              <w:tc>
                <w:tcPr>
                  <w:tcW w:w="669" w:type="pct"/>
                  <w:vMerge w:val="restart"/>
                  <w:vAlign w:val="center"/>
                </w:tcPr>
                <w:p w14:paraId="37BB298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植被、植物、土地利用、动物、水土流失</w:t>
                  </w:r>
                </w:p>
              </w:tc>
            </w:tr>
            <w:tr w14:paraId="0822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0" w:type="pct"/>
                  <w:vAlign w:val="center"/>
                </w:tcPr>
                <w:p w14:paraId="447DCE9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施工机械及施工车辆运输</w:t>
                  </w:r>
                </w:p>
              </w:tc>
              <w:tc>
                <w:tcPr>
                  <w:tcW w:w="2649" w:type="pct"/>
                  <w:vAlign w:val="center"/>
                </w:tcPr>
                <w:p w14:paraId="6E6D855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r>
                    <w:rPr>
                      <w:rFonts w:hint="eastAsia"/>
                      <w:color w:val="auto"/>
                      <w:kern w:val="0"/>
                      <w:sz w:val="21"/>
                      <w:szCs w:val="21"/>
                      <w:highlight w:val="none"/>
                      <w:shd w:val="clear" w:color="auto" w:fill="auto"/>
                    </w:rPr>
                    <w:t>对周围动物活动及栖息造成影响</w:t>
                  </w:r>
                </w:p>
              </w:tc>
              <w:tc>
                <w:tcPr>
                  <w:tcW w:w="669" w:type="pct"/>
                  <w:vMerge w:val="continue"/>
                  <w:vAlign w:val="center"/>
                </w:tcPr>
                <w:p w14:paraId="238C9A8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p>
              </w:tc>
            </w:tr>
            <w:tr w14:paraId="6347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0" w:type="pct"/>
                  <w:vAlign w:val="center"/>
                </w:tcPr>
                <w:p w14:paraId="008D47E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施工临时占地</w:t>
                  </w:r>
                </w:p>
              </w:tc>
              <w:tc>
                <w:tcPr>
                  <w:tcW w:w="2649" w:type="pct"/>
                  <w:vAlign w:val="center"/>
                </w:tcPr>
                <w:p w14:paraId="6F8AE30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eastAsia="宋体"/>
                      <w:color w:val="auto"/>
                      <w:kern w:val="0"/>
                      <w:sz w:val="21"/>
                      <w:szCs w:val="21"/>
                      <w:highlight w:val="none"/>
                      <w:shd w:val="clear" w:color="auto" w:fill="auto"/>
                      <w:lang w:val="en-US" w:eastAsia="zh-CN"/>
                    </w:rPr>
                  </w:pPr>
                  <w:r>
                    <w:rPr>
                      <w:rFonts w:hint="default" w:eastAsia="宋体"/>
                      <w:color w:val="auto"/>
                      <w:kern w:val="0"/>
                      <w:sz w:val="21"/>
                      <w:szCs w:val="21"/>
                      <w:highlight w:val="none"/>
                      <w:shd w:val="clear" w:color="auto" w:fill="auto"/>
                      <w:lang w:val="en-US" w:eastAsia="zh-CN"/>
                    </w:rPr>
                    <w:t>临时占用土地，改变土地利用功能；破坏地表植被</w:t>
                  </w:r>
                </w:p>
              </w:tc>
              <w:tc>
                <w:tcPr>
                  <w:tcW w:w="669" w:type="pct"/>
                  <w:vMerge w:val="continue"/>
                  <w:vAlign w:val="center"/>
                </w:tcPr>
                <w:p w14:paraId="615C453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p>
              </w:tc>
            </w:tr>
          </w:tbl>
          <w:p w14:paraId="0CAF6E75">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4.2施工期环境影响</w:t>
            </w:r>
          </w:p>
          <w:p w14:paraId="08CAA799">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1</w:t>
            </w:r>
            <w:r>
              <w:rPr>
                <w:rFonts w:hint="default"/>
                <w:b/>
                <w:color w:val="auto"/>
                <w:sz w:val="24"/>
                <w:highlight w:val="none"/>
                <w:shd w:val="clear" w:color="auto" w:fill="auto"/>
              </w:rPr>
              <w:t>）施工期生态环境影响</w:t>
            </w:r>
          </w:p>
          <w:p w14:paraId="4AD6AB5D">
            <w:pPr>
              <w:keepNext w:val="0"/>
              <w:keepLines w:val="0"/>
              <w:suppressLineNumbers w:val="0"/>
              <w:spacing w:before="0" w:beforeAutospacing="0" w:after="0" w:afterAutospacing="0" w:line="360" w:lineRule="auto"/>
              <w:ind w:left="0" w:right="0" w:firstLine="480" w:firstLineChars="200"/>
              <w:rPr>
                <w:rFonts w:hint="default"/>
                <w:b w:val="0"/>
                <w:bCs w:val="0"/>
                <w:color w:val="auto"/>
                <w:sz w:val="24"/>
                <w:szCs w:val="24"/>
                <w:highlight w:val="none"/>
              </w:rPr>
            </w:pPr>
            <w:r>
              <w:rPr>
                <w:rFonts w:hint="eastAsia"/>
                <w:b w:val="0"/>
                <w:bCs w:val="0"/>
                <w:color w:val="auto"/>
                <w:sz w:val="24"/>
                <w:szCs w:val="24"/>
                <w:highlight w:val="none"/>
                <w:lang w:val="en-US" w:eastAsia="zh-CN"/>
              </w:rPr>
              <w:t>1）</w:t>
            </w:r>
            <w:r>
              <w:rPr>
                <w:rFonts w:hint="eastAsia"/>
                <w:b w:val="0"/>
                <w:bCs w:val="0"/>
                <w:color w:val="auto"/>
                <w:sz w:val="24"/>
                <w:szCs w:val="24"/>
                <w:highlight w:val="none"/>
              </w:rPr>
              <w:t>对土地利用的影响</w:t>
            </w:r>
          </w:p>
          <w:p w14:paraId="5F52229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szCs w:val="24"/>
                <w:highlight w:val="none"/>
              </w:rPr>
            </w:pPr>
            <w:r>
              <w:rPr>
                <w:rFonts w:hint="eastAsia"/>
                <w:color w:val="auto"/>
                <w:sz w:val="24"/>
                <w:szCs w:val="24"/>
                <w:highlight w:val="none"/>
              </w:rPr>
              <w:t>根据项目总体布局，项目</w:t>
            </w:r>
            <w:r>
              <w:rPr>
                <w:rFonts w:hint="eastAsia"/>
                <w:color w:val="auto"/>
                <w:sz w:val="24"/>
                <w:szCs w:val="24"/>
                <w:highlight w:val="none"/>
                <w:lang w:val="en-US" w:eastAsia="zh-CN"/>
              </w:rPr>
              <w:t>总</w:t>
            </w:r>
            <w:r>
              <w:rPr>
                <w:rFonts w:hint="default"/>
                <w:color w:val="auto"/>
                <w:sz w:val="24"/>
                <w:szCs w:val="24"/>
                <w:highlight w:val="none"/>
              </w:rPr>
              <w:t>占地面积54.97hm</w:t>
            </w:r>
            <w:r>
              <w:rPr>
                <w:rFonts w:hint="default"/>
                <w:color w:val="auto"/>
                <w:sz w:val="24"/>
                <w:szCs w:val="24"/>
                <w:highlight w:val="none"/>
                <w:vertAlign w:val="superscript"/>
              </w:rPr>
              <w:t>2</w:t>
            </w:r>
            <w:r>
              <w:rPr>
                <w:rFonts w:hint="default"/>
                <w:color w:val="auto"/>
                <w:sz w:val="24"/>
                <w:szCs w:val="24"/>
                <w:highlight w:val="none"/>
              </w:rPr>
              <w:t>，按占地性质，永久占地</w:t>
            </w:r>
            <w:r>
              <w:rPr>
                <w:rFonts w:hint="eastAsia"/>
                <w:color w:val="auto"/>
                <w:sz w:val="24"/>
                <w:szCs w:val="24"/>
                <w:highlight w:val="none"/>
              </w:rPr>
              <w:t>0.04</w:t>
            </w:r>
            <w:r>
              <w:rPr>
                <w:rFonts w:hint="default"/>
                <w:color w:val="auto"/>
                <w:sz w:val="24"/>
                <w:szCs w:val="24"/>
                <w:highlight w:val="none"/>
              </w:rPr>
              <w:t>hm</w:t>
            </w:r>
            <w:r>
              <w:rPr>
                <w:rFonts w:hint="default"/>
                <w:color w:val="auto"/>
                <w:sz w:val="24"/>
                <w:szCs w:val="24"/>
                <w:highlight w:val="none"/>
                <w:vertAlign w:val="superscript"/>
              </w:rPr>
              <w:t>2</w:t>
            </w:r>
            <w:r>
              <w:rPr>
                <w:rFonts w:hint="default"/>
                <w:color w:val="auto"/>
                <w:sz w:val="24"/>
                <w:szCs w:val="24"/>
                <w:highlight w:val="none"/>
              </w:rPr>
              <w:t>，临时占地</w:t>
            </w:r>
            <w:r>
              <w:rPr>
                <w:rFonts w:hint="eastAsia"/>
                <w:color w:val="auto"/>
                <w:sz w:val="24"/>
                <w:szCs w:val="24"/>
                <w:highlight w:val="none"/>
              </w:rPr>
              <w:t>54.93</w:t>
            </w:r>
            <w:r>
              <w:rPr>
                <w:rFonts w:hint="default"/>
                <w:color w:val="auto"/>
                <w:sz w:val="24"/>
                <w:szCs w:val="24"/>
                <w:highlight w:val="none"/>
              </w:rPr>
              <w:t>hm</w:t>
            </w:r>
            <w:r>
              <w:rPr>
                <w:rFonts w:hint="default"/>
                <w:color w:val="auto"/>
                <w:sz w:val="24"/>
                <w:szCs w:val="24"/>
                <w:highlight w:val="none"/>
                <w:vertAlign w:val="superscript"/>
              </w:rPr>
              <w:t>2</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项目不占用基本农田及生态保护红线，</w:t>
            </w:r>
            <w:r>
              <w:rPr>
                <w:rFonts w:hint="eastAsia" w:ascii="Times New Roman" w:hAnsi="Times New Roman" w:eastAsia="宋体" w:cs="Times New Roman"/>
                <w:color w:val="auto"/>
                <w:kern w:val="0"/>
                <w:sz w:val="24"/>
                <w:szCs w:val="24"/>
                <w:highlight w:val="none"/>
                <w:lang w:val="en-US" w:eastAsia="zh-CN"/>
              </w:rPr>
              <w:t>涉及</w:t>
            </w:r>
            <w:r>
              <w:rPr>
                <w:rFonts w:hint="eastAsia" w:cs="Times New Roman"/>
                <w:color w:val="auto"/>
                <w:spacing w:val="0"/>
                <w:kern w:val="0"/>
                <w:sz w:val="24"/>
                <w:szCs w:val="24"/>
                <w:highlight w:val="none"/>
                <w:lang w:val="en-US" w:eastAsia="zh-CN"/>
              </w:rPr>
              <w:t>142196.87m</w:t>
            </w:r>
            <w:r>
              <w:rPr>
                <w:rFonts w:hint="eastAsia" w:cs="Times New Roman"/>
                <w:color w:val="auto"/>
                <w:spacing w:val="0"/>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省级公益林，</w:t>
            </w:r>
            <w:r>
              <w:rPr>
                <w:rFonts w:hint="eastAsia" w:cs="Times New Roman"/>
                <w:color w:val="auto"/>
                <w:kern w:val="0"/>
                <w:sz w:val="24"/>
                <w:szCs w:val="24"/>
                <w:highlight w:val="none"/>
                <w:lang w:val="en-US" w:eastAsia="zh-CN"/>
              </w:rPr>
              <w:t>其中150</w:t>
            </w:r>
            <w:r>
              <w:rPr>
                <w:rFonts w:hint="eastAsia" w:ascii="Times New Roman" w:hAnsi="Times New Roman" w:eastAsia="宋体" w:cs="Times New Roman"/>
                <w:color w:val="auto"/>
                <w:kern w:val="0"/>
                <w:sz w:val="24"/>
                <w:szCs w:val="24"/>
                <w:highlight w:val="none"/>
                <w:lang w:eastAsia="zh-CN"/>
              </w:rPr>
              <w:t>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ascii="Times New Roman" w:hAnsi="Times New Roman" w:eastAsia="宋体" w:cs="Times New Roman"/>
                <w:color w:val="auto"/>
                <w:kern w:val="0"/>
                <w:sz w:val="24"/>
                <w:szCs w:val="24"/>
                <w:highlight w:val="none"/>
                <w:lang w:val="en-US" w:eastAsia="zh-CN"/>
              </w:rPr>
              <w:t>为</w:t>
            </w:r>
            <w:r>
              <w:rPr>
                <w:rFonts w:hint="eastAsia" w:cs="Times New Roman"/>
                <w:color w:val="auto"/>
                <w:kern w:val="0"/>
                <w:sz w:val="24"/>
                <w:szCs w:val="24"/>
                <w:highlight w:val="none"/>
                <w:lang w:val="en-US" w:eastAsia="zh-CN"/>
              </w:rPr>
              <w:t>永久用地，为箱变占用；</w:t>
            </w:r>
            <w:r>
              <w:rPr>
                <w:rFonts w:hint="eastAsia" w:cs="Times New Roman"/>
                <w:color w:val="auto"/>
                <w:spacing w:val="0"/>
                <w:kern w:val="0"/>
                <w:sz w:val="24"/>
                <w:szCs w:val="24"/>
                <w:highlight w:val="none"/>
                <w:lang w:val="en-US" w:eastAsia="zh-CN"/>
              </w:rPr>
              <w:t>142046.87m</w:t>
            </w:r>
            <w:r>
              <w:rPr>
                <w:rFonts w:hint="eastAsia" w:cs="Times New Roman"/>
                <w:color w:val="auto"/>
                <w:spacing w:val="0"/>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省级公益林为</w:t>
            </w:r>
            <w:r>
              <w:rPr>
                <w:rFonts w:hint="eastAsia" w:cs="Times New Roman"/>
                <w:color w:val="auto"/>
                <w:kern w:val="0"/>
                <w:sz w:val="24"/>
                <w:szCs w:val="24"/>
                <w:highlight w:val="none"/>
                <w:lang w:val="en-US" w:eastAsia="zh-CN"/>
              </w:rPr>
              <w:t>临时用地，为</w:t>
            </w:r>
            <w:r>
              <w:rPr>
                <w:rFonts w:hint="eastAsia" w:ascii="Times New Roman" w:hAnsi="Times New Roman" w:eastAsia="宋体" w:cs="Times New Roman"/>
                <w:color w:val="auto"/>
                <w:kern w:val="0"/>
                <w:sz w:val="24"/>
                <w:szCs w:val="24"/>
                <w:highlight w:val="none"/>
                <w:lang w:val="en-US" w:eastAsia="zh-CN"/>
              </w:rPr>
              <w:t>光伏组件占用。目前《</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Times New Roman" w:hAnsi="Times New Roman" w:eastAsia="宋体" w:cs="Times New Roman"/>
                <w:color w:val="auto"/>
                <w:kern w:val="0"/>
                <w:sz w:val="24"/>
                <w:szCs w:val="24"/>
                <w:highlight w:val="none"/>
                <w:lang w:val="en-US" w:eastAsia="zh-CN"/>
              </w:rPr>
              <w:t>使用林地可行性报告》正在</w:t>
            </w:r>
            <w:r>
              <w:rPr>
                <w:rFonts w:hint="eastAsia" w:cs="Times New Roman"/>
                <w:color w:val="auto"/>
                <w:kern w:val="0"/>
                <w:sz w:val="24"/>
                <w:szCs w:val="24"/>
                <w:highlight w:val="none"/>
                <w:lang w:val="en-US" w:eastAsia="zh-CN"/>
              </w:rPr>
              <w:t>送审</w:t>
            </w:r>
            <w:r>
              <w:rPr>
                <w:rFonts w:hint="eastAsia" w:ascii="Times New Roman" w:hAnsi="Times New Roman" w:eastAsia="宋体" w:cs="Times New Roman"/>
                <w:color w:val="auto"/>
                <w:kern w:val="0"/>
                <w:sz w:val="24"/>
                <w:szCs w:val="24"/>
                <w:highlight w:val="none"/>
                <w:lang w:val="en-US" w:eastAsia="zh-CN"/>
              </w:rPr>
              <w:t>中，建设单位承诺在取得准许使用林地手续后再进行涉及占用林地范围的工程内容施工。</w:t>
            </w:r>
          </w:p>
          <w:p w14:paraId="65D213B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bCs/>
                <w:color w:val="auto"/>
                <w:sz w:val="24"/>
                <w:highlight w:val="none"/>
                <w:lang w:val="en-US" w:eastAsia="zh-CN"/>
              </w:rPr>
            </w:pPr>
            <w:r>
              <w:rPr>
                <w:rFonts w:hint="default" w:ascii="Times New Roman" w:hAnsi="Times New Roman" w:cs="Times New Roman"/>
                <w:bCs/>
                <w:color w:val="auto"/>
                <w:sz w:val="24"/>
                <w:highlight w:val="none"/>
                <w:lang w:eastAsia="zh-CN"/>
              </w:rPr>
              <w:t>项目用地范围主要</w:t>
            </w:r>
            <w:r>
              <w:rPr>
                <w:rFonts w:hint="eastAsia" w:ascii="Times New Roman" w:hAnsi="Times New Roman" w:cs="Times New Roman"/>
                <w:bCs/>
                <w:color w:val="auto"/>
                <w:sz w:val="24"/>
                <w:highlight w:val="none"/>
                <w:lang w:val="en-US" w:eastAsia="zh-CN"/>
              </w:rPr>
              <w:t>占评价区</w:t>
            </w:r>
            <w:r>
              <w:rPr>
                <w:rFonts w:hint="default" w:ascii="Times New Roman" w:hAnsi="Times New Roman" w:cs="Times New Roman"/>
                <w:bCs/>
                <w:color w:val="auto"/>
                <w:sz w:val="24"/>
                <w:highlight w:val="none"/>
                <w:lang w:eastAsia="zh-CN"/>
              </w:rPr>
              <w:t>的土地类型</w:t>
            </w:r>
            <w:r>
              <w:rPr>
                <w:rFonts w:hint="eastAsia" w:cs="Times New Roman"/>
                <w:bCs/>
                <w:color w:val="auto"/>
                <w:sz w:val="24"/>
                <w:highlight w:val="none"/>
                <w:lang w:val="en-US" w:eastAsia="zh-CN"/>
              </w:rPr>
              <w:t>情况见下表。</w:t>
            </w:r>
          </w:p>
          <w:p w14:paraId="79907F4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Cs/>
                <w:color w:val="auto"/>
                <w:sz w:val="24"/>
                <w:highlight w:val="none"/>
                <w:lang w:val="en-US" w:eastAsia="zh-CN"/>
              </w:rPr>
            </w:pPr>
            <w:r>
              <w:rPr>
                <w:rFonts w:hint="eastAsia"/>
                <w:b/>
                <w:bCs/>
                <w:color w:val="auto"/>
                <w:sz w:val="21"/>
                <w:szCs w:val="21"/>
                <w:highlight w:val="none"/>
                <w:shd w:val="clear" w:color="auto" w:fill="auto"/>
                <w:lang w:eastAsia="zh-CN"/>
              </w:rPr>
              <w:t>表</w:t>
            </w:r>
            <w:r>
              <w:rPr>
                <w:rFonts w:hint="eastAsia"/>
                <w:b/>
                <w:bCs/>
                <w:color w:val="auto"/>
                <w:sz w:val="21"/>
                <w:szCs w:val="21"/>
                <w:highlight w:val="none"/>
                <w:shd w:val="clear" w:color="auto" w:fill="auto"/>
                <w:lang w:val="en-US" w:eastAsia="zh-CN"/>
              </w:rPr>
              <w:t>4-3  用地范围主要占评价区的土地类型情况</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1330"/>
              <w:gridCol w:w="1331"/>
              <w:gridCol w:w="1988"/>
              <w:gridCol w:w="1300"/>
            </w:tblGrid>
            <w:tr w14:paraId="5272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9" w:type="pct"/>
                  <w:vMerge w:val="restart"/>
                  <w:vAlign w:val="center"/>
                </w:tcPr>
                <w:p w14:paraId="744E4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占地类型</w:t>
                  </w:r>
                </w:p>
              </w:tc>
              <w:tc>
                <w:tcPr>
                  <w:tcW w:w="1677" w:type="pct"/>
                  <w:gridSpan w:val="2"/>
                  <w:vAlign w:val="center"/>
                </w:tcPr>
                <w:p w14:paraId="4C3135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项目区所占面积（hm</w:t>
                  </w:r>
                  <w:r>
                    <w:rPr>
                      <w:rFonts w:hint="eastAsia" w:cs="Times New Roman"/>
                      <w:b/>
                      <w:bCs w:val="0"/>
                      <w:color w:val="auto"/>
                      <w:sz w:val="21"/>
                      <w:szCs w:val="21"/>
                      <w:highlight w:val="none"/>
                      <w:vertAlign w:val="superscript"/>
                      <w:lang w:val="en-US" w:eastAsia="zh-CN"/>
                    </w:rPr>
                    <w:t>2</w:t>
                  </w:r>
                  <w:r>
                    <w:rPr>
                      <w:rFonts w:hint="eastAsia" w:cs="Times New Roman"/>
                      <w:b/>
                      <w:bCs w:val="0"/>
                      <w:color w:val="auto"/>
                      <w:sz w:val="21"/>
                      <w:szCs w:val="21"/>
                      <w:highlight w:val="none"/>
                      <w:vertAlign w:val="baseline"/>
                      <w:lang w:val="en-US" w:eastAsia="zh-CN"/>
                    </w:rPr>
                    <w:t>）</w:t>
                  </w:r>
                </w:p>
              </w:tc>
              <w:tc>
                <w:tcPr>
                  <w:tcW w:w="1253" w:type="pct"/>
                  <w:vMerge w:val="restart"/>
                  <w:vAlign w:val="center"/>
                </w:tcPr>
                <w:p w14:paraId="1CE38D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评价区范围面积（hm</w:t>
                  </w:r>
                  <w:r>
                    <w:rPr>
                      <w:rFonts w:hint="eastAsia" w:cs="Times New Roman"/>
                      <w:b/>
                      <w:bCs w:val="0"/>
                      <w:color w:val="auto"/>
                      <w:sz w:val="21"/>
                      <w:szCs w:val="21"/>
                      <w:highlight w:val="none"/>
                      <w:vertAlign w:val="superscript"/>
                      <w:lang w:val="en-US" w:eastAsia="zh-CN"/>
                    </w:rPr>
                    <w:t>2</w:t>
                  </w:r>
                  <w:r>
                    <w:rPr>
                      <w:rFonts w:hint="eastAsia" w:cs="Times New Roman"/>
                      <w:b/>
                      <w:bCs w:val="0"/>
                      <w:color w:val="auto"/>
                      <w:sz w:val="21"/>
                      <w:szCs w:val="21"/>
                      <w:highlight w:val="none"/>
                      <w:vertAlign w:val="baseline"/>
                      <w:lang w:val="en-US" w:eastAsia="zh-CN"/>
                    </w:rPr>
                    <w:t>）</w:t>
                  </w:r>
                </w:p>
              </w:tc>
              <w:tc>
                <w:tcPr>
                  <w:tcW w:w="819" w:type="pct"/>
                  <w:vMerge w:val="restart"/>
                  <w:vAlign w:val="center"/>
                </w:tcPr>
                <w:p w14:paraId="553C5C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比例（%）</w:t>
                  </w:r>
                </w:p>
              </w:tc>
            </w:tr>
            <w:tr w14:paraId="3A3A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9" w:type="pct"/>
                  <w:vMerge w:val="continue"/>
                  <w:vAlign w:val="center"/>
                </w:tcPr>
                <w:p w14:paraId="72B7DE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highlight w:val="none"/>
                    </w:rPr>
                  </w:pPr>
                </w:p>
              </w:tc>
              <w:tc>
                <w:tcPr>
                  <w:tcW w:w="838" w:type="pct"/>
                  <w:vAlign w:val="center"/>
                </w:tcPr>
                <w:p w14:paraId="48AD4E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永久占地</w:t>
                  </w:r>
                </w:p>
              </w:tc>
              <w:tc>
                <w:tcPr>
                  <w:tcW w:w="839" w:type="pct"/>
                  <w:vAlign w:val="center"/>
                </w:tcPr>
                <w:p w14:paraId="71D9D8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临时占地</w:t>
                  </w:r>
                </w:p>
              </w:tc>
              <w:tc>
                <w:tcPr>
                  <w:tcW w:w="1253" w:type="pct"/>
                  <w:vMerge w:val="continue"/>
                  <w:vAlign w:val="center"/>
                </w:tcPr>
                <w:p w14:paraId="31DE01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p>
              </w:tc>
              <w:tc>
                <w:tcPr>
                  <w:tcW w:w="819" w:type="pct"/>
                  <w:vMerge w:val="continue"/>
                  <w:vAlign w:val="center"/>
                </w:tcPr>
                <w:p w14:paraId="47A482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p>
              </w:tc>
            </w:tr>
            <w:tr w14:paraId="6A38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2C28B1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其他草地</w:t>
                  </w:r>
                </w:p>
              </w:tc>
              <w:tc>
                <w:tcPr>
                  <w:tcW w:w="838" w:type="pct"/>
                  <w:vAlign w:val="center"/>
                </w:tcPr>
                <w:p w14:paraId="2AD1A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sz w:val="21"/>
                      <w:szCs w:val="21"/>
                      <w:highlight w:val="none"/>
                      <w:u w:val="none"/>
                      <w:lang w:val="en-US" w:eastAsia="zh-CN"/>
                    </w:rPr>
                    <w:t>0.01</w:t>
                  </w:r>
                </w:p>
              </w:tc>
              <w:tc>
                <w:tcPr>
                  <w:tcW w:w="839" w:type="pct"/>
                  <w:vAlign w:val="bottom"/>
                </w:tcPr>
                <w:p w14:paraId="7DBE8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34.60</w:t>
                  </w:r>
                </w:p>
              </w:tc>
              <w:tc>
                <w:tcPr>
                  <w:tcW w:w="1253" w:type="pct"/>
                  <w:vAlign w:val="bottom"/>
                </w:tcPr>
                <w:p w14:paraId="3B684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79.59</w:t>
                  </w:r>
                </w:p>
              </w:tc>
              <w:tc>
                <w:tcPr>
                  <w:tcW w:w="1297" w:type="dxa"/>
                  <w:vAlign w:val="center"/>
                </w:tcPr>
                <w:p w14:paraId="5E27D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43.49</w:t>
                  </w:r>
                </w:p>
              </w:tc>
            </w:tr>
            <w:tr w14:paraId="6507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49" w:type="pct"/>
                  <w:vAlign w:val="center"/>
                </w:tcPr>
                <w:p w14:paraId="21579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交通运输用地</w:t>
                  </w:r>
                </w:p>
              </w:tc>
              <w:tc>
                <w:tcPr>
                  <w:tcW w:w="838" w:type="pct"/>
                  <w:shd w:val="clear" w:color="auto" w:fill="auto"/>
                  <w:vAlign w:val="bottom"/>
                </w:tcPr>
                <w:p w14:paraId="229636E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839" w:type="pct"/>
                  <w:shd w:val="clear" w:color="auto" w:fill="auto"/>
                  <w:vAlign w:val="bottom"/>
                </w:tcPr>
                <w:p w14:paraId="71FEB41D">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1.98</w:t>
                  </w:r>
                </w:p>
              </w:tc>
              <w:tc>
                <w:tcPr>
                  <w:tcW w:w="1253" w:type="pct"/>
                  <w:vAlign w:val="bottom"/>
                </w:tcPr>
                <w:p w14:paraId="37CA5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1297" w:type="dxa"/>
                  <w:vAlign w:val="center"/>
                </w:tcPr>
                <w:p w14:paraId="6FC62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57.73</w:t>
                  </w:r>
                </w:p>
              </w:tc>
            </w:tr>
            <w:tr w14:paraId="5736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49" w:type="pct"/>
                  <w:vAlign w:val="center"/>
                </w:tcPr>
                <w:p w14:paraId="6D0B6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灌木林地</w:t>
                  </w:r>
                </w:p>
              </w:tc>
              <w:tc>
                <w:tcPr>
                  <w:tcW w:w="838" w:type="pct"/>
                  <w:shd w:val="clear" w:color="auto" w:fill="auto"/>
                  <w:vAlign w:val="bottom"/>
                </w:tcPr>
                <w:p w14:paraId="11855B9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0.02</w:t>
                  </w:r>
                </w:p>
              </w:tc>
              <w:tc>
                <w:tcPr>
                  <w:tcW w:w="839" w:type="pct"/>
                  <w:shd w:val="clear" w:color="auto" w:fill="auto"/>
                  <w:vAlign w:val="bottom"/>
                </w:tcPr>
                <w:p w14:paraId="2B727830">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sz w:val="21"/>
                      <w:szCs w:val="21"/>
                      <w:highlight w:val="none"/>
                      <w:u w:val="none"/>
                      <w:lang w:val="en-US" w:eastAsia="zh-CN"/>
                    </w:rPr>
                    <w:t>5.55</w:t>
                  </w:r>
                </w:p>
              </w:tc>
              <w:tc>
                <w:tcPr>
                  <w:tcW w:w="1253" w:type="pct"/>
                  <w:shd w:val="clear" w:color="auto" w:fill="auto"/>
                  <w:vAlign w:val="bottom"/>
                </w:tcPr>
                <w:p w14:paraId="4CCAB4B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70.06</w:t>
                  </w:r>
                </w:p>
              </w:tc>
              <w:tc>
                <w:tcPr>
                  <w:tcW w:w="1297" w:type="dxa"/>
                  <w:vAlign w:val="center"/>
                </w:tcPr>
                <w:p w14:paraId="60292A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7.95</w:t>
                  </w:r>
                </w:p>
              </w:tc>
            </w:tr>
            <w:tr w14:paraId="28B4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4BCDF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其他林地</w:t>
                  </w:r>
                </w:p>
              </w:tc>
              <w:tc>
                <w:tcPr>
                  <w:tcW w:w="838" w:type="pct"/>
                  <w:shd w:val="clear" w:color="auto" w:fill="auto"/>
                  <w:vAlign w:val="bottom"/>
                </w:tcPr>
                <w:p w14:paraId="5D01B58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sz w:val="21"/>
                      <w:szCs w:val="21"/>
                      <w:highlight w:val="none"/>
                      <w:u w:val="none"/>
                      <w:lang w:val="en-US" w:eastAsia="zh-CN"/>
                    </w:rPr>
                    <w:t>0.01</w:t>
                  </w:r>
                </w:p>
              </w:tc>
              <w:tc>
                <w:tcPr>
                  <w:tcW w:w="839" w:type="pct"/>
                  <w:shd w:val="clear" w:color="auto" w:fill="auto"/>
                  <w:vAlign w:val="bottom"/>
                </w:tcPr>
                <w:p w14:paraId="2B1125EA">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sz w:val="21"/>
                      <w:szCs w:val="21"/>
                      <w:highlight w:val="none"/>
                      <w:u w:val="none"/>
                      <w:lang w:val="en-US" w:eastAsia="zh-CN"/>
                    </w:rPr>
                    <w:t>12.8</w:t>
                  </w:r>
                  <w:r>
                    <w:rPr>
                      <w:rFonts w:hint="eastAsia" w:cs="Times New Roman"/>
                      <w:i w:val="0"/>
                      <w:iCs w:val="0"/>
                      <w:color w:val="auto"/>
                      <w:sz w:val="21"/>
                      <w:szCs w:val="21"/>
                      <w:highlight w:val="none"/>
                      <w:u w:val="none"/>
                      <w:lang w:val="en-US" w:eastAsia="zh-CN"/>
                    </w:rPr>
                    <w:t>0</w:t>
                  </w:r>
                </w:p>
              </w:tc>
              <w:tc>
                <w:tcPr>
                  <w:tcW w:w="1253" w:type="pct"/>
                  <w:shd w:val="clear" w:color="auto" w:fill="auto"/>
                  <w:vAlign w:val="bottom"/>
                </w:tcPr>
                <w:p w14:paraId="3E0AB25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33.81</w:t>
                  </w:r>
                </w:p>
              </w:tc>
              <w:tc>
                <w:tcPr>
                  <w:tcW w:w="1297" w:type="dxa"/>
                  <w:vAlign w:val="center"/>
                </w:tcPr>
                <w:p w14:paraId="03623B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37.89</w:t>
                  </w:r>
                </w:p>
              </w:tc>
            </w:tr>
          </w:tbl>
          <w:p w14:paraId="5DEF88C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szCs w:val="24"/>
                <w:highlight w:val="none"/>
              </w:rPr>
            </w:pPr>
            <w:r>
              <w:rPr>
                <w:rFonts w:hint="eastAsia" w:cs="Times New Roman"/>
                <w:bCs/>
                <w:color w:val="auto"/>
                <w:sz w:val="24"/>
                <w:szCs w:val="24"/>
                <w:highlight w:val="none"/>
                <w:lang w:val="en-US" w:eastAsia="zh-CN"/>
              </w:rPr>
              <w:t>由上表可知，项目占用的</w:t>
            </w:r>
            <w:r>
              <w:rPr>
                <w:rFonts w:hint="default" w:ascii="Times New Roman" w:hAnsi="Times New Roman" w:eastAsia="宋体" w:cs="Times New Roman"/>
                <w:i w:val="0"/>
                <w:iCs w:val="0"/>
                <w:color w:val="auto"/>
                <w:kern w:val="0"/>
                <w:sz w:val="24"/>
                <w:szCs w:val="24"/>
                <w:highlight w:val="none"/>
                <w:u w:val="none"/>
                <w:lang w:val="en-US" w:eastAsia="zh-CN" w:bidi="ar"/>
              </w:rPr>
              <w:t>其他草地</w:t>
            </w:r>
            <w:r>
              <w:rPr>
                <w:rFonts w:hint="default" w:ascii="Times New Roman" w:hAnsi="Times New Roman" w:cs="Times New Roman"/>
                <w:bCs/>
                <w:color w:val="auto"/>
                <w:sz w:val="24"/>
                <w:szCs w:val="24"/>
                <w:highlight w:val="none"/>
                <w:lang w:eastAsia="zh-CN"/>
              </w:rPr>
              <w:t>占绝对优势，</w:t>
            </w:r>
            <w:r>
              <w:rPr>
                <w:rFonts w:hint="eastAsia" w:cs="Times New Roman"/>
                <w:bCs/>
                <w:color w:val="auto"/>
                <w:sz w:val="24"/>
                <w:szCs w:val="24"/>
                <w:highlight w:val="none"/>
                <w:lang w:val="en-US" w:eastAsia="zh-CN"/>
              </w:rPr>
              <w:t>占项目区总用地面积的62.96%，占评价区内</w:t>
            </w:r>
            <w:r>
              <w:rPr>
                <w:rFonts w:hint="default" w:ascii="Times New Roman" w:hAnsi="Times New Roman" w:eastAsia="宋体" w:cs="Times New Roman"/>
                <w:i w:val="0"/>
                <w:iCs w:val="0"/>
                <w:color w:val="auto"/>
                <w:kern w:val="0"/>
                <w:sz w:val="24"/>
                <w:szCs w:val="24"/>
                <w:highlight w:val="none"/>
                <w:u w:val="none"/>
                <w:lang w:val="en-US" w:eastAsia="zh-CN" w:bidi="ar"/>
              </w:rPr>
              <w:t>其他草地</w:t>
            </w:r>
            <w:r>
              <w:rPr>
                <w:rFonts w:hint="eastAsia" w:cs="Times New Roman"/>
                <w:bCs/>
                <w:color w:val="auto"/>
                <w:sz w:val="24"/>
                <w:szCs w:val="24"/>
                <w:highlight w:val="none"/>
                <w:lang w:val="en-US" w:eastAsia="zh-CN"/>
              </w:rPr>
              <w:t>比例</w:t>
            </w:r>
            <w:r>
              <w:rPr>
                <w:rFonts w:hint="eastAsia" w:cs="Times New Roman"/>
                <w:i w:val="0"/>
                <w:iCs w:val="0"/>
                <w:color w:val="auto"/>
                <w:kern w:val="0"/>
                <w:sz w:val="24"/>
                <w:szCs w:val="24"/>
                <w:u w:val="none"/>
                <w:lang w:val="en-US" w:eastAsia="zh-CN" w:bidi="ar"/>
              </w:rPr>
              <w:t>43.49</w:t>
            </w:r>
            <w:r>
              <w:rPr>
                <w:rFonts w:hint="default" w:ascii="Times New Roman" w:hAnsi="Times New Roman" w:cs="Times New Roman"/>
                <w:bCs/>
                <w:color w:val="auto"/>
                <w:sz w:val="24"/>
                <w:szCs w:val="24"/>
                <w:highlight w:val="none"/>
                <w:lang w:val="en-US" w:eastAsia="zh-CN"/>
              </w:rPr>
              <w:t>%</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其余占用地类面积都小</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根据现场调查，本项目规划用地中部分</w:t>
            </w:r>
            <w:r>
              <w:rPr>
                <w:rFonts w:hint="eastAsia" w:ascii="Times New Roman" w:hAnsi="Times New Roman" w:cs="Times New Roman"/>
                <w:bCs/>
                <w:color w:val="auto"/>
                <w:sz w:val="24"/>
                <w:szCs w:val="24"/>
                <w:highlight w:val="none"/>
                <w:lang w:val="en-US" w:eastAsia="zh-CN"/>
              </w:rPr>
              <w:t>坡</w:t>
            </w:r>
            <w:r>
              <w:rPr>
                <w:rFonts w:hint="default" w:ascii="Times New Roman" w:hAnsi="Times New Roman" w:cs="Times New Roman"/>
                <w:bCs/>
                <w:color w:val="auto"/>
                <w:sz w:val="24"/>
                <w:szCs w:val="24"/>
                <w:highlight w:val="none"/>
              </w:rPr>
              <w:t>地</w:t>
            </w:r>
            <w:r>
              <w:rPr>
                <w:rFonts w:hint="eastAsia"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val="en-US" w:eastAsia="zh-CN"/>
              </w:rPr>
              <w:t>较分散和朝向不佳</w:t>
            </w:r>
            <w:r>
              <w:rPr>
                <w:rFonts w:hint="default" w:ascii="Times New Roman" w:hAnsi="Times New Roman" w:cs="Times New Roman"/>
                <w:bCs/>
                <w:color w:val="auto"/>
                <w:sz w:val="24"/>
                <w:szCs w:val="24"/>
                <w:highlight w:val="none"/>
              </w:rPr>
              <w:t>等区域不适合布设光伏发电板，可研设计光伏方阵时已避开此类区域，减轻对其生态影响。</w:t>
            </w:r>
            <w:r>
              <w:rPr>
                <w:rFonts w:hint="eastAsia" w:cs="Times New Roman"/>
                <w:bCs/>
                <w:color w:val="auto"/>
                <w:sz w:val="24"/>
                <w:szCs w:val="24"/>
                <w:highlight w:val="none"/>
                <w:lang w:val="en-US" w:eastAsia="zh-CN"/>
              </w:rPr>
              <w:t>项目永久占地类型为其他草地、灌木林地和其他林地，</w:t>
            </w:r>
            <w:r>
              <w:rPr>
                <w:rFonts w:hint="eastAsia"/>
                <w:color w:val="auto"/>
                <w:sz w:val="24"/>
                <w:szCs w:val="24"/>
                <w:highlight w:val="none"/>
              </w:rPr>
              <w:t>永久占地</w:t>
            </w:r>
            <w:r>
              <w:rPr>
                <w:rFonts w:hint="eastAsia"/>
                <w:color w:val="auto"/>
                <w:sz w:val="24"/>
                <w:szCs w:val="24"/>
                <w:highlight w:val="none"/>
                <w:lang w:val="en-US" w:eastAsia="zh-CN"/>
              </w:rPr>
              <w:t>0.04</w:t>
            </w:r>
            <w:r>
              <w:rPr>
                <w:rFonts w:hint="default"/>
                <w:color w:val="auto"/>
                <w:sz w:val="24"/>
                <w:szCs w:val="24"/>
                <w:highlight w:val="none"/>
              </w:rPr>
              <w:t>hm</w:t>
            </w:r>
            <w:r>
              <w:rPr>
                <w:rFonts w:hint="default"/>
                <w:color w:val="auto"/>
                <w:sz w:val="24"/>
                <w:szCs w:val="24"/>
                <w:highlight w:val="none"/>
                <w:vertAlign w:val="superscript"/>
              </w:rPr>
              <w:t>2</w:t>
            </w:r>
            <w:r>
              <w:rPr>
                <w:rFonts w:hint="eastAsia"/>
                <w:color w:val="auto"/>
                <w:sz w:val="24"/>
                <w:szCs w:val="24"/>
                <w:highlight w:val="none"/>
              </w:rPr>
              <w:t>，</w:t>
            </w:r>
            <w:r>
              <w:rPr>
                <w:rFonts w:hint="eastAsia" w:cs="Times New Roman"/>
                <w:bCs/>
                <w:color w:val="auto"/>
                <w:sz w:val="24"/>
                <w:szCs w:val="24"/>
                <w:highlight w:val="none"/>
                <w:lang w:val="en-US" w:eastAsia="zh-CN"/>
              </w:rPr>
              <w:t>占项目区总用地面积的0.07%，临时占地类型为其他草地、灌木林地、其他林地和交通运输用地，</w:t>
            </w:r>
            <w:r>
              <w:rPr>
                <w:rFonts w:hint="eastAsia"/>
                <w:color w:val="auto"/>
                <w:sz w:val="24"/>
                <w:szCs w:val="24"/>
                <w:highlight w:val="none"/>
              </w:rPr>
              <w:t>临时占地54.93</w:t>
            </w:r>
            <w:r>
              <w:rPr>
                <w:rFonts w:hint="default"/>
                <w:color w:val="auto"/>
                <w:sz w:val="24"/>
                <w:szCs w:val="24"/>
                <w:highlight w:val="none"/>
              </w:rPr>
              <w:t>hm</w:t>
            </w:r>
            <w:r>
              <w:rPr>
                <w:rFonts w:hint="default"/>
                <w:color w:val="auto"/>
                <w:sz w:val="24"/>
                <w:szCs w:val="24"/>
                <w:highlight w:val="none"/>
                <w:vertAlign w:val="superscript"/>
              </w:rPr>
              <w:t>2</w:t>
            </w:r>
            <w:r>
              <w:rPr>
                <w:rFonts w:hint="eastAsia"/>
                <w:color w:val="auto"/>
                <w:sz w:val="24"/>
                <w:szCs w:val="24"/>
                <w:highlight w:val="none"/>
              </w:rPr>
              <w:t>，</w:t>
            </w:r>
            <w:r>
              <w:rPr>
                <w:rFonts w:hint="eastAsia" w:cs="Times New Roman"/>
                <w:bCs/>
                <w:color w:val="auto"/>
                <w:sz w:val="24"/>
                <w:szCs w:val="24"/>
                <w:highlight w:val="none"/>
                <w:lang w:val="en-US" w:eastAsia="zh-CN"/>
              </w:rPr>
              <w:t>占项目区总用地面积的99.93%，</w:t>
            </w:r>
            <w:r>
              <w:rPr>
                <w:rFonts w:hint="default" w:ascii="Times New Roman" w:hAnsi="Times New Roman" w:cs="Times New Roman"/>
                <w:bCs/>
                <w:color w:val="auto"/>
                <w:sz w:val="24"/>
                <w:szCs w:val="24"/>
                <w:highlight w:val="none"/>
              </w:rPr>
              <w:t>永久用地将改变占地的原有土地性质，变为</w:t>
            </w:r>
            <w:r>
              <w:rPr>
                <w:rFonts w:hint="eastAsia" w:cs="Times New Roman"/>
                <w:bCs/>
                <w:color w:val="auto"/>
                <w:sz w:val="24"/>
                <w:szCs w:val="24"/>
                <w:highlight w:val="none"/>
                <w:lang w:val="en-US" w:eastAsia="zh-CN"/>
              </w:rPr>
              <w:t>建设用地</w:t>
            </w:r>
            <w:r>
              <w:rPr>
                <w:rFonts w:hint="default" w:ascii="Times New Roman" w:hAnsi="Times New Roman" w:cs="Times New Roman"/>
                <w:bCs/>
                <w:color w:val="auto"/>
                <w:sz w:val="24"/>
                <w:szCs w:val="24"/>
                <w:highlight w:val="none"/>
              </w:rPr>
              <w:t>，</w:t>
            </w:r>
            <w:r>
              <w:rPr>
                <w:rFonts w:hint="default"/>
                <w:color w:val="auto"/>
                <w:sz w:val="24"/>
                <w:szCs w:val="24"/>
                <w:highlight w:val="none"/>
              </w:rPr>
              <w:t>项目光伏区施工过程中，需要开挖桩基，将对占用范围内的</w:t>
            </w:r>
            <w:r>
              <w:rPr>
                <w:rFonts w:hint="eastAsia"/>
                <w:color w:val="auto"/>
                <w:kern w:val="0"/>
                <w:sz w:val="24"/>
                <w:szCs w:val="24"/>
                <w:highlight w:val="none"/>
                <w:lang w:val="en-US" w:eastAsia="zh-CN" w:bidi="ar"/>
              </w:rPr>
              <w:t>其他草地</w:t>
            </w:r>
            <w:r>
              <w:rPr>
                <w:rFonts w:hint="eastAsia"/>
                <w:color w:val="auto"/>
                <w:kern w:val="0"/>
                <w:sz w:val="24"/>
                <w:szCs w:val="24"/>
                <w:highlight w:val="none"/>
                <w:lang w:bidi="ar"/>
              </w:rPr>
              <w:t>、</w:t>
            </w:r>
            <w:r>
              <w:rPr>
                <w:rFonts w:hint="eastAsia"/>
                <w:color w:val="auto"/>
                <w:kern w:val="0"/>
                <w:sz w:val="24"/>
                <w:szCs w:val="24"/>
                <w:highlight w:val="none"/>
                <w:lang w:eastAsia="zh-CN" w:bidi="ar"/>
              </w:rPr>
              <w:t>其他林地</w:t>
            </w:r>
            <w:r>
              <w:rPr>
                <w:rFonts w:hint="eastAsia"/>
                <w:color w:val="auto"/>
                <w:kern w:val="0"/>
                <w:sz w:val="24"/>
                <w:szCs w:val="24"/>
                <w:highlight w:val="none"/>
                <w:lang w:val="en-US" w:eastAsia="zh-CN" w:bidi="ar"/>
              </w:rPr>
              <w:t>和</w:t>
            </w:r>
            <w:r>
              <w:rPr>
                <w:rFonts w:hint="eastAsia"/>
                <w:color w:val="auto"/>
                <w:kern w:val="0"/>
                <w:sz w:val="24"/>
                <w:szCs w:val="24"/>
                <w:highlight w:val="none"/>
                <w:lang w:eastAsia="zh-CN" w:bidi="ar"/>
              </w:rPr>
              <w:t>交通运输</w:t>
            </w:r>
            <w:r>
              <w:rPr>
                <w:rFonts w:hint="eastAsia"/>
                <w:color w:val="auto"/>
                <w:kern w:val="0"/>
                <w:sz w:val="24"/>
                <w:szCs w:val="24"/>
                <w:highlight w:val="none"/>
                <w:lang w:bidi="ar"/>
              </w:rPr>
              <w:t>道路</w:t>
            </w:r>
            <w:r>
              <w:rPr>
                <w:rFonts w:hint="default"/>
                <w:color w:val="auto"/>
                <w:sz w:val="24"/>
                <w:szCs w:val="24"/>
                <w:highlight w:val="none"/>
              </w:rPr>
              <w:t>等造成临时破坏影响，施工结束后除桩基等占地外，</w:t>
            </w:r>
            <w:r>
              <w:rPr>
                <w:rFonts w:hint="eastAsia"/>
                <w:color w:val="auto"/>
                <w:sz w:val="24"/>
                <w:szCs w:val="24"/>
                <w:highlight w:val="none"/>
                <w:lang w:eastAsia="zh-CN"/>
              </w:rPr>
              <w:t>其他</w:t>
            </w:r>
            <w:r>
              <w:rPr>
                <w:rFonts w:hint="default"/>
                <w:color w:val="auto"/>
                <w:sz w:val="24"/>
                <w:szCs w:val="24"/>
                <w:highlight w:val="none"/>
              </w:rPr>
              <w:t>区域根据用地性质进行植被恢复</w:t>
            </w:r>
            <w:r>
              <w:rPr>
                <w:rFonts w:hint="default" w:ascii="Times New Roman" w:hAnsi="Times New Roman" w:cs="Times New Roman"/>
                <w:bCs/>
                <w:color w:val="auto"/>
                <w:sz w:val="24"/>
                <w:szCs w:val="24"/>
                <w:highlight w:val="none"/>
              </w:rPr>
              <w:t>。根据现场实地勘察及查阅资料，项目用地不占用永久基本农田，对当地的农业生产影响较小。项目建成后在光伏发电系统之间的空地上、光伏板下等区域</w:t>
            </w:r>
            <w:r>
              <w:rPr>
                <w:rFonts w:hint="eastAsia" w:ascii="Times New Roman" w:hAnsi="Times New Roman" w:cs="Times New Roman"/>
                <w:bCs/>
                <w:color w:val="auto"/>
                <w:sz w:val="24"/>
                <w:szCs w:val="24"/>
                <w:highlight w:val="none"/>
                <w:lang w:val="en-US" w:eastAsia="zh-CN"/>
              </w:rPr>
              <w:t>进行林草植被恢复</w:t>
            </w:r>
            <w:r>
              <w:rPr>
                <w:rFonts w:hint="default" w:ascii="Times New Roman" w:hAnsi="Times New Roman" w:cs="Times New Roman"/>
                <w:bCs/>
                <w:color w:val="auto"/>
                <w:sz w:val="24"/>
                <w:szCs w:val="24"/>
                <w:highlight w:val="none"/>
              </w:rPr>
              <w:t>，采取上述措施后对土地利用的影响较小。</w:t>
            </w:r>
          </w:p>
          <w:p w14:paraId="4BA62486">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lang w:val="en-US" w:eastAsia="zh-CN"/>
              </w:rPr>
              <w:t>2</w:t>
            </w:r>
            <w:r>
              <w:rPr>
                <w:rFonts w:hint="eastAsia"/>
                <w:bCs/>
                <w:color w:val="auto"/>
                <w:sz w:val="24"/>
              </w:rPr>
              <w:t>）对植被和植物的影响分析</w:t>
            </w:r>
          </w:p>
          <w:p w14:paraId="1E0C0A82">
            <w:pPr>
              <w:keepNext w:val="0"/>
              <w:keepLines w:val="0"/>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szCs w:val="24"/>
              </w:rPr>
              <w:t>本</w:t>
            </w:r>
            <w:r>
              <w:rPr>
                <w:rFonts w:hint="eastAsia"/>
                <w:color w:val="auto"/>
                <w:sz w:val="24"/>
                <w:szCs w:val="24"/>
                <w:lang w:eastAsia="zh-CN"/>
              </w:rPr>
              <w:t>项目</w:t>
            </w:r>
            <w:r>
              <w:rPr>
                <w:rFonts w:hint="eastAsia"/>
                <w:color w:val="auto"/>
                <w:sz w:val="24"/>
                <w:szCs w:val="24"/>
              </w:rPr>
              <w:t>规划</w:t>
            </w:r>
            <w:r>
              <w:rPr>
                <w:rFonts w:hint="default"/>
                <w:color w:val="auto"/>
                <w:sz w:val="24"/>
                <w:szCs w:val="24"/>
              </w:rPr>
              <w:t>占地54.97hm</w:t>
            </w:r>
            <w:r>
              <w:rPr>
                <w:rFonts w:hint="default"/>
                <w:color w:val="auto"/>
                <w:sz w:val="24"/>
                <w:szCs w:val="24"/>
                <w:vertAlign w:val="superscript"/>
              </w:rPr>
              <w:t>2</w:t>
            </w:r>
            <w:r>
              <w:rPr>
                <w:rFonts w:hint="default"/>
                <w:color w:val="auto"/>
                <w:sz w:val="24"/>
                <w:szCs w:val="24"/>
              </w:rPr>
              <w:t>，</w:t>
            </w:r>
            <w:r>
              <w:rPr>
                <w:rFonts w:hint="default" w:ascii="Times New Roman" w:hAnsi="Times New Roman" w:eastAsia="宋体" w:cs="Times New Roman"/>
                <w:color w:val="auto"/>
                <w:sz w:val="24"/>
                <w:szCs w:val="24"/>
                <w:lang w:val="en-US" w:eastAsia="zh-CN"/>
              </w:rPr>
              <w:t>受本项目建设影响的植被主要为自然植被和人工植被两类，植被类型为自然植被主要为</w:t>
            </w:r>
            <w:r>
              <w:rPr>
                <w:rFonts w:hint="eastAsia" w:ascii="Times New Roman" w:hAnsi="Times New Roman" w:eastAsia="宋体" w:cs="Times New Roman"/>
                <w:bCs/>
                <w:color w:val="auto"/>
                <w:sz w:val="24"/>
                <w:szCs w:val="24"/>
                <w:highlight w:val="none"/>
                <w:vertAlign w:val="baseline"/>
                <w:lang w:val="en-US" w:eastAsia="zh-CN"/>
              </w:rPr>
              <w:t>暖性石灰岩灌丛</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bidi="ar"/>
              </w:rPr>
              <w:t>暖温性稀树灌木草丛</w:t>
            </w:r>
            <w:r>
              <w:rPr>
                <w:rFonts w:hint="default"/>
                <w:color w:val="auto"/>
                <w:sz w:val="24"/>
                <w:szCs w:val="24"/>
              </w:rPr>
              <w:t>（见表</w:t>
            </w:r>
            <w:bookmarkStart w:id="37" w:name="_Hlk94369808"/>
            <w:r>
              <w:rPr>
                <w:rFonts w:hint="eastAsia"/>
                <w:color w:val="auto"/>
                <w:sz w:val="24"/>
                <w:szCs w:val="24"/>
                <w:lang w:val="en-US" w:eastAsia="zh-CN"/>
              </w:rPr>
              <w:t>4</w:t>
            </w:r>
            <w:r>
              <w:rPr>
                <w:rFonts w:hint="default"/>
                <w:color w:val="auto"/>
                <w:sz w:val="24"/>
                <w:szCs w:val="24"/>
              </w:rPr>
              <w:t>-</w:t>
            </w:r>
            <w:bookmarkEnd w:id="37"/>
            <w:r>
              <w:rPr>
                <w:rFonts w:hint="eastAsia"/>
                <w:color w:val="auto"/>
                <w:sz w:val="24"/>
                <w:szCs w:val="24"/>
                <w:lang w:val="en-US" w:eastAsia="zh-CN"/>
              </w:rPr>
              <w:t>4</w:t>
            </w:r>
            <w:r>
              <w:rPr>
                <w:rFonts w:hint="default"/>
                <w:color w:val="auto"/>
                <w:sz w:val="24"/>
                <w:szCs w:val="24"/>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该植被类型为区域常见植被类型，受区域气候条件影响，该植被类型较为稳定，但较大程度</w:t>
            </w:r>
            <w:r>
              <w:rPr>
                <w:rFonts w:hint="eastAsia" w:cs="Times New Roman"/>
                <w:color w:val="auto"/>
                <w:sz w:val="24"/>
                <w:szCs w:val="24"/>
                <w:lang w:val="en-US" w:eastAsia="zh-CN"/>
              </w:rPr>
              <w:t>受</w:t>
            </w:r>
            <w:r>
              <w:rPr>
                <w:rFonts w:hint="default" w:ascii="Times New Roman" w:hAnsi="Times New Roman" w:eastAsia="宋体" w:cs="Times New Roman"/>
                <w:color w:val="auto"/>
                <w:sz w:val="24"/>
                <w:szCs w:val="24"/>
                <w:lang w:val="en-US" w:eastAsia="zh-CN"/>
              </w:rPr>
              <w:t>区域人为活动影响，也呈现明显的次生化。该植被类型在植物物种多样性等方面较森林植被低</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受季节变化影响较大，项目建设对该植被类型的占用不会对当地植被总体造成很大影响。</w:t>
            </w:r>
          </w:p>
          <w:p w14:paraId="5D54C0D6">
            <w:pPr>
              <w:keepNext w:val="0"/>
              <w:keepLines w:val="0"/>
              <w:suppressLineNumbers w:val="0"/>
              <w:spacing w:before="0" w:beforeAutospacing="0" w:after="0" w:afterAutospacing="0"/>
              <w:ind w:left="0" w:right="0" w:firstLine="482"/>
              <w:jc w:val="center"/>
              <w:rPr>
                <w:rFonts w:hint="default"/>
                <w:b/>
                <w:bCs/>
                <w:color w:val="auto"/>
                <w:sz w:val="21"/>
                <w:szCs w:val="21"/>
                <w:highlight w:val="none"/>
              </w:rPr>
            </w:pPr>
            <w:r>
              <w:rPr>
                <w:rFonts w:hint="eastAsia"/>
                <w:b/>
                <w:bCs/>
                <w:color w:val="auto"/>
                <w:sz w:val="21"/>
                <w:szCs w:val="21"/>
                <w:highlight w:val="none"/>
              </w:rPr>
              <w:t>表</w:t>
            </w:r>
            <w:r>
              <w:rPr>
                <w:rFonts w:hint="eastAsia"/>
                <w:b/>
                <w:bCs/>
                <w:color w:val="auto"/>
                <w:sz w:val="21"/>
                <w:szCs w:val="21"/>
                <w:highlight w:val="none"/>
                <w:lang w:val="en-US" w:eastAsia="zh-CN"/>
              </w:rPr>
              <w:t>4</w:t>
            </w:r>
            <w:r>
              <w:rPr>
                <w:rFonts w:hint="default"/>
                <w:b/>
                <w:bCs/>
                <w:color w:val="auto"/>
                <w:sz w:val="21"/>
                <w:szCs w:val="21"/>
                <w:highlight w:val="none"/>
              </w:rPr>
              <w:t>-</w:t>
            </w:r>
            <w:r>
              <w:rPr>
                <w:rFonts w:hint="eastAsia"/>
                <w:b/>
                <w:bCs/>
                <w:color w:val="auto"/>
                <w:sz w:val="21"/>
                <w:szCs w:val="21"/>
                <w:highlight w:val="none"/>
                <w:lang w:val="en-US" w:eastAsia="zh-CN"/>
              </w:rPr>
              <w:t>4</w:t>
            </w:r>
            <w:r>
              <w:rPr>
                <w:rFonts w:hint="default"/>
                <w:b/>
                <w:bCs/>
                <w:color w:val="auto"/>
                <w:sz w:val="21"/>
                <w:szCs w:val="21"/>
                <w:highlight w:val="none"/>
              </w:rPr>
              <w:t xml:space="preserve">  </w:t>
            </w:r>
            <w:r>
              <w:rPr>
                <w:rFonts w:hint="eastAsia"/>
                <w:b/>
                <w:bCs/>
                <w:color w:val="auto"/>
                <w:sz w:val="21"/>
                <w:szCs w:val="21"/>
                <w:highlight w:val="none"/>
              </w:rPr>
              <w:t>工程占地影响植被类型统计表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2222"/>
              <w:gridCol w:w="1635"/>
              <w:gridCol w:w="1611"/>
              <w:gridCol w:w="1285"/>
            </w:tblGrid>
            <w:tr w14:paraId="5572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44" w:type="pct"/>
                  <w:gridSpan w:val="2"/>
                  <w:noWrap/>
                  <w:vAlign w:val="center"/>
                </w:tcPr>
                <w:p w14:paraId="44A35346">
                  <w:pPr>
                    <w:keepNext w:val="0"/>
                    <w:keepLines w:val="0"/>
                    <w:widowControl/>
                    <w:suppressLineNumbers w:val="0"/>
                    <w:spacing w:before="0" w:beforeAutospacing="0" w:after="0" w:afterAutospacing="0"/>
                    <w:ind w:left="0" w:right="0" w:firstLine="442"/>
                    <w:jc w:val="center"/>
                    <w:rPr>
                      <w:rFonts w:hint="default"/>
                      <w:b/>
                      <w:bCs/>
                      <w:color w:val="auto"/>
                      <w:kern w:val="0"/>
                      <w:szCs w:val="21"/>
                    </w:rPr>
                  </w:pPr>
                  <w:r>
                    <w:rPr>
                      <w:rFonts w:hint="default"/>
                      <w:b/>
                      <w:bCs/>
                      <w:color w:val="auto"/>
                      <w:kern w:val="0"/>
                      <w:szCs w:val="21"/>
                    </w:rPr>
                    <w:t>评价区植被类型</w:t>
                  </w:r>
                </w:p>
              </w:tc>
              <w:tc>
                <w:tcPr>
                  <w:tcW w:w="1030" w:type="pct"/>
                  <w:noWrap/>
                  <w:vAlign w:val="center"/>
                </w:tcPr>
                <w:p w14:paraId="3EA28332">
                  <w:pPr>
                    <w:keepNext w:val="0"/>
                    <w:keepLines w:val="0"/>
                    <w:widowControl/>
                    <w:suppressLineNumbers w:val="0"/>
                    <w:spacing w:before="0" w:beforeAutospacing="0" w:after="0" w:afterAutospacing="0"/>
                    <w:ind w:left="0" w:right="0"/>
                    <w:jc w:val="center"/>
                    <w:rPr>
                      <w:rFonts w:hint="default"/>
                      <w:b/>
                      <w:bCs/>
                      <w:color w:val="auto"/>
                      <w:kern w:val="0"/>
                      <w:szCs w:val="21"/>
                    </w:rPr>
                  </w:pPr>
                  <w:r>
                    <w:rPr>
                      <w:rFonts w:hint="default"/>
                      <w:b/>
                      <w:bCs/>
                      <w:color w:val="auto"/>
                      <w:kern w:val="0"/>
                      <w:szCs w:val="21"/>
                    </w:rPr>
                    <w:t>评价区面积（hm</w:t>
                  </w:r>
                  <w:r>
                    <w:rPr>
                      <w:rFonts w:hint="default"/>
                      <w:b/>
                      <w:bCs/>
                      <w:color w:val="auto"/>
                      <w:kern w:val="0"/>
                      <w:szCs w:val="21"/>
                      <w:vertAlign w:val="superscript"/>
                    </w:rPr>
                    <w:t>2</w:t>
                  </w:r>
                  <w:r>
                    <w:rPr>
                      <w:rFonts w:hint="default"/>
                      <w:b/>
                      <w:bCs/>
                      <w:color w:val="auto"/>
                      <w:kern w:val="0"/>
                      <w:szCs w:val="21"/>
                    </w:rPr>
                    <w:t>）</w:t>
                  </w:r>
                </w:p>
              </w:tc>
              <w:tc>
                <w:tcPr>
                  <w:tcW w:w="1015" w:type="pct"/>
                  <w:noWrap w:val="0"/>
                  <w:vAlign w:val="center"/>
                </w:tcPr>
                <w:p w14:paraId="0ADF878A">
                  <w:pPr>
                    <w:keepNext w:val="0"/>
                    <w:keepLines w:val="0"/>
                    <w:widowControl/>
                    <w:suppressLineNumbers w:val="0"/>
                    <w:spacing w:before="0" w:beforeAutospacing="0" w:after="0" w:afterAutospacing="0"/>
                    <w:ind w:left="0" w:right="0"/>
                    <w:jc w:val="center"/>
                    <w:rPr>
                      <w:rFonts w:hint="default"/>
                      <w:b/>
                      <w:bCs/>
                      <w:color w:val="auto"/>
                      <w:kern w:val="0"/>
                      <w:szCs w:val="21"/>
                    </w:rPr>
                  </w:pPr>
                  <w:r>
                    <w:rPr>
                      <w:rFonts w:hint="default"/>
                      <w:b/>
                      <w:bCs/>
                      <w:color w:val="auto"/>
                      <w:kern w:val="0"/>
                      <w:szCs w:val="21"/>
                    </w:rPr>
                    <w:t>工程占地面积（hm</w:t>
                  </w:r>
                  <w:r>
                    <w:rPr>
                      <w:rFonts w:hint="default"/>
                      <w:b/>
                      <w:bCs/>
                      <w:color w:val="auto"/>
                      <w:kern w:val="0"/>
                      <w:szCs w:val="21"/>
                      <w:vertAlign w:val="superscript"/>
                    </w:rPr>
                    <w:t>2</w:t>
                  </w:r>
                  <w:r>
                    <w:rPr>
                      <w:rFonts w:hint="default"/>
                      <w:b/>
                      <w:bCs/>
                      <w:color w:val="auto"/>
                      <w:kern w:val="0"/>
                      <w:szCs w:val="21"/>
                    </w:rPr>
                    <w:t>）</w:t>
                  </w:r>
                </w:p>
              </w:tc>
              <w:tc>
                <w:tcPr>
                  <w:tcW w:w="809" w:type="pct"/>
                  <w:noWrap/>
                  <w:vAlign w:val="center"/>
                </w:tcPr>
                <w:p w14:paraId="05D95A69">
                  <w:pPr>
                    <w:keepNext w:val="0"/>
                    <w:keepLines w:val="0"/>
                    <w:widowControl/>
                    <w:suppressLineNumbers w:val="0"/>
                    <w:spacing w:before="0" w:beforeAutospacing="0" w:after="0" w:afterAutospacing="0"/>
                    <w:ind w:left="0" w:right="0"/>
                    <w:jc w:val="center"/>
                    <w:rPr>
                      <w:rFonts w:hint="default"/>
                      <w:b/>
                      <w:bCs/>
                      <w:color w:val="auto"/>
                      <w:kern w:val="0"/>
                      <w:szCs w:val="21"/>
                    </w:rPr>
                  </w:pPr>
                  <w:r>
                    <w:rPr>
                      <w:rFonts w:hint="default"/>
                      <w:b/>
                      <w:bCs/>
                      <w:color w:val="auto"/>
                      <w:kern w:val="0"/>
                      <w:szCs w:val="21"/>
                    </w:rPr>
                    <w:t>工程占地比例（%）</w:t>
                  </w:r>
                </w:p>
              </w:tc>
            </w:tr>
            <w:tr w14:paraId="2195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restart"/>
                  <w:noWrap/>
                  <w:vAlign w:val="center"/>
                </w:tcPr>
                <w:p w14:paraId="28A22D0E">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自然植被</w:t>
                  </w:r>
                </w:p>
              </w:tc>
              <w:tc>
                <w:tcPr>
                  <w:tcW w:w="1400" w:type="pct"/>
                  <w:shd w:val="clear" w:color="auto" w:fill="auto"/>
                  <w:noWrap/>
                  <w:vAlign w:val="center"/>
                </w:tcPr>
                <w:p w14:paraId="1073257F">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桤木</w:t>
                  </w:r>
                  <w:r>
                    <w:rPr>
                      <w:rFonts w:hint="default" w:ascii="Times New Roman" w:hAnsi="Times New Roman" w:eastAsia="宋体" w:cs="Times New Roman"/>
                      <w:color w:val="auto"/>
                      <w:kern w:val="0"/>
                      <w:sz w:val="21"/>
                      <w:szCs w:val="21"/>
                      <w:highlight w:val="none"/>
                      <w:lang w:val="en-US" w:eastAsia="zh-CN" w:bidi="ar"/>
                    </w:rPr>
                    <w:t>林</w:t>
                  </w:r>
                </w:p>
              </w:tc>
              <w:tc>
                <w:tcPr>
                  <w:tcW w:w="1030" w:type="pct"/>
                  <w:shd w:val="clear" w:color="auto" w:fill="auto"/>
                  <w:noWrap/>
                  <w:vAlign w:val="center"/>
                </w:tcPr>
                <w:p w14:paraId="69510C5B">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49.52</w:t>
                  </w:r>
                </w:p>
              </w:tc>
              <w:tc>
                <w:tcPr>
                  <w:tcW w:w="1015" w:type="pct"/>
                  <w:noWrap w:val="0"/>
                  <w:vAlign w:val="bottom"/>
                </w:tcPr>
                <w:p w14:paraId="2F29390F">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center"/>
                </w:tcPr>
                <w:p w14:paraId="19FAE8FC">
                  <w:pPr>
                    <w:keepNext w:val="0"/>
                    <w:keepLines w:val="0"/>
                    <w:widowControl/>
                    <w:suppressLineNumbers w:val="0"/>
                    <w:spacing w:before="0" w:beforeAutospacing="0" w:after="0" w:afterAutospacing="0"/>
                    <w:ind w:left="0" w:right="0"/>
                    <w:jc w:val="center"/>
                    <w:rPr>
                      <w:rFonts w:hint="eastAsia"/>
                      <w:color w:val="auto"/>
                      <w:szCs w:val="21"/>
                      <w:lang w:val="en-US" w:eastAsia="zh-CN"/>
                    </w:rPr>
                  </w:pPr>
                </w:p>
              </w:tc>
            </w:tr>
            <w:tr w14:paraId="428C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ign w:val="center"/>
                </w:tcPr>
                <w:p w14:paraId="175A69F6">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400" w:type="pct"/>
                  <w:shd w:val="clear" w:color="auto" w:fill="auto"/>
                  <w:noWrap/>
                  <w:vAlign w:val="center"/>
                </w:tcPr>
                <w:p w14:paraId="4F52CEE7">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cs="Times New Roman"/>
                      <w:color w:val="auto"/>
                      <w:kern w:val="0"/>
                      <w:sz w:val="21"/>
                      <w:szCs w:val="21"/>
                      <w:highlight w:val="none"/>
                      <w:lang w:val="en-US" w:eastAsia="zh-CN" w:bidi="ar"/>
                    </w:rPr>
                    <w:t>落叶栎林</w:t>
                  </w:r>
                </w:p>
              </w:tc>
              <w:tc>
                <w:tcPr>
                  <w:tcW w:w="1030" w:type="pct"/>
                  <w:shd w:val="clear" w:color="auto" w:fill="auto"/>
                  <w:noWrap/>
                  <w:vAlign w:val="center"/>
                </w:tcPr>
                <w:p w14:paraId="0ABF5DCC">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115.56</w:t>
                  </w:r>
                </w:p>
              </w:tc>
              <w:tc>
                <w:tcPr>
                  <w:tcW w:w="1015" w:type="pct"/>
                  <w:noWrap w:val="0"/>
                  <w:vAlign w:val="bottom"/>
                </w:tcPr>
                <w:p w14:paraId="5AD7FCB4">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center"/>
                </w:tcPr>
                <w:p w14:paraId="7730C602">
                  <w:pPr>
                    <w:keepNext w:val="0"/>
                    <w:keepLines w:val="0"/>
                    <w:widowControl/>
                    <w:suppressLineNumbers w:val="0"/>
                    <w:spacing w:before="0" w:beforeAutospacing="0" w:after="0" w:afterAutospacing="0"/>
                    <w:ind w:left="0" w:right="0"/>
                    <w:jc w:val="center"/>
                    <w:rPr>
                      <w:rFonts w:hint="eastAsia"/>
                      <w:color w:val="auto"/>
                      <w:szCs w:val="21"/>
                      <w:lang w:val="en-US" w:eastAsia="zh-CN"/>
                    </w:rPr>
                  </w:pPr>
                </w:p>
              </w:tc>
            </w:tr>
            <w:tr w14:paraId="5804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ign w:val="center"/>
                </w:tcPr>
                <w:p w14:paraId="32CEE33F">
                  <w:pPr>
                    <w:keepNext w:val="0"/>
                    <w:keepLines w:val="0"/>
                    <w:widowControl/>
                    <w:suppressLineNumbers w:val="0"/>
                    <w:spacing w:before="0" w:beforeAutospacing="0" w:after="0" w:afterAutospacing="0"/>
                    <w:ind w:left="0" w:right="0"/>
                    <w:jc w:val="center"/>
                    <w:rPr>
                      <w:rFonts w:hint="default"/>
                      <w:color w:val="auto"/>
                      <w:kern w:val="0"/>
                      <w:szCs w:val="21"/>
                    </w:rPr>
                  </w:pPr>
                </w:p>
              </w:tc>
              <w:tc>
                <w:tcPr>
                  <w:tcW w:w="1400" w:type="pct"/>
                  <w:noWrap/>
                  <w:vAlign w:val="center"/>
                </w:tcPr>
                <w:p w14:paraId="2B8D696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暖温性针叶林</w:t>
                  </w:r>
                </w:p>
              </w:tc>
              <w:tc>
                <w:tcPr>
                  <w:tcW w:w="1030" w:type="pct"/>
                  <w:shd w:val="clear" w:color="auto" w:fill="auto"/>
                  <w:noWrap/>
                  <w:vAlign w:val="center"/>
                </w:tcPr>
                <w:p w14:paraId="67BC6D09">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79.72</w:t>
                  </w:r>
                </w:p>
              </w:tc>
              <w:tc>
                <w:tcPr>
                  <w:tcW w:w="1015" w:type="pct"/>
                  <w:noWrap w:val="0"/>
                  <w:vAlign w:val="bottom"/>
                </w:tcPr>
                <w:p w14:paraId="19FF4C26">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center"/>
                </w:tcPr>
                <w:p w14:paraId="053A0541">
                  <w:pPr>
                    <w:keepNext w:val="0"/>
                    <w:keepLines w:val="0"/>
                    <w:widowControl/>
                    <w:suppressLineNumbers w:val="0"/>
                    <w:spacing w:before="0" w:beforeAutospacing="0" w:after="0" w:afterAutospacing="0"/>
                    <w:ind w:left="0" w:right="0"/>
                    <w:jc w:val="center"/>
                    <w:rPr>
                      <w:rFonts w:hint="eastAsia"/>
                      <w:color w:val="auto"/>
                      <w:szCs w:val="21"/>
                      <w:lang w:val="en-US" w:eastAsia="zh-CN"/>
                    </w:rPr>
                  </w:pPr>
                </w:p>
              </w:tc>
            </w:tr>
            <w:tr w14:paraId="09D4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pct"/>
                  <w:vMerge w:val="continue"/>
                  <w:noWrap w:val="0"/>
                  <w:vAlign w:val="center"/>
                </w:tcPr>
                <w:p w14:paraId="12E4CEC4">
                  <w:pPr>
                    <w:keepNext w:val="0"/>
                    <w:keepLines w:val="0"/>
                    <w:widowControl/>
                    <w:suppressLineNumbers w:val="0"/>
                    <w:spacing w:before="0" w:beforeAutospacing="0" w:after="0" w:afterAutospacing="0"/>
                    <w:ind w:left="0" w:right="0"/>
                    <w:jc w:val="left"/>
                    <w:rPr>
                      <w:rFonts w:hint="default"/>
                      <w:color w:val="auto"/>
                      <w:kern w:val="0"/>
                      <w:szCs w:val="21"/>
                    </w:rPr>
                  </w:pPr>
                </w:p>
              </w:tc>
              <w:tc>
                <w:tcPr>
                  <w:tcW w:w="1400" w:type="pct"/>
                  <w:noWrap/>
                  <w:vAlign w:val="center"/>
                </w:tcPr>
                <w:p w14:paraId="4D8407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Times New Roman" w:hAnsi="Times New Roman" w:eastAsia="宋体" w:cs="Times New Roman"/>
                      <w:bCs/>
                      <w:color w:val="auto"/>
                      <w:sz w:val="21"/>
                      <w:szCs w:val="21"/>
                      <w:vertAlign w:val="baseline"/>
                      <w:lang w:val="en-US" w:eastAsia="zh-CN"/>
                    </w:rPr>
                    <w:t>暖性石灰岩灌丛</w:t>
                  </w:r>
                </w:p>
              </w:tc>
              <w:tc>
                <w:tcPr>
                  <w:tcW w:w="1030" w:type="pct"/>
                  <w:shd w:val="clear" w:color="auto" w:fill="auto"/>
                  <w:noWrap/>
                  <w:vAlign w:val="center"/>
                </w:tcPr>
                <w:p w14:paraId="61E40666">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78.78</w:t>
                  </w:r>
                </w:p>
              </w:tc>
              <w:tc>
                <w:tcPr>
                  <w:tcW w:w="1015" w:type="pct"/>
                  <w:noWrap w:val="0"/>
                  <w:vAlign w:val="bottom"/>
                </w:tcPr>
                <w:p w14:paraId="6E02DF18">
                  <w:pPr>
                    <w:keepNext w:val="0"/>
                    <w:keepLines w:val="0"/>
                    <w:widowControl/>
                    <w:suppressLineNumbers w:val="0"/>
                    <w:spacing w:before="0" w:beforeAutospacing="0" w:after="0" w:afterAutospacing="0"/>
                    <w:ind w:left="0" w:right="0"/>
                    <w:jc w:val="center"/>
                    <w:rPr>
                      <w:rFonts w:hint="default"/>
                      <w:color w:val="auto"/>
                      <w:szCs w:val="21"/>
                      <w:lang w:val="en-US"/>
                    </w:rPr>
                  </w:pPr>
                  <w:r>
                    <w:rPr>
                      <w:rFonts w:hint="default" w:eastAsia="宋体" w:cs="Times New Roman"/>
                      <w:color w:val="auto"/>
                      <w:sz w:val="21"/>
                      <w:szCs w:val="21"/>
                      <w:lang w:val="en-US" w:eastAsia="zh-CN"/>
                    </w:rPr>
                    <w:t>18.3</w:t>
                  </w:r>
                  <w:r>
                    <w:rPr>
                      <w:rFonts w:hint="eastAsia" w:eastAsia="宋体" w:cs="Times New Roman"/>
                      <w:color w:val="auto"/>
                      <w:sz w:val="21"/>
                      <w:szCs w:val="21"/>
                      <w:lang w:val="en-US" w:eastAsia="zh-CN"/>
                    </w:rPr>
                    <w:t>8</w:t>
                  </w:r>
                </w:p>
              </w:tc>
              <w:tc>
                <w:tcPr>
                  <w:tcW w:w="809" w:type="pct"/>
                  <w:noWrap/>
                  <w:vAlign w:val="bottom"/>
                </w:tcPr>
                <w:p w14:paraId="324A8699">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33.44</w:t>
                  </w:r>
                </w:p>
              </w:tc>
            </w:tr>
            <w:tr w14:paraId="5712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3666AB66">
                  <w:pPr>
                    <w:keepNext w:val="0"/>
                    <w:keepLines w:val="0"/>
                    <w:widowControl/>
                    <w:suppressLineNumbers w:val="0"/>
                    <w:spacing w:before="0" w:beforeAutospacing="0" w:after="0" w:afterAutospacing="0"/>
                    <w:ind w:left="0" w:right="0"/>
                    <w:jc w:val="left"/>
                    <w:rPr>
                      <w:rFonts w:hint="default"/>
                      <w:color w:val="auto"/>
                      <w:kern w:val="0"/>
                      <w:szCs w:val="21"/>
                    </w:rPr>
                  </w:pPr>
                </w:p>
              </w:tc>
              <w:tc>
                <w:tcPr>
                  <w:tcW w:w="1400" w:type="pct"/>
                  <w:noWrap/>
                  <w:vAlign w:val="center"/>
                </w:tcPr>
                <w:p w14:paraId="79B298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暖温性稀树灌木草丛</w:t>
                  </w:r>
                </w:p>
              </w:tc>
              <w:tc>
                <w:tcPr>
                  <w:tcW w:w="1030" w:type="pct"/>
                  <w:shd w:val="clear" w:color="auto" w:fill="auto"/>
                  <w:noWrap/>
                  <w:vAlign w:val="center"/>
                </w:tcPr>
                <w:p w14:paraId="54021552">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94.24</w:t>
                  </w:r>
                </w:p>
              </w:tc>
              <w:tc>
                <w:tcPr>
                  <w:tcW w:w="1015" w:type="pct"/>
                  <w:noWrap w:val="0"/>
                  <w:vAlign w:val="center"/>
                </w:tcPr>
                <w:p w14:paraId="2CD2F2E3">
                  <w:pPr>
                    <w:keepNext w:val="0"/>
                    <w:keepLines w:val="0"/>
                    <w:widowControl/>
                    <w:suppressLineNumbers w:val="0"/>
                    <w:spacing w:before="0" w:beforeAutospacing="0" w:after="0" w:afterAutospacing="0"/>
                    <w:ind w:left="0" w:right="0"/>
                    <w:jc w:val="center"/>
                    <w:rPr>
                      <w:rFonts w:hint="default" w:eastAsia="宋体"/>
                      <w:color w:val="auto"/>
                      <w:szCs w:val="21"/>
                      <w:lang w:val="en-US" w:eastAsia="zh-CN"/>
                    </w:rPr>
                  </w:pPr>
                  <w:r>
                    <w:rPr>
                      <w:rFonts w:hint="eastAsia" w:eastAsia="宋体" w:cs="Times New Roman"/>
                      <w:color w:val="auto"/>
                      <w:sz w:val="21"/>
                      <w:szCs w:val="21"/>
                      <w:lang w:val="en-US" w:eastAsia="zh-CN"/>
                    </w:rPr>
                    <w:t>34.61</w:t>
                  </w:r>
                </w:p>
              </w:tc>
              <w:tc>
                <w:tcPr>
                  <w:tcW w:w="809" w:type="pct"/>
                  <w:noWrap/>
                  <w:vAlign w:val="bottom"/>
                </w:tcPr>
                <w:p w14:paraId="3F224516">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62.96</w:t>
                  </w:r>
                </w:p>
              </w:tc>
            </w:tr>
            <w:tr w14:paraId="1865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noWrap/>
                  <w:vAlign w:val="center"/>
                </w:tcPr>
                <w:p w14:paraId="59883128">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人工植被</w:t>
                  </w:r>
                </w:p>
              </w:tc>
              <w:tc>
                <w:tcPr>
                  <w:tcW w:w="1400" w:type="pct"/>
                  <w:shd w:val="clear" w:color="auto" w:fill="auto"/>
                  <w:noWrap/>
                  <w:vAlign w:val="center"/>
                </w:tcPr>
                <w:p w14:paraId="2B8498C2">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0"/>
                      <w:szCs w:val="20"/>
                      <w:u w:val="none"/>
                      <w:lang w:val="en-US" w:eastAsia="zh-CN" w:bidi="ar"/>
                    </w:rPr>
                    <w:t>旱地</w:t>
                  </w:r>
                </w:p>
              </w:tc>
              <w:tc>
                <w:tcPr>
                  <w:tcW w:w="1030" w:type="pct"/>
                  <w:shd w:val="clear" w:color="auto" w:fill="auto"/>
                  <w:noWrap/>
                  <w:vAlign w:val="center"/>
                </w:tcPr>
                <w:p w14:paraId="15AE6CB4">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11.59</w:t>
                  </w:r>
                </w:p>
              </w:tc>
              <w:tc>
                <w:tcPr>
                  <w:tcW w:w="1015" w:type="pct"/>
                  <w:noWrap w:val="0"/>
                  <w:vAlign w:val="bottom"/>
                </w:tcPr>
                <w:p w14:paraId="40D56C75">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bottom"/>
                </w:tcPr>
                <w:p w14:paraId="508D84FA">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0"/>
                      <w:sz w:val="21"/>
                      <w:szCs w:val="21"/>
                      <w:u w:val="none"/>
                      <w:lang w:val="en-US" w:eastAsia="zh-CN" w:bidi="ar"/>
                    </w:rPr>
                  </w:pPr>
                </w:p>
              </w:tc>
            </w:tr>
            <w:tr w14:paraId="1323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restart"/>
                  <w:noWrap/>
                  <w:vAlign w:val="center"/>
                </w:tcPr>
                <w:p w14:paraId="6DF06424">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非植被类型</w:t>
                  </w:r>
                </w:p>
              </w:tc>
              <w:tc>
                <w:tcPr>
                  <w:tcW w:w="1400" w:type="pct"/>
                  <w:shd w:val="clear" w:color="auto" w:fill="auto"/>
                  <w:noWrap/>
                  <w:vAlign w:val="center"/>
                </w:tcPr>
                <w:p w14:paraId="6CFCAF8B">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建设用地</w:t>
                  </w:r>
                </w:p>
              </w:tc>
              <w:tc>
                <w:tcPr>
                  <w:tcW w:w="1030" w:type="pct"/>
                  <w:shd w:val="clear" w:color="auto" w:fill="auto"/>
                  <w:noWrap/>
                  <w:vAlign w:val="bottom"/>
                </w:tcPr>
                <w:p w14:paraId="02FBCD02">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8.98</w:t>
                  </w:r>
                </w:p>
              </w:tc>
              <w:tc>
                <w:tcPr>
                  <w:tcW w:w="1015" w:type="pct"/>
                  <w:noWrap w:val="0"/>
                  <w:vAlign w:val="bottom"/>
                </w:tcPr>
                <w:p w14:paraId="69ABC75C">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bottom"/>
                </w:tcPr>
                <w:p w14:paraId="0ADE7C30">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0"/>
                      <w:sz w:val="21"/>
                      <w:szCs w:val="21"/>
                      <w:u w:val="none"/>
                      <w:lang w:val="en-US" w:eastAsia="zh-CN" w:bidi="ar"/>
                    </w:rPr>
                  </w:pPr>
                </w:p>
              </w:tc>
            </w:tr>
            <w:tr w14:paraId="432F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5DA27F08">
                  <w:pPr>
                    <w:keepNext w:val="0"/>
                    <w:keepLines w:val="0"/>
                    <w:widowControl/>
                    <w:suppressLineNumbers w:val="0"/>
                    <w:spacing w:before="0" w:beforeAutospacing="0" w:after="0" w:afterAutospacing="0"/>
                    <w:ind w:left="0" w:right="0"/>
                    <w:jc w:val="left"/>
                    <w:rPr>
                      <w:rFonts w:hint="default"/>
                      <w:color w:val="auto"/>
                      <w:kern w:val="0"/>
                      <w:szCs w:val="21"/>
                    </w:rPr>
                  </w:pPr>
                </w:p>
              </w:tc>
              <w:tc>
                <w:tcPr>
                  <w:tcW w:w="1400" w:type="pct"/>
                  <w:shd w:val="clear" w:color="auto" w:fill="auto"/>
                  <w:noWrap/>
                  <w:vAlign w:val="center"/>
                </w:tcPr>
                <w:p w14:paraId="28D1766E">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其他用地</w:t>
                  </w:r>
                </w:p>
              </w:tc>
              <w:tc>
                <w:tcPr>
                  <w:tcW w:w="1030" w:type="pct"/>
                  <w:shd w:val="clear" w:color="auto" w:fill="auto"/>
                  <w:noWrap/>
                  <w:vAlign w:val="bottom"/>
                </w:tcPr>
                <w:p w14:paraId="70C42C0D">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7.14</w:t>
                  </w:r>
                </w:p>
              </w:tc>
              <w:tc>
                <w:tcPr>
                  <w:tcW w:w="1015" w:type="pct"/>
                  <w:noWrap w:val="0"/>
                  <w:vAlign w:val="bottom"/>
                </w:tcPr>
                <w:p w14:paraId="41F78FA9">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bottom"/>
                </w:tcPr>
                <w:p w14:paraId="46A0CDAE">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auto"/>
                      <w:kern w:val="0"/>
                      <w:sz w:val="21"/>
                      <w:szCs w:val="21"/>
                      <w:u w:val="none"/>
                      <w:lang w:val="en-US" w:eastAsia="zh-CN" w:bidi="ar"/>
                    </w:rPr>
                  </w:pPr>
                </w:p>
              </w:tc>
            </w:tr>
            <w:tr w14:paraId="57AC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0940AC69">
                  <w:pPr>
                    <w:keepNext w:val="0"/>
                    <w:keepLines w:val="0"/>
                    <w:widowControl/>
                    <w:suppressLineNumbers w:val="0"/>
                    <w:spacing w:before="0" w:beforeAutospacing="0" w:after="0" w:afterAutospacing="0"/>
                    <w:ind w:left="0" w:right="0"/>
                    <w:jc w:val="left"/>
                    <w:rPr>
                      <w:rFonts w:hint="default"/>
                      <w:color w:val="auto"/>
                      <w:kern w:val="0"/>
                      <w:szCs w:val="21"/>
                    </w:rPr>
                  </w:pPr>
                </w:p>
              </w:tc>
              <w:tc>
                <w:tcPr>
                  <w:tcW w:w="1400" w:type="pct"/>
                  <w:shd w:val="clear" w:color="auto" w:fill="auto"/>
                  <w:noWrap/>
                  <w:vAlign w:val="center"/>
                </w:tcPr>
                <w:p w14:paraId="7078A67A">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交通运输用地</w:t>
                  </w:r>
                </w:p>
              </w:tc>
              <w:tc>
                <w:tcPr>
                  <w:tcW w:w="1030" w:type="pct"/>
                  <w:shd w:val="clear" w:color="auto" w:fill="auto"/>
                  <w:noWrap/>
                  <w:vAlign w:val="bottom"/>
                </w:tcPr>
                <w:p w14:paraId="7F01F600">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1015" w:type="pct"/>
                  <w:noWrap w:val="0"/>
                  <w:vAlign w:val="bottom"/>
                </w:tcPr>
                <w:p w14:paraId="1DE708EB">
                  <w:pPr>
                    <w:keepNext w:val="0"/>
                    <w:keepLines w:val="0"/>
                    <w:widowControl/>
                    <w:suppressLineNumbers w:val="0"/>
                    <w:spacing w:before="0" w:beforeAutospacing="0" w:after="0" w:afterAutospacing="0"/>
                    <w:ind w:left="0" w:right="0"/>
                    <w:jc w:val="center"/>
                    <w:rPr>
                      <w:rFonts w:hint="default"/>
                      <w:color w:val="auto"/>
                      <w:szCs w:val="21"/>
                    </w:rPr>
                  </w:pPr>
                  <w:r>
                    <w:rPr>
                      <w:rFonts w:hint="eastAsia" w:eastAsia="宋体" w:cs="Times New Roman"/>
                      <w:color w:val="auto"/>
                      <w:sz w:val="21"/>
                      <w:szCs w:val="21"/>
                      <w:lang w:val="en-US" w:eastAsia="zh-CN"/>
                    </w:rPr>
                    <w:t>1.98</w:t>
                  </w:r>
                </w:p>
              </w:tc>
              <w:tc>
                <w:tcPr>
                  <w:tcW w:w="809" w:type="pct"/>
                  <w:noWrap/>
                  <w:vAlign w:val="bottom"/>
                </w:tcPr>
                <w:p w14:paraId="2833720D">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3.60</w:t>
                  </w:r>
                </w:p>
              </w:tc>
            </w:tr>
            <w:tr w14:paraId="385F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6D0BEB6C">
                  <w:pPr>
                    <w:keepNext w:val="0"/>
                    <w:keepLines w:val="0"/>
                    <w:widowControl/>
                    <w:suppressLineNumbers w:val="0"/>
                    <w:spacing w:before="0" w:beforeAutospacing="0" w:after="0" w:afterAutospacing="0"/>
                    <w:ind w:left="0" w:right="0"/>
                    <w:jc w:val="left"/>
                    <w:rPr>
                      <w:rFonts w:hint="default"/>
                      <w:color w:val="auto"/>
                      <w:kern w:val="0"/>
                      <w:szCs w:val="21"/>
                    </w:rPr>
                  </w:pPr>
                </w:p>
              </w:tc>
              <w:tc>
                <w:tcPr>
                  <w:tcW w:w="1400" w:type="pct"/>
                  <w:shd w:val="clear" w:color="auto" w:fill="auto"/>
                  <w:noWrap/>
                  <w:vAlign w:val="center"/>
                </w:tcPr>
                <w:p w14:paraId="5BA71A92">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水域</w:t>
                  </w:r>
                </w:p>
              </w:tc>
              <w:tc>
                <w:tcPr>
                  <w:tcW w:w="1030" w:type="pct"/>
                  <w:shd w:val="clear" w:color="auto" w:fill="auto"/>
                  <w:noWrap/>
                  <w:vAlign w:val="bottom"/>
                </w:tcPr>
                <w:p w14:paraId="144EB10F">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015" w:type="pct"/>
                  <w:noWrap w:val="0"/>
                  <w:vAlign w:val="bottom"/>
                </w:tcPr>
                <w:p w14:paraId="44AE518B">
                  <w:pPr>
                    <w:keepNext w:val="0"/>
                    <w:keepLines w:val="0"/>
                    <w:widowControl/>
                    <w:suppressLineNumbers w:val="0"/>
                    <w:spacing w:before="0" w:beforeAutospacing="0" w:after="0" w:afterAutospacing="0"/>
                    <w:ind w:left="0" w:right="0"/>
                    <w:jc w:val="center"/>
                    <w:rPr>
                      <w:rFonts w:hint="default"/>
                      <w:color w:val="auto"/>
                      <w:szCs w:val="21"/>
                    </w:rPr>
                  </w:pPr>
                </w:p>
              </w:tc>
              <w:tc>
                <w:tcPr>
                  <w:tcW w:w="809" w:type="pct"/>
                  <w:noWrap/>
                  <w:vAlign w:val="center"/>
                </w:tcPr>
                <w:p w14:paraId="35BF400D">
                  <w:pPr>
                    <w:keepNext w:val="0"/>
                    <w:keepLines w:val="0"/>
                    <w:widowControl/>
                    <w:suppressLineNumbers w:val="0"/>
                    <w:spacing w:before="0" w:beforeAutospacing="0" w:after="0" w:afterAutospacing="0"/>
                    <w:ind w:left="0" w:right="0"/>
                    <w:jc w:val="center"/>
                    <w:rPr>
                      <w:rFonts w:hint="eastAsia"/>
                      <w:color w:val="auto"/>
                      <w:szCs w:val="21"/>
                      <w:lang w:val="en-US" w:eastAsia="zh-CN"/>
                    </w:rPr>
                  </w:pPr>
                </w:p>
              </w:tc>
            </w:tr>
            <w:tr w14:paraId="4CD5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44" w:type="pct"/>
                  <w:gridSpan w:val="2"/>
                  <w:noWrap/>
                  <w:vAlign w:val="center"/>
                </w:tcPr>
                <w:p w14:paraId="21264A67">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总计</w:t>
                  </w:r>
                </w:p>
              </w:tc>
              <w:tc>
                <w:tcPr>
                  <w:tcW w:w="1030" w:type="pct"/>
                  <w:noWrap/>
                  <w:vAlign w:val="bottom"/>
                </w:tcPr>
                <w:p w14:paraId="772E964B">
                  <w:pPr>
                    <w:keepNext w:val="0"/>
                    <w:keepLines w:val="0"/>
                    <w:widowControl/>
                    <w:suppressLineNumbers w:val="0"/>
                    <w:spacing w:before="0" w:beforeAutospacing="0" w:after="0" w:afterAutospacing="0"/>
                    <w:ind w:left="0" w:right="0"/>
                    <w:jc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449.0</w:t>
                  </w:r>
                  <w:r>
                    <w:rPr>
                      <w:rFonts w:hint="eastAsia" w:cs="Times New Roman"/>
                      <w:i w:val="0"/>
                      <w:iCs w:val="0"/>
                      <w:color w:val="auto"/>
                      <w:kern w:val="0"/>
                      <w:sz w:val="21"/>
                      <w:szCs w:val="21"/>
                      <w:u w:val="none"/>
                      <w:lang w:val="en-US" w:eastAsia="zh-CN" w:bidi="ar"/>
                    </w:rPr>
                    <w:t>3</w:t>
                  </w:r>
                </w:p>
              </w:tc>
              <w:tc>
                <w:tcPr>
                  <w:tcW w:w="1015" w:type="pct"/>
                  <w:noWrap w:val="0"/>
                  <w:vAlign w:val="bottom"/>
                </w:tcPr>
                <w:p w14:paraId="5DC038C4">
                  <w:pPr>
                    <w:keepNext w:val="0"/>
                    <w:keepLines w:val="0"/>
                    <w:widowControl/>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54.97</w:t>
                  </w:r>
                </w:p>
              </w:tc>
              <w:tc>
                <w:tcPr>
                  <w:tcW w:w="809" w:type="pct"/>
                  <w:noWrap/>
                  <w:vAlign w:val="center"/>
                </w:tcPr>
                <w:p w14:paraId="5E74DDC0">
                  <w:pPr>
                    <w:keepNext w:val="0"/>
                    <w:keepLines w:val="0"/>
                    <w:widowControl/>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100</w:t>
                  </w:r>
                </w:p>
              </w:tc>
            </w:tr>
          </w:tbl>
          <w:p w14:paraId="0B54A6AA">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eastAsia"/>
                <w:color w:val="auto"/>
                <w:sz w:val="24"/>
                <w:szCs w:val="24"/>
                <w:highlight w:val="none"/>
              </w:rPr>
              <w:t>由上表可知，</w:t>
            </w:r>
            <w:r>
              <w:rPr>
                <w:rFonts w:hint="default"/>
                <w:color w:val="auto"/>
                <w:sz w:val="24"/>
                <w:szCs w:val="24"/>
                <w:highlight w:val="none"/>
              </w:rPr>
              <w:t>本工</w:t>
            </w:r>
            <w:r>
              <w:rPr>
                <w:rFonts w:hint="default" w:eastAsia="宋体"/>
                <w:color w:val="auto"/>
                <w:sz w:val="24"/>
                <w:szCs w:val="24"/>
                <w:highlight w:val="none"/>
              </w:rPr>
              <w:t>程将占用</w:t>
            </w:r>
            <w:r>
              <w:rPr>
                <w:rFonts w:hint="eastAsia" w:ascii="Times New Roman" w:hAnsi="Times New Roman" w:eastAsia="宋体" w:cs="Times New Roman"/>
                <w:bCs/>
                <w:color w:val="auto"/>
                <w:sz w:val="24"/>
                <w:szCs w:val="24"/>
                <w:vertAlign w:val="baseline"/>
                <w:lang w:val="en-US" w:eastAsia="zh-CN"/>
              </w:rPr>
              <w:t>暖性石灰岩灌丛</w:t>
            </w:r>
            <w:r>
              <w:rPr>
                <w:rFonts w:hint="eastAsia" w:cs="Times New Roman"/>
                <w:i w:val="0"/>
                <w:iCs w:val="0"/>
                <w:color w:val="auto"/>
                <w:kern w:val="0"/>
                <w:sz w:val="24"/>
                <w:szCs w:val="24"/>
                <w:highlight w:val="none"/>
                <w:u w:val="none"/>
                <w:lang w:val="en-US" w:eastAsia="zh-CN" w:bidi="ar"/>
              </w:rPr>
              <w:t>18.38</w:t>
            </w:r>
            <w:r>
              <w:rPr>
                <w:rFonts w:hint="default" w:eastAsia="宋体"/>
                <w:color w:val="auto"/>
                <w:sz w:val="24"/>
                <w:szCs w:val="24"/>
                <w:highlight w:val="none"/>
              </w:rPr>
              <w:t>hm</w:t>
            </w:r>
            <w:r>
              <w:rPr>
                <w:rFonts w:hint="default" w:eastAsia="宋体"/>
                <w:color w:val="auto"/>
                <w:sz w:val="24"/>
                <w:szCs w:val="24"/>
                <w:highlight w:val="none"/>
                <w:vertAlign w:val="superscript"/>
              </w:rPr>
              <w:t>2</w:t>
            </w:r>
            <w:r>
              <w:rPr>
                <w:rFonts w:hint="default" w:eastAsia="宋体"/>
                <w:color w:val="auto"/>
                <w:sz w:val="24"/>
                <w:szCs w:val="24"/>
                <w:highlight w:val="none"/>
              </w:rPr>
              <w:t>，占评价区该</w:t>
            </w:r>
            <w:r>
              <w:rPr>
                <w:rFonts w:hint="default"/>
                <w:color w:val="auto"/>
                <w:sz w:val="24"/>
                <w:szCs w:val="24"/>
                <w:highlight w:val="none"/>
              </w:rPr>
              <w:t>类植被面积的</w:t>
            </w:r>
            <w:r>
              <w:rPr>
                <w:rFonts w:hint="default" w:ascii="Times New Roman" w:hAnsi="Times New Roman" w:eastAsia="宋体" w:cs="Times New Roman"/>
                <w:i w:val="0"/>
                <w:iCs w:val="0"/>
                <w:color w:val="auto"/>
                <w:kern w:val="0"/>
                <w:sz w:val="24"/>
                <w:szCs w:val="24"/>
                <w:u w:val="none"/>
                <w:lang w:val="en-US" w:eastAsia="zh-CN" w:bidi="ar"/>
              </w:rPr>
              <w:t>23.33</w:t>
            </w:r>
            <w:r>
              <w:rPr>
                <w:rFonts w:hint="default"/>
                <w:color w:val="auto"/>
                <w:sz w:val="24"/>
                <w:szCs w:val="24"/>
                <w:highlight w:val="none"/>
              </w:rPr>
              <w:t>%</w:t>
            </w:r>
            <w:r>
              <w:rPr>
                <w:rFonts w:hint="eastAsia"/>
                <w:color w:val="auto"/>
                <w:sz w:val="24"/>
                <w:szCs w:val="24"/>
                <w:highlight w:val="none"/>
              </w:rPr>
              <w:t>，区域内的</w:t>
            </w:r>
            <w:r>
              <w:rPr>
                <w:rFonts w:hint="eastAsia" w:ascii="Times New Roman" w:hAnsi="Times New Roman" w:eastAsia="宋体" w:cs="Times New Roman"/>
                <w:bCs/>
                <w:color w:val="auto"/>
                <w:sz w:val="24"/>
                <w:szCs w:val="24"/>
                <w:vertAlign w:val="baseline"/>
                <w:lang w:val="en-US" w:eastAsia="zh-CN"/>
              </w:rPr>
              <w:t>暖性石灰岩灌丛</w:t>
            </w:r>
            <w:r>
              <w:rPr>
                <w:rFonts w:hint="default"/>
                <w:color w:val="auto"/>
                <w:sz w:val="24"/>
                <w:szCs w:val="24"/>
                <w:highlight w:val="none"/>
              </w:rPr>
              <w:t>是原生植被经人类反复干扰破坏后</w:t>
            </w:r>
            <w:r>
              <w:rPr>
                <w:rFonts w:hint="eastAsia"/>
                <w:color w:val="auto"/>
                <w:sz w:val="24"/>
                <w:szCs w:val="24"/>
                <w:highlight w:val="none"/>
              </w:rPr>
              <w:t>，或者是耕地撂荒后</w:t>
            </w:r>
            <w:r>
              <w:rPr>
                <w:rFonts w:hint="default"/>
                <w:color w:val="auto"/>
                <w:sz w:val="24"/>
                <w:szCs w:val="24"/>
                <w:highlight w:val="none"/>
              </w:rPr>
              <w:t>形成的一种次生植被类型，群落多以</w:t>
            </w:r>
            <w:r>
              <w:rPr>
                <w:rFonts w:hint="eastAsia" w:ascii="Times New Roman" w:hAnsi="宋体" w:eastAsia="宋体"/>
                <w:color w:val="auto"/>
                <w:sz w:val="24"/>
                <w:szCs w:val="24"/>
              </w:rPr>
              <w:t>火棘</w:t>
            </w:r>
            <w:r>
              <w:rPr>
                <w:rFonts w:hint="eastAsia" w:hAnsi="宋体"/>
                <w:color w:val="auto"/>
                <w:sz w:val="24"/>
                <w:szCs w:val="24"/>
                <w:lang w:eastAsia="zh-CN"/>
              </w:rPr>
              <w:t>、</w:t>
            </w:r>
            <w:r>
              <w:rPr>
                <w:rFonts w:hint="eastAsia" w:ascii="Times New Roman" w:hAnsi="宋体" w:eastAsia="宋体"/>
                <w:color w:val="auto"/>
                <w:sz w:val="24"/>
                <w:szCs w:val="24"/>
              </w:rPr>
              <w:t>野拔子</w:t>
            </w:r>
            <w:r>
              <w:rPr>
                <w:rFonts w:hint="eastAsia" w:ascii="Times New Roman" w:hAnsi="Times New Roman" w:eastAsia="宋体" w:cs="Times New Roman"/>
                <w:bCs/>
                <w:color w:val="auto"/>
                <w:kern w:val="0"/>
                <w:sz w:val="24"/>
                <w:szCs w:val="24"/>
                <w:highlight w:val="none"/>
                <w:lang w:eastAsia="zh-CN"/>
              </w:rPr>
              <w:t>、</w:t>
            </w:r>
            <w:r>
              <w:rPr>
                <w:rFonts w:hint="default"/>
                <w:color w:val="auto"/>
                <w:sz w:val="24"/>
                <w:szCs w:val="24"/>
              </w:rPr>
              <w:t>小铁仔</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sz w:val="24"/>
                <w:szCs w:val="24"/>
              </w:rPr>
              <w:t>西南栒子</w:t>
            </w:r>
            <w:r>
              <w:rPr>
                <w:rFonts w:hint="default"/>
                <w:color w:val="auto"/>
                <w:sz w:val="24"/>
                <w:szCs w:val="24"/>
                <w:highlight w:val="none"/>
              </w:rPr>
              <w:t>等草本和灌木植物为主，其群落组成简单，群落结构不稳定，受破坏后容易恢复，且工程占地比例有限，对该植被类型的影响</w:t>
            </w:r>
            <w:r>
              <w:rPr>
                <w:rFonts w:hint="eastAsia"/>
                <w:color w:val="auto"/>
                <w:sz w:val="24"/>
                <w:szCs w:val="24"/>
                <w:highlight w:val="none"/>
              </w:rPr>
              <w:t>可以接受</w:t>
            </w:r>
            <w:r>
              <w:rPr>
                <w:rFonts w:hint="default"/>
                <w:color w:val="auto"/>
                <w:sz w:val="24"/>
                <w:szCs w:val="24"/>
                <w:highlight w:val="none"/>
              </w:rPr>
              <w:t>。工程将占</w:t>
            </w:r>
            <w:r>
              <w:rPr>
                <w:rFonts w:hint="eastAsia" w:ascii="Times New Roman" w:hAnsi="Times New Roman" w:eastAsia="宋体" w:cs="Times New Roman"/>
                <w:bCs/>
                <w:color w:val="auto"/>
                <w:kern w:val="0"/>
                <w:sz w:val="24"/>
                <w:szCs w:val="24"/>
                <w:highlight w:val="none"/>
              </w:rPr>
              <w:t>用</w:t>
            </w:r>
            <w:r>
              <w:rPr>
                <w:rFonts w:hint="eastAsia" w:ascii="Times New Roman" w:hAnsi="Times New Roman" w:eastAsia="宋体" w:cs="Times New Roman"/>
                <w:bCs/>
                <w:color w:val="auto"/>
                <w:kern w:val="0"/>
                <w:sz w:val="24"/>
                <w:szCs w:val="24"/>
                <w:highlight w:val="none"/>
                <w:lang w:val="en-US" w:eastAsia="zh-CN"/>
              </w:rPr>
              <w:t>暖温性稀树灌木草丛</w:t>
            </w:r>
            <w:r>
              <w:rPr>
                <w:rFonts w:hint="eastAsia"/>
                <w:color w:val="auto"/>
                <w:sz w:val="24"/>
                <w:szCs w:val="24"/>
                <w:highlight w:val="none"/>
                <w:lang w:val="en-US" w:eastAsia="zh-CN"/>
              </w:rPr>
              <w:t>34.61</w:t>
            </w:r>
            <w:r>
              <w:rPr>
                <w:rFonts w:hint="eastAsia" w:ascii="Times New Roman" w:hAnsi="Times New Roman" w:eastAsia="宋体" w:cs="Times New Roman"/>
                <w:bCs/>
                <w:color w:val="auto"/>
                <w:kern w:val="0"/>
                <w:sz w:val="24"/>
                <w:szCs w:val="24"/>
                <w:highlight w:val="none"/>
              </w:rPr>
              <w:t>hm</w:t>
            </w:r>
            <w:r>
              <w:rPr>
                <w:rFonts w:hint="eastAsia" w:ascii="Times New Roman" w:hAnsi="Times New Roman" w:eastAsia="宋体" w:cs="Times New Roman"/>
                <w:bCs/>
                <w:color w:val="auto"/>
                <w:kern w:val="0"/>
                <w:sz w:val="24"/>
                <w:szCs w:val="24"/>
                <w:highlight w:val="none"/>
                <w:vertAlign w:val="superscript"/>
              </w:rPr>
              <w:t>2</w:t>
            </w:r>
            <w:r>
              <w:rPr>
                <w:rFonts w:hint="eastAsia" w:ascii="Times New Roman" w:hAnsi="Times New Roman" w:eastAsia="宋体" w:cs="Times New Roman"/>
                <w:bCs/>
                <w:color w:val="auto"/>
                <w:kern w:val="0"/>
                <w:sz w:val="24"/>
                <w:szCs w:val="24"/>
                <w:highlight w:val="none"/>
              </w:rPr>
              <w:t>，占评价区该类植被面积的</w:t>
            </w:r>
            <w:r>
              <w:rPr>
                <w:rFonts w:hint="default" w:ascii="Times New Roman" w:hAnsi="Times New Roman" w:eastAsia="宋体" w:cs="Times New Roman"/>
                <w:i w:val="0"/>
                <w:iCs w:val="0"/>
                <w:color w:val="auto"/>
                <w:kern w:val="0"/>
                <w:sz w:val="24"/>
                <w:szCs w:val="24"/>
                <w:u w:val="none"/>
                <w:lang w:val="en-US" w:eastAsia="zh-CN" w:bidi="ar"/>
              </w:rPr>
              <w:t>36.73</w:t>
            </w:r>
            <w:r>
              <w:rPr>
                <w:rFonts w:hint="eastAsia" w:ascii="Times New Roman" w:hAnsi="Times New Roman" w:eastAsia="宋体" w:cs="Times New Roman"/>
                <w:bCs/>
                <w:color w:val="auto"/>
                <w:kern w:val="0"/>
                <w:sz w:val="24"/>
                <w:szCs w:val="24"/>
                <w:highlight w:val="none"/>
              </w:rPr>
              <w:t>%，区域内的</w:t>
            </w:r>
            <w:r>
              <w:rPr>
                <w:rFonts w:hint="eastAsia" w:ascii="Times New Roman" w:hAnsi="Times New Roman" w:eastAsia="宋体" w:cs="Times New Roman"/>
                <w:bCs/>
                <w:color w:val="auto"/>
                <w:kern w:val="0"/>
                <w:sz w:val="24"/>
                <w:szCs w:val="24"/>
                <w:highlight w:val="none"/>
                <w:lang w:val="en-US" w:eastAsia="zh-CN"/>
              </w:rPr>
              <w:t>暖温</w:t>
            </w:r>
            <w:r>
              <w:rPr>
                <w:rFonts w:hint="eastAsia" w:ascii="宋体" w:hAnsi="宋体" w:eastAsia="宋体" w:cs="宋体"/>
                <w:i w:val="0"/>
                <w:iCs w:val="0"/>
                <w:color w:val="auto"/>
                <w:kern w:val="0"/>
                <w:sz w:val="24"/>
                <w:szCs w:val="24"/>
                <w:highlight w:val="none"/>
                <w:u w:val="none"/>
                <w:lang w:val="en-US" w:eastAsia="zh-CN" w:bidi="ar"/>
              </w:rPr>
              <w:t>性稀树灌木草丛</w:t>
            </w:r>
            <w:r>
              <w:rPr>
                <w:rFonts w:hint="default"/>
                <w:color w:val="auto"/>
                <w:sz w:val="24"/>
                <w:szCs w:val="24"/>
                <w:highlight w:val="none"/>
              </w:rPr>
              <w:t>是原生</w:t>
            </w:r>
            <w:r>
              <w:rPr>
                <w:rFonts w:hint="default"/>
                <w:color w:val="auto"/>
                <w:sz w:val="24"/>
                <w:szCs w:val="24"/>
              </w:rPr>
              <w:t>植被经人类反复干扰破坏后形成的一种次</w:t>
            </w:r>
            <w:r>
              <w:rPr>
                <w:rFonts w:hint="eastAsia"/>
                <w:color w:val="auto"/>
                <w:sz w:val="24"/>
                <w:szCs w:val="24"/>
                <w:lang w:val="en-US" w:eastAsia="zh-CN"/>
              </w:rPr>
              <w:t>生</w:t>
            </w:r>
            <w:r>
              <w:rPr>
                <w:rFonts w:hint="eastAsia"/>
                <w:color w:val="auto"/>
                <w:sz w:val="24"/>
                <w:szCs w:val="24"/>
              </w:rPr>
              <w:t>性灌丛，</w:t>
            </w:r>
            <w:r>
              <w:rPr>
                <w:rFonts w:hint="default"/>
                <w:color w:val="auto"/>
                <w:sz w:val="24"/>
                <w:szCs w:val="24"/>
              </w:rPr>
              <w:t>群落多以</w:t>
            </w:r>
            <w:r>
              <w:rPr>
                <w:rFonts w:hint="default" w:ascii="Times New Roman" w:hAnsi="Times New Roman" w:eastAsia="宋体" w:cs="Times New Roman"/>
                <w:bCs/>
                <w:color w:val="auto"/>
                <w:sz w:val="24"/>
                <w:szCs w:val="24"/>
              </w:rPr>
              <w:t>西南栒子</w:t>
            </w:r>
            <w:r>
              <w:rPr>
                <w:rFonts w:hint="eastAsia"/>
                <w:iCs/>
                <w:color w:val="auto"/>
                <w:sz w:val="24"/>
                <w:szCs w:val="24"/>
              </w:rPr>
              <w:t>、</w:t>
            </w:r>
            <w:r>
              <w:rPr>
                <w:rFonts w:hint="default" w:ascii="Times New Roman" w:hAnsi="Times New Roman"/>
                <w:bCs/>
                <w:color w:val="auto"/>
                <w:sz w:val="24"/>
                <w:szCs w:val="24"/>
              </w:rPr>
              <w:t>小铁仔</w:t>
            </w:r>
            <w:r>
              <w:rPr>
                <w:rFonts w:hint="eastAsia"/>
                <w:color w:val="auto"/>
                <w:kern w:val="0"/>
                <w:sz w:val="24"/>
                <w:szCs w:val="24"/>
              </w:rPr>
              <w:t>、</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color w:val="auto"/>
                <w:kern w:val="0"/>
                <w:sz w:val="24"/>
                <w:szCs w:val="24"/>
                <w:lang w:eastAsia="zh-CN"/>
              </w:rPr>
              <w:t>、</w:t>
            </w:r>
            <w:r>
              <w:rPr>
                <w:rFonts w:hint="eastAsia"/>
                <w:color w:val="auto"/>
                <w:sz w:val="24"/>
                <w:szCs w:val="24"/>
              </w:rPr>
              <w:t>硬秆子草</w:t>
            </w:r>
            <w:r>
              <w:rPr>
                <w:rFonts w:hint="eastAsia"/>
                <w:color w:val="auto"/>
                <w:kern w:val="0"/>
                <w:sz w:val="24"/>
                <w:szCs w:val="24"/>
              </w:rPr>
              <w:t>等</w:t>
            </w:r>
            <w:r>
              <w:rPr>
                <w:rFonts w:hint="default"/>
                <w:color w:val="auto"/>
                <w:sz w:val="24"/>
                <w:szCs w:val="24"/>
              </w:rPr>
              <w:t>为主</w:t>
            </w:r>
            <w:r>
              <w:rPr>
                <w:rFonts w:hint="eastAsia"/>
                <w:color w:val="auto"/>
                <w:sz w:val="24"/>
                <w:szCs w:val="24"/>
              </w:rPr>
              <w:t>，均为常见种和广布种，</w:t>
            </w:r>
            <w:r>
              <w:rPr>
                <w:rFonts w:hint="default"/>
                <w:color w:val="auto"/>
                <w:sz w:val="24"/>
                <w:szCs w:val="24"/>
              </w:rPr>
              <w:t>群落组成简单，</w:t>
            </w:r>
            <w:r>
              <w:rPr>
                <w:rFonts w:hint="eastAsia"/>
                <w:color w:val="auto"/>
                <w:sz w:val="24"/>
                <w:szCs w:val="24"/>
              </w:rPr>
              <w:t>生物多样性低，且工程占地比例有限，对该类植被的影响</w:t>
            </w:r>
            <w:r>
              <w:rPr>
                <w:rFonts w:hint="eastAsia"/>
                <w:color w:val="auto"/>
                <w:sz w:val="24"/>
                <w:szCs w:val="24"/>
                <w:lang w:val="en-US" w:eastAsia="zh-CN"/>
              </w:rPr>
              <w:t>小</w:t>
            </w:r>
            <w:r>
              <w:rPr>
                <w:rFonts w:hint="eastAsia"/>
                <w:color w:val="auto"/>
                <w:sz w:val="24"/>
                <w:szCs w:val="24"/>
              </w:rPr>
              <w:t>。另外，</w:t>
            </w:r>
            <w:r>
              <w:rPr>
                <w:rFonts w:hint="default"/>
                <w:color w:val="auto"/>
                <w:sz w:val="24"/>
                <w:szCs w:val="24"/>
              </w:rPr>
              <w:t>根据主体设计、建设单位介绍以及现场踏勘，光伏阵列</w:t>
            </w:r>
            <w:r>
              <w:rPr>
                <w:rFonts w:hint="eastAsia"/>
                <w:color w:val="auto"/>
                <w:sz w:val="24"/>
                <w:szCs w:val="24"/>
              </w:rPr>
              <w:t>占地</w:t>
            </w:r>
            <w:r>
              <w:rPr>
                <w:rFonts w:hint="default"/>
                <w:color w:val="auto"/>
                <w:sz w:val="24"/>
                <w:szCs w:val="24"/>
              </w:rPr>
              <w:t>区内</w:t>
            </w:r>
            <w:r>
              <w:rPr>
                <w:rFonts w:hint="eastAsia"/>
                <w:color w:val="auto"/>
                <w:sz w:val="24"/>
                <w:szCs w:val="24"/>
              </w:rPr>
              <w:t>除了光伏支架基础占地外，其他</w:t>
            </w:r>
            <w:r>
              <w:rPr>
                <w:rFonts w:hint="default"/>
                <w:color w:val="auto"/>
                <w:sz w:val="24"/>
                <w:szCs w:val="24"/>
              </w:rPr>
              <w:t>将不进行扰动，保留原始地表，</w:t>
            </w:r>
            <w:r>
              <w:rPr>
                <w:rFonts w:hint="eastAsia"/>
                <w:color w:val="auto"/>
                <w:sz w:val="24"/>
                <w:szCs w:val="24"/>
              </w:rPr>
              <w:t>这将很大程度上降低工程建设对区域内自然植被的影响。</w:t>
            </w:r>
          </w:p>
          <w:p w14:paraId="2413AA6F">
            <w:pPr>
              <w:keepNext w:val="0"/>
              <w:keepLines w:val="0"/>
              <w:suppressLineNumbers w:val="0"/>
              <w:spacing w:before="0" w:beforeAutospacing="0" w:after="0" w:afterAutospacing="0" w:line="360" w:lineRule="auto"/>
              <w:ind w:left="0" w:right="0" w:firstLine="482"/>
              <w:rPr>
                <w:rFonts w:hint="default"/>
                <w:color w:val="auto"/>
                <w:lang w:val="en-US" w:eastAsia="zh-CN"/>
              </w:rPr>
            </w:pPr>
            <w:r>
              <w:rPr>
                <w:rFonts w:hint="default"/>
                <w:color w:val="auto"/>
                <w:sz w:val="24"/>
                <w:lang w:val="zh-CN"/>
              </w:rPr>
              <w:t>总的来看，受本工程建设影响的植被类型</w:t>
            </w:r>
            <w:r>
              <w:rPr>
                <w:rFonts w:hint="eastAsia"/>
                <w:color w:val="auto"/>
                <w:sz w:val="24"/>
                <w:lang w:val="zh-CN"/>
              </w:rPr>
              <w:t>主要为次生灌草丛，</w:t>
            </w:r>
            <w:r>
              <w:rPr>
                <w:rFonts w:hint="default"/>
                <w:color w:val="auto"/>
                <w:sz w:val="24"/>
                <w:lang w:val="zh-CN"/>
              </w:rPr>
              <w:t>在项目区及周边区域广泛分布，工程建设不会对这些植被造成毁灭性的破坏，其不利影响仅限于局部，不会随时间推移而扩大。本工程占地将对评价区植被造成一定程度的不利影响，但由于占用植被面积有限，且以次生植被和人工植被为主，本工程的建设不会造成评价区植被分布格局</w:t>
            </w:r>
            <w:r>
              <w:rPr>
                <w:rFonts w:hint="eastAsia"/>
                <w:color w:val="auto"/>
                <w:sz w:val="24"/>
                <w:lang w:val="zh-CN"/>
              </w:rPr>
              <w:t>的较大改变，不会导致评价区</w:t>
            </w:r>
            <w:r>
              <w:rPr>
                <w:rFonts w:hint="default"/>
                <w:color w:val="auto"/>
                <w:sz w:val="24"/>
                <w:lang w:val="zh-CN"/>
              </w:rPr>
              <w:t>生态系统结构及功能的显著改变。因此，本工程建设对植被的总体影响</w:t>
            </w:r>
            <w:r>
              <w:rPr>
                <w:rFonts w:hint="eastAsia"/>
                <w:color w:val="auto"/>
                <w:sz w:val="24"/>
                <w:lang w:val="en-US" w:eastAsia="zh-CN"/>
              </w:rPr>
              <w:t>小</w:t>
            </w:r>
            <w:r>
              <w:rPr>
                <w:rFonts w:hint="default"/>
                <w:color w:val="auto"/>
                <w:sz w:val="24"/>
                <w:lang w:val="zh-CN"/>
              </w:rPr>
              <w:t>。</w:t>
            </w:r>
          </w:p>
          <w:p w14:paraId="24E26B8F">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val="0"/>
                <w:color w:val="auto"/>
                <w:sz w:val="24"/>
                <w:szCs w:val="24"/>
              </w:rPr>
            </w:pPr>
            <w:r>
              <w:rPr>
                <w:rFonts w:hint="eastAsia"/>
                <w:b/>
                <w:bCs w:val="0"/>
                <w:color w:val="auto"/>
                <w:sz w:val="24"/>
                <w:szCs w:val="24"/>
                <w:lang w:val="en-US" w:eastAsia="zh-CN"/>
              </w:rPr>
              <w:t>3）</w:t>
            </w:r>
            <w:r>
              <w:rPr>
                <w:rFonts w:hint="default"/>
                <w:b/>
                <w:bCs w:val="0"/>
                <w:color w:val="auto"/>
                <w:sz w:val="24"/>
                <w:szCs w:val="24"/>
              </w:rPr>
              <w:t>对</w:t>
            </w:r>
            <w:r>
              <w:rPr>
                <w:rFonts w:hint="eastAsia"/>
                <w:b/>
                <w:bCs w:val="0"/>
                <w:color w:val="auto"/>
                <w:sz w:val="24"/>
                <w:szCs w:val="24"/>
                <w:lang w:eastAsia="zh-CN"/>
              </w:rPr>
              <w:t>林地</w:t>
            </w:r>
            <w:r>
              <w:rPr>
                <w:rFonts w:hint="default"/>
                <w:b/>
                <w:bCs w:val="0"/>
                <w:color w:val="auto"/>
                <w:sz w:val="24"/>
                <w:szCs w:val="24"/>
              </w:rPr>
              <w:t>的影响</w:t>
            </w:r>
          </w:p>
          <w:p w14:paraId="22E8ADF2">
            <w:pPr>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24"/>
                <w:lang w:eastAsia="zh-CN"/>
              </w:rPr>
            </w:pPr>
            <w:r>
              <w:rPr>
                <w:rFonts w:hint="eastAsia" w:ascii="Times New Roman" w:hAnsi="Times New Roman" w:eastAsia="宋体" w:cs="Times New Roman"/>
                <w:color w:val="auto"/>
                <w:sz w:val="24"/>
                <w:szCs w:val="24"/>
                <w:highlight w:val="none"/>
                <w:lang w:eastAsia="zh-CN"/>
              </w:rPr>
              <w:t>根据《</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Times New Roman" w:hAnsi="Times New Roman" w:eastAsia="宋体" w:cs="Times New Roman"/>
                <w:color w:val="auto"/>
                <w:sz w:val="24"/>
                <w:szCs w:val="24"/>
                <w:highlight w:val="none"/>
                <w:lang w:eastAsia="zh-CN"/>
              </w:rPr>
              <w:t>使用林地可行性报告》，建设项目用地涉及公益林</w:t>
            </w:r>
            <w:r>
              <w:rPr>
                <w:rFonts w:hint="eastAsia" w:ascii="Times New Roman" w:hAnsi="Times New Roman" w:eastAsia="宋体" w:cs="Times New Roman"/>
                <w:color w:val="auto"/>
                <w:sz w:val="24"/>
                <w:szCs w:val="24"/>
                <w:highlight w:val="none"/>
                <w:lang w:val="en-US" w:eastAsia="zh-CN"/>
              </w:rPr>
              <w:t>。</w:t>
            </w:r>
            <w:r>
              <w:rPr>
                <w:rFonts w:hint="eastAsia"/>
                <w:color w:val="auto"/>
                <w:sz w:val="24"/>
                <w:szCs w:val="24"/>
                <w:lang w:eastAsia="zh-CN"/>
              </w:rPr>
              <w:t>截止到本评价编制时，未发现未批先占违法使用林地情况。</w:t>
            </w:r>
          </w:p>
          <w:p w14:paraId="046EDA3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①使用林地对项目区林地资源及林木资源的影响分析</w:t>
            </w:r>
          </w:p>
          <w:p w14:paraId="5BA2081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lang w:val="en-US" w:eastAsia="zh-CN"/>
              </w:rPr>
            </w:pPr>
            <w:r>
              <w:rPr>
                <w:rFonts w:hint="eastAsia"/>
                <w:color w:val="auto"/>
                <w:sz w:val="24"/>
                <w:szCs w:val="24"/>
                <w:highlight w:val="none"/>
                <w:lang w:eastAsia="zh-CN"/>
              </w:rPr>
              <w:t>建设项目</w:t>
            </w:r>
            <w:r>
              <w:rPr>
                <w:rFonts w:hint="eastAsia"/>
                <w:color w:val="auto"/>
                <w:sz w:val="24"/>
                <w:szCs w:val="24"/>
                <w:highlight w:val="none"/>
                <w:lang w:val="en-US" w:eastAsia="zh-CN"/>
              </w:rPr>
              <w:t>永久</w:t>
            </w:r>
            <w:r>
              <w:rPr>
                <w:rFonts w:hint="eastAsia"/>
                <w:color w:val="auto"/>
                <w:sz w:val="24"/>
                <w:szCs w:val="24"/>
                <w:highlight w:val="none"/>
                <w:lang w:eastAsia="zh-CN"/>
              </w:rPr>
              <w:t>使用公益林面积</w:t>
            </w:r>
            <w:r>
              <w:rPr>
                <w:rFonts w:hint="eastAsia" w:cs="Times New Roman"/>
                <w:color w:val="auto"/>
                <w:spacing w:val="0"/>
                <w:kern w:val="0"/>
                <w:sz w:val="24"/>
                <w:szCs w:val="24"/>
                <w:highlight w:val="none"/>
                <w:lang w:val="en-US" w:eastAsia="zh-CN"/>
              </w:rPr>
              <w:t>150m</w:t>
            </w:r>
            <w:r>
              <w:rPr>
                <w:rFonts w:hint="eastAsia" w:cs="Times New Roman"/>
                <w:color w:val="auto"/>
                <w:spacing w:val="0"/>
                <w:kern w:val="0"/>
                <w:sz w:val="24"/>
                <w:szCs w:val="24"/>
                <w:highlight w:val="none"/>
                <w:vertAlign w:val="superscript"/>
                <w:lang w:val="en-US" w:eastAsia="zh-CN"/>
              </w:rPr>
              <w:t>2</w:t>
            </w:r>
            <w:r>
              <w:rPr>
                <w:rFonts w:hint="eastAsia"/>
                <w:color w:val="auto"/>
                <w:sz w:val="24"/>
                <w:szCs w:val="24"/>
                <w:highlight w:val="none"/>
                <w:lang w:eastAsia="zh-CN"/>
              </w:rPr>
              <w:t>，活立木蓄积</w:t>
            </w:r>
            <w:r>
              <w:rPr>
                <w:rFonts w:hint="eastAsia"/>
                <w:color w:val="auto"/>
                <w:sz w:val="24"/>
                <w:szCs w:val="24"/>
                <w:highlight w:val="none"/>
                <w:lang w:val="en-US" w:eastAsia="zh-CN"/>
              </w:rPr>
              <w:t>0.02</w:t>
            </w:r>
            <w:r>
              <w:rPr>
                <w:rFonts w:hint="eastAsia"/>
                <w:color w:val="auto"/>
                <w:sz w:val="24"/>
                <w:szCs w:val="24"/>
                <w:highlight w:val="none"/>
                <w:lang w:eastAsia="zh-CN"/>
              </w:rPr>
              <w:t>m</w:t>
            </w:r>
            <w:r>
              <w:rPr>
                <w:rFonts w:hint="eastAsia"/>
                <w:color w:val="auto"/>
                <w:sz w:val="24"/>
                <w:szCs w:val="24"/>
                <w:highlight w:val="none"/>
                <w:vertAlign w:val="superscript"/>
                <w:lang w:eastAsia="zh-CN"/>
              </w:rPr>
              <w:t>3</w:t>
            </w:r>
            <w:r>
              <w:rPr>
                <w:rFonts w:hint="eastAsia"/>
                <w:color w:val="auto"/>
                <w:sz w:val="24"/>
                <w:szCs w:val="24"/>
                <w:highlight w:val="none"/>
                <w:lang w:eastAsia="zh-CN"/>
              </w:rPr>
              <w:t>，需要采伐蓄积量为</w:t>
            </w:r>
            <w:r>
              <w:rPr>
                <w:rFonts w:hint="eastAsia"/>
                <w:color w:val="auto"/>
                <w:sz w:val="24"/>
                <w:szCs w:val="24"/>
                <w:highlight w:val="none"/>
                <w:lang w:val="en-US" w:eastAsia="zh-CN"/>
              </w:rPr>
              <w:t>0.02</w:t>
            </w:r>
            <w:r>
              <w:rPr>
                <w:rFonts w:hint="eastAsia"/>
                <w:color w:val="auto"/>
                <w:sz w:val="24"/>
                <w:szCs w:val="24"/>
                <w:highlight w:val="none"/>
                <w:lang w:eastAsia="zh-CN"/>
              </w:rPr>
              <w:t>m</w:t>
            </w:r>
            <w:r>
              <w:rPr>
                <w:rFonts w:hint="eastAsia"/>
                <w:color w:val="auto"/>
                <w:sz w:val="24"/>
                <w:szCs w:val="24"/>
                <w:highlight w:val="none"/>
                <w:vertAlign w:val="superscript"/>
                <w:lang w:eastAsia="zh-CN"/>
              </w:rPr>
              <w:t>3</w:t>
            </w:r>
            <w:r>
              <w:rPr>
                <w:rFonts w:hint="eastAsia"/>
                <w:color w:val="auto"/>
                <w:sz w:val="24"/>
                <w:szCs w:val="24"/>
                <w:highlight w:val="none"/>
                <w:lang w:eastAsia="zh-CN"/>
              </w:rPr>
              <w:t>，采伐树种为</w:t>
            </w:r>
            <w:r>
              <w:rPr>
                <w:rFonts w:hint="eastAsia"/>
                <w:color w:val="auto"/>
                <w:sz w:val="24"/>
                <w:szCs w:val="24"/>
                <w:highlight w:val="none"/>
                <w:lang w:val="en-US" w:eastAsia="zh-CN"/>
              </w:rPr>
              <w:t>云南松和华山松幼树</w:t>
            </w:r>
            <w:r>
              <w:rPr>
                <w:rFonts w:hint="eastAsia"/>
                <w:color w:val="auto"/>
                <w:sz w:val="24"/>
                <w:szCs w:val="24"/>
                <w:highlight w:val="none"/>
                <w:lang w:eastAsia="zh-CN"/>
              </w:rPr>
              <w:t>，</w:t>
            </w:r>
            <w:r>
              <w:rPr>
                <w:rFonts w:hint="eastAsia"/>
                <w:color w:val="auto"/>
                <w:sz w:val="24"/>
                <w:szCs w:val="24"/>
                <w:highlight w:val="none"/>
                <w:lang w:val="en-US" w:eastAsia="zh-CN"/>
              </w:rPr>
              <w:t>为当地常见物种</w:t>
            </w:r>
            <w:r>
              <w:rPr>
                <w:rFonts w:hint="eastAsia"/>
                <w:color w:val="auto"/>
                <w:sz w:val="24"/>
                <w:szCs w:val="24"/>
                <w:highlight w:val="none"/>
                <w:lang w:eastAsia="zh-CN"/>
              </w:rPr>
              <w:t>。</w:t>
            </w:r>
            <w:r>
              <w:rPr>
                <w:rFonts w:hint="eastAsia" w:cs="Times New Roman"/>
                <w:color w:val="auto"/>
                <w:spacing w:val="0"/>
                <w:kern w:val="0"/>
                <w:sz w:val="24"/>
                <w:szCs w:val="24"/>
                <w:highlight w:val="none"/>
                <w:lang w:val="en-US" w:eastAsia="zh-CN"/>
              </w:rPr>
              <w:t>142046.87m</w:t>
            </w:r>
            <w:r>
              <w:rPr>
                <w:rFonts w:hint="eastAsia" w:cs="Times New Roman"/>
                <w:color w:val="auto"/>
                <w:spacing w:val="0"/>
                <w:kern w:val="0"/>
                <w:sz w:val="24"/>
                <w:szCs w:val="24"/>
                <w:highlight w:val="none"/>
                <w:vertAlign w:val="superscript"/>
                <w:lang w:val="en-US" w:eastAsia="zh-CN"/>
              </w:rPr>
              <w:t>2</w:t>
            </w:r>
            <w:r>
              <w:rPr>
                <w:rFonts w:hint="eastAsia"/>
                <w:color w:val="auto"/>
                <w:sz w:val="24"/>
                <w:szCs w:val="24"/>
                <w:highlight w:val="none"/>
                <w:lang w:eastAsia="zh-CN"/>
              </w:rPr>
              <w:t>公益林</w:t>
            </w:r>
            <w:r>
              <w:rPr>
                <w:rFonts w:hint="eastAsia"/>
                <w:color w:val="auto"/>
                <w:sz w:val="24"/>
                <w:szCs w:val="24"/>
                <w:highlight w:val="none"/>
                <w:lang w:val="en-US" w:eastAsia="zh-CN"/>
              </w:rPr>
              <w:t>为临时用地，无需采伐。</w:t>
            </w:r>
          </w:p>
          <w:p w14:paraId="07CD55D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项目区林地质量良好。林地将改变用途，造成部分森林资源流失，会对当地的森林资源和林业生产产生一定影响。光伏阵列支</w:t>
            </w:r>
            <w:r>
              <w:rPr>
                <w:rFonts w:hint="eastAsia" w:ascii="Times New Roman" w:hAnsi="Times New Roman" w:eastAsia="宋体" w:cs="Times New Roman"/>
                <w:color w:val="auto"/>
                <w:sz w:val="24"/>
                <w:szCs w:val="24"/>
                <w:lang w:eastAsia="zh-CN"/>
              </w:rPr>
              <w:t>架</w:t>
            </w:r>
            <w:r>
              <w:rPr>
                <w:rFonts w:hint="default" w:ascii="Times New Roman" w:hAnsi="Times New Roman" w:eastAsia="宋体" w:cs="Times New Roman"/>
                <w:color w:val="auto"/>
                <w:sz w:val="24"/>
                <w:szCs w:val="24"/>
                <w:lang w:eastAsia="zh-CN"/>
              </w:rPr>
              <w:t>最低点应高于灌木高度1米以上</w:t>
            </w:r>
            <w:r>
              <w:rPr>
                <w:rFonts w:hint="eastAsia" w:ascii="Times New Roman" w:hAnsi="Times New Roman" w:eastAsia="宋体" w:cs="Times New Roman"/>
                <w:color w:val="auto"/>
                <w:sz w:val="24"/>
                <w:szCs w:val="24"/>
                <w:lang w:eastAsia="zh-CN"/>
              </w:rPr>
              <w:t>，不会影响该项目区地表灌草植被正常生长。根据</w:t>
            </w:r>
            <w:r>
              <w:rPr>
                <w:rFonts w:hint="eastAsia"/>
                <w:color w:val="auto"/>
                <w:sz w:val="24"/>
                <w:szCs w:val="24"/>
                <w:lang w:eastAsia="zh-CN"/>
              </w:rPr>
              <w:t>资料统计</w:t>
            </w:r>
            <w:r>
              <w:rPr>
                <w:rFonts w:hint="eastAsia"/>
                <w:color w:val="auto"/>
                <w:sz w:val="24"/>
                <w:szCs w:val="24"/>
                <w:highlight w:val="none"/>
                <w:lang w:eastAsia="zh-CN"/>
              </w:rPr>
              <w:t>，建设项目</w:t>
            </w:r>
            <w:r>
              <w:rPr>
                <w:rFonts w:hint="eastAsia"/>
                <w:color w:val="auto"/>
                <w:sz w:val="24"/>
                <w:szCs w:val="24"/>
                <w:highlight w:val="none"/>
                <w:lang w:val="en-US" w:eastAsia="zh-CN"/>
              </w:rPr>
              <w:t>永久</w:t>
            </w:r>
            <w:r>
              <w:rPr>
                <w:rFonts w:hint="eastAsia"/>
                <w:color w:val="auto"/>
                <w:sz w:val="24"/>
                <w:szCs w:val="24"/>
                <w:highlight w:val="none"/>
                <w:lang w:eastAsia="zh-CN"/>
              </w:rPr>
              <w:t>使用公益林面积</w:t>
            </w:r>
            <w:r>
              <w:rPr>
                <w:rFonts w:hint="eastAsia" w:cs="Times New Roman"/>
                <w:color w:val="auto"/>
                <w:kern w:val="0"/>
                <w:sz w:val="24"/>
                <w:szCs w:val="24"/>
                <w:highlight w:val="none"/>
                <w:lang w:val="en-US" w:eastAsia="zh-CN"/>
              </w:rPr>
              <w:t>150</w:t>
            </w:r>
            <w:r>
              <w:rPr>
                <w:rFonts w:hint="eastAsia" w:ascii="Times New Roman" w:hAnsi="Times New Roman" w:eastAsia="宋体" w:cs="Times New Roman"/>
                <w:color w:val="auto"/>
                <w:kern w:val="0"/>
                <w:sz w:val="24"/>
                <w:szCs w:val="24"/>
                <w:highlight w:val="none"/>
                <w:lang w:eastAsia="zh-CN"/>
              </w:rPr>
              <w:t>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w:t>
            </w:r>
            <w:r>
              <w:rPr>
                <w:rFonts w:hint="eastAsia"/>
                <w:color w:val="auto"/>
                <w:sz w:val="24"/>
                <w:szCs w:val="24"/>
                <w:lang w:eastAsia="zh-CN"/>
              </w:rPr>
              <w:t>项目建设对周边区域林地资源和林木资源影响较小。</w:t>
            </w:r>
          </w:p>
          <w:p w14:paraId="1E52A6D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②使用林地对生态环境的影响分析</w:t>
            </w:r>
          </w:p>
          <w:p w14:paraId="619E2A7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highlight w:val="none"/>
                <w:lang w:eastAsia="zh-CN"/>
              </w:rPr>
              <w:t>项目</w:t>
            </w:r>
            <w:r>
              <w:rPr>
                <w:rFonts w:hint="eastAsia"/>
                <w:color w:val="auto"/>
                <w:sz w:val="24"/>
                <w:szCs w:val="24"/>
                <w:highlight w:val="none"/>
                <w:lang w:val="en-US" w:eastAsia="zh-CN"/>
              </w:rPr>
              <w:t>永久</w:t>
            </w:r>
            <w:r>
              <w:rPr>
                <w:rFonts w:hint="eastAsia"/>
                <w:color w:val="auto"/>
                <w:sz w:val="24"/>
                <w:szCs w:val="24"/>
                <w:highlight w:val="none"/>
                <w:lang w:eastAsia="zh-CN"/>
              </w:rPr>
              <w:t>使用公益林面积</w:t>
            </w:r>
            <w:r>
              <w:rPr>
                <w:rFonts w:hint="eastAsia" w:cs="Times New Roman"/>
                <w:color w:val="auto"/>
                <w:kern w:val="0"/>
                <w:sz w:val="24"/>
                <w:szCs w:val="24"/>
                <w:highlight w:val="none"/>
                <w:lang w:val="en-US" w:eastAsia="zh-CN"/>
              </w:rPr>
              <w:t>150</w:t>
            </w:r>
            <w:r>
              <w:rPr>
                <w:rFonts w:hint="eastAsia" w:ascii="Times New Roman" w:hAnsi="Times New Roman" w:eastAsia="宋体" w:cs="Times New Roman"/>
                <w:color w:val="auto"/>
                <w:kern w:val="0"/>
                <w:sz w:val="24"/>
                <w:szCs w:val="24"/>
                <w:highlight w:val="none"/>
                <w:lang w:eastAsia="zh-CN"/>
              </w:rPr>
              <w:t>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lang w:eastAsia="zh-CN"/>
              </w:rPr>
              <w:t>，项目建设将导致项目区域森林资源的减少，但项目使用林地占项目区域林地面积的比例小，项目实施对项目区及周边区域森林资源的影响很小。</w:t>
            </w:r>
            <w:r>
              <w:rPr>
                <w:rFonts w:hint="eastAsia"/>
                <w:color w:val="auto"/>
                <w:sz w:val="24"/>
                <w:szCs w:val="24"/>
                <w:lang w:val="en-US" w:eastAsia="zh-CN"/>
              </w:rPr>
              <w:t>项目建设后占用林地的区域实施林光互补</w:t>
            </w:r>
            <w:r>
              <w:rPr>
                <w:rFonts w:hint="eastAsia"/>
                <w:color w:val="auto"/>
                <w:sz w:val="24"/>
                <w:szCs w:val="24"/>
                <w:lang w:eastAsia="zh-CN"/>
              </w:rPr>
              <w:t>，因此虽有部分林地被改变用途，其数量上会有所减少，但不会对项目区内的动物物种、种群数量及其生境产生影响。</w:t>
            </w:r>
          </w:p>
          <w:p w14:paraId="2AD151F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由于项目区的植被类型和植物种类与周边区域相同，且植被较为稀少。因此，虽有部分林地被改变用途，其数量上会有所减少，但物种不会减少，且项目建设地不是动物迁徙的主要通道。因此，项目建设对周边区域的生物多样性影响不大。</w:t>
            </w:r>
          </w:p>
          <w:p w14:paraId="0A7E98A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③使用林地对生态效能的影响分析</w:t>
            </w:r>
          </w:p>
          <w:p w14:paraId="5D2B091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根据项目建设的特点，项目的建设将改变林地的用途，会使项目区原森林生态防护效能丧失。项目建成后，虽会造成原有林地面积减少，对项目建设区生态环境有影响，但对周围环境不会有大的影响，且</w:t>
            </w:r>
            <w:r>
              <w:rPr>
                <w:rFonts w:hint="eastAsia"/>
                <w:color w:val="auto"/>
                <w:sz w:val="24"/>
                <w:szCs w:val="24"/>
                <w:highlight w:val="none"/>
                <w:lang w:val="en-US" w:eastAsia="zh-CN"/>
              </w:rPr>
              <w:t>永久</w:t>
            </w:r>
            <w:r>
              <w:rPr>
                <w:rFonts w:hint="eastAsia"/>
                <w:color w:val="auto"/>
                <w:sz w:val="24"/>
                <w:szCs w:val="24"/>
                <w:highlight w:val="none"/>
                <w:lang w:eastAsia="zh-CN"/>
              </w:rPr>
              <w:t>使用公益林面积</w:t>
            </w:r>
            <w:r>
              <w:rPr>
                <w:rFonts w:hint="eastAsia" w:cs="Times New Roman"/>
                <w:color w:val="auto"/>
                <w:kern w:val="0"/>
                <w:sz w:val="24"/>
                <w:szCs w:val="24"/>
                <w:highlight w:val="none"/>
                <w:lang w:val="en-US" w:eastAsia="zh-CN"/>
              </w:rPr>
              <w:t>150</w:t>
            </w:r>
            <w:r>
              <w:rPr>
                <w:rFonts w:hint="eastAsia" w:ascii="Times New Roman" w:hAnsi="Times New Roman" w:eastAsia="宋体" w:cs="Times New Roman"/>
                <w:color w:val="auto"/>
                <w:kern w:val="0"/>
                <w:sz w:val="24"/>
                <w:szCs w:val="24"/>
                <w:highlight w:val="none"/>
                <w:lang w:eastAsia="zh-CN"/>
              </w:rPr>
              <w:t>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w:t>
            </w:r>
            <w:r>
              <w:rPr>
                <w:rFonts w:hint="eastAsia"/>
                <w:color w:val="auto"/>
                <w:sz w:val="24"/>
                <w:szCs w:val="24"/>
                <w:lang w:val="en-US" w:eastAsia="zh-CN"/>
              </w:rPr>
              <w:t>所</w:t>
            </w:r>
            <w:r>
              <w:rPr>
                <w:rFonts w:hint="eastAsia"/>
                <w:color w:val="auto"/>
                <w:sz w:val="24"/>
                <w:szCs w:val="24"/>
                <w:lang w:eastAsia="zh-CN"/>
              </w:rPr>
              <w:t>占比例</w:t>
            </w:r>
            <w:r>
              <w:rPr>
                <w:rFonts w:hint="eastAsia"/>
                <w:color w:val="auto"/>
                <w:sz w:val="24"/>
                <w:szCs w:val="24"/>
                <w:lang w:val="en-US" w:eastAsia="zh-CN"/>
              </w:rPr>
              <w:t>较小</w:t>
            </w:r>
            <w:r>
              <w:rPr>
                <w:rFonts w:hint="eastAsia"/>
                <w:color w:val="auto"/>
                <w:sz w:val="24"/>
                <w:szCs w:val="24"/>
                <w:lang w:eastAsia="zh-CN"/>
              </w:rPr>
              <w:t>，对其周边森林生态防护效能的影响小。</w:t>
            </w:r>
          </w:p>
          <w:p w14:paraId="702117E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color w:val="auto"/>
                <w:sz w:val="24"/>
                <w:szCs w:val="24"/>
                <w:lang w:eastAsia="zh-CN"/>
              </w:rPr>
              <w:t>④对景观风貌的影响分析</w:t>
            </w:r>
          </w:p>
          <w:p w14:paraId="15BAFA0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项目区</w:t>
            </w:r>
            <w:r>
              <w:rPr>
                <w:rFonts w:hint="eastAsia"/>
                <w:color w:val="auto"/>
                <w:sz w:val="24"/>
                <w:szCs w:val="24"/>
                <w:lang w:val="en-US" w:eastAsia="zh-CN"/>
              </w:rPr>
              <w:t>林地类型</w:t>
            </w:r>
            <w:r>
              <w:rPr>
                <w:rFonts w:hint="eastAsia"/>
                <w:color w:val="auto"/>
                <w:sz w:val="24"/>
                <w:szCs w:val="24"/>
              </w:rPr>
              <w:t>为</w:t>
            </w:r>
            <w:r>
              <w:rPr>
                <w:rFonts w:hint="eastAsia"/>
                <w:color w:val="auto"/>
                <w:sz w:val="24"/>
                <w:szCs w:val="24"/>
                <w:lang w:eastAsia="zh-CN"/>
              </w:rPr>
              <w:t>其他</w:t>
            </w:r>
            <w:r>
              <w:rPr>
                <w:rFonts w:hint="eastAsia"/>
                <w:color w:val="auto"/>
                <w:sz w:val="24"/>
                <w:szCs w:val="24"/>
              </w:rPr>
              <w:t>林地、灌木林地和</w:t>
            </w:r>
            <w:r>
              <w:rPr>
                <w:rFonts w:hint="eastAsia"/>
                <w:color w:val="auto"/>
                <w:sz w:val="24"/>
                <w:szCs w:val="24"/>
                <w:lang w:eastAsia="zh-CN"/>
              </w:rPr>
              <w:t>公益林</w:t>
            </w:r>
            <w:r>
              <w:rPr>
                <w:rFonts w:hint="eastAsia"/>
                <w:color w:val="auto"/>
                <w:sz w:val="24"/>
                <w:szCs w:val="24"/>
              </w:rPr>
              <w:t>，使用林地后，对项目区域景观风貌影响较小。项目建设需要使用部分林地，施工中将破坏一定数量的地表植被，林地用途将发生改变，一定程度上破坏了区域内景观潜在的美学价值，对周边自然景观有一定影响。</w:t>
            </w:r>
          </w:p>
          <w:p w14:paraId="501DD5A1">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auto"/>
                <w:sz w:val="24"/>
                <w:szCs w:val="24"/>
                <w:highlight w:val="none"/>
                <w:lang w:val="en-US" w:eastAsia="zh-CN"/>
              </w:rPr>
            </w:pPr>
            <w:r>
              <w:rPr>
                <w:rFonts w:hint="eastAsia"/>
                <w:b w:val="0"/>
                <w:bCs/>
                <w:color w:val="auto"/>
                <w:sz w:val="24"/>
                <w:szCs w:val="24"/>
                <w:lang w:val="en-US" w:eastAsia="zh-CN"/>
              </w:rPr>
              <w:t>根据</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b w:val="0"/>
                <w:bCs/>
                <w:color w:val="auto"/>
                <w:sz w:val="24"/>
                <w:szCs w:val="24"/>
                <w:lang w:val="en-US" w:eastAsia="zh-CN"/>
              </w:rPr>
              <w:t>的需要及选址的特殊性，不可避免地要使用部分林地才能建成。根据《云南省林业和草原局云南省能源局关于进一步规范光伏复合项目使用林草地有关事项的通知》（云林规</w:t>
            </w:r>
            <w:r>
              <w:rPr>
                <w:rFonts w:hint="default" w:ascii="Times New Roman" w:hAnsi="Times New Roman" w:cs="Times New Roman"/>
                <w:b w:val="0"/>
                <w:bCs/>
                <w:color w:val="auto"/>
                <w:sz w:val="24"/>
                <w:szCs w:val="24"/>
                <w:lang w:val="en-US" w:eastAsia="zh-CN"/>
              </w:rPr>
              <w:t>〔</w:t>
            </w:r>
            <w:r>
              <w:rPr>
                <w:rFonts w:hint="eastAsia"/>
                <w:b w:val="0"/>
                <w:bCs/>
                <w:color w:val="auto"/>
                <w:sz w:val="24"/>
                <w:szCs w:val="24"/>
                <w:lang w:val="en-US" w:eastAsia="zh-CN"/>
              </w:rPr>
              <w:t>2021〕5号）文件规定：光伏复合项目电池组件阵列用地涉及林地以外农用地的，建设标准应严格按照《云南省自然资源厅云南省能源局关于进一步支持光伏扶贫和规范光伏发电产业用地的通知》（云自然资〔2019〕196号）要求执行。因此，项目电池组件阵列地块通过租赁、作价入股等流转方式使用，需在寻甸县自然资源局和寻甸县林业和草原局进行备案。</w:t>
            </w:r>
          </w:p>
          <w:p w14:paraId="271CD65C">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auto"/>
                <w:sz w:val="24"/>
                <w:szCs w:val="24"/>
                <w:lang w:val="en-US" w:eastAsia="zh-CN"/>
              </w:rPr>
            </w:pPr>
            <w:r>
              <w:rPr>
                <w:rFonts w:hint="eastAsia"/>
                <w:b w:val="0"/>
                <w:bCs/>
                <w:color w:val="auto"/>
                <w:sz w:val="24"/>
                <w:szCs w:val="24"/>
                <w:lang w:val="en-US" w:eastAsia="zh-CN"/>
              </w:rPr>
              <w:t>说明：根据《云南省林业和草原局云南省能源局关于进一步规范光伏复合项目使用林草地有关事项的通知》（云林规</w:t>
            </w:r>
            <w:r>
              <w:rPr>
                <w:rFonts w:hint="default" w:ascii="Times New Roman" w:hAnsi="Times New Roman" w:cs="Times New Roman"/>
                <w:b w:val="0"/>
                <w:bCs/>
                <w:color w:val="auto"/>
                <w:sz w:val="24"/>
                <w:szCs w:val="24"/>
                <w:lang w:val="en-US" w:eastAsia="zh-CN"/>
              </w:rPr>
              <w:t>〔</w:t>
            </w:r>
            <w:r>
              <w:rPr>
                <w:rFonts w:hint="eastAsia"/>
                <w:b w:val="0"/>
                <w:bCs/>
                <w:color w:val="auto"/>
                <w:sz w:val="24"/>
                <w:szCs w:val="24"/>
                <w:lang w:val="en-US" w:eastAsia="zh-CN"/>
              </w:rPr>
              <w:t>2021〕5号），电池组件阵列使用林地由项目业主单位与林权权利人签订书面协议，通过租赁、作价入股等流转方式使用林地，在用地报批阶段明确用地红线范围，待光伏电站设施占用林地经审核同意后方可开展建设，不再办理使用林地手续。</w:t>
            </w:r>
          </w:p>
          <w:p w14:paraId="59343EA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b w:val="0"/>
                <w:bCs/>
                <w:color w:val="auto"/>
                <w:sz w:val="24"/>
                <w:szCs w:val="24"/>
                <w:lang w:val="en-US" w:eastAsia="zh-CN"/>
              </w:rPr>
              <w:t>项目电池组件阵列未使用有林地、疏林地、未成林造林地、采伐迹地、火烧迹地；使用灌木林地盖度低于50%。建设项目支架基础的最低架设</w:t>
            </w:r>
            <w:r>
              <w:rPr>
                <w:rFonts w:hint="default" w:ascii="Times New Roman" w:hAnsi="Times New Roman" w:eastAsia="宋体" w:cs="Times New Roman"/>
                <w:color w:val="auto"/>
                <w:sz w:val="24"/>
                <w:szCs w:val="24"/>
                <w:lang w:val="en-US" w:eastAsia="zh-CN"/>
              </w:rPr>
              <w:t>点应高于灌木高度1米以上</w:t>
            </w:r>
            <w:r>
              <w:rPr>
                <w:rFonts w:hint="eastAsia"/>
                <w:b w:val="0"/>
                <w:bCs/>
                <w:color w:val="auto"/>
                <w:sz w:val="24"/>
                <w:szCs w:val="24"/>
                <w:lang w:val="en-US" w:eastAsia="zh-CN"/>
              </w:rPr>
              <w:t>，与《云南省林业和草原局云南省能源局关于进一步规范光伏复合项目使用林草地有关事项的通知》（云林规〔2021〕5号）相符。</w:t>
            </w:r>
          </w:p>
          <w:p w14:paraId="71E9E2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对动物的影响分析</w:t>
            </w:r>
          </w:p>
          <w:p w14:paraId="7AECA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建设对野生动物的影响主要是</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施工期带来的影响，包括项目占地带来的影响和施工活动带来的影响。</w:t>
            </w:r>
          </w:p>
          <w:p w14:paraId="0DF4B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在施工期，</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占地、临时道路和施工生产生活区等占用原有陆栖脊椎野生动物的栖息生境，使其栖息和活动场所缩小，如小型穴居哺乳类和爬行类的洞穴、鸟类巢区的生境将遭到破坏，少数动物的生活和繁殖活动将受到一定影响。结果迫使原栖息在该区域的动物迁往其他适宜的生境，动物种群数量在一段时间内将会有大的波动，但这一类型的影响不会导致当地物种的灭绝和消失。本项目占用和破坏的植被类型较为简单，在这些生境中生活的野生动物的种类和数量都比较贫乏，现场调查时未发现当地分布的特有种类和保护种类，物种多样性不丰富，而且区域内分布的这些动物的活动性较强，均为区域广泛分布物种，因此，本项目建设对区域野生动物的影响较小。</w:t>
            </w:r>
            <w:r>
              <w:rPr>
                <w:rFonts w:hint="default" w:ascii="Times New Roman" w:hAnsi="Times New Roman" w:eastAsia="宋体" w:cs="Times New Roman"/>
                <w:color w:val="auto"/>
                <w:sz w:val="24"/>
                <w:szCs w:val="24"/>
                <w:lang w:val="en-US" w:eastAsia="zh-CN"/>
              </w:rPr>
              <w:t xml:space="preserve"> </w:t>
            </w:r>
          </w:p>
          <w:p w14:paraId="783B5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实施对陆生野生脊椎动物的影响在以下三方面：①施工对动物生境的干扰和破坏，如施工砍伐树木对动物栖息地的破坏等；②施工人员的人为干扰；③施工噪声对动物生境的破坏以及对动物的惊吓、驱赶等。影响的结果将使得大部分动物</w:t>
            </w:r>
            <w:r>
              <w:rPr>
                <w:rFonts w:hint="default" w:ascii="Times New Roman" w:hAnsi="Times New Roman" w:eastAsia="宋体" w:cs="Times New Roman"/>
                <w:color w:val="auto"/>
                <w:sz w:val="24"/>
                <w:szCs w:val="24"/>
                <w:lang w:eastAsia="zh-CN"/>
              </w:rPr>
              <w:t>迁移他处</w:t>
            </w:r>
            <w:r>
              <w:rPr>
                <w:rFonts w:hint="default" w:ascii="Times New Roman" w:hAnsi="Times New Roman" w:eastAsia="宋体" w:cs="Times New Roman"/>
                <w:color w:val="auto"/>
                <w:sz w:val="24"/>
                <w:szCs w:val="24"/>
              </w:rPr>
              <w:t>，远离施工影响范围。在评价区有较多的鸟类，偶尔会进入项目区，鸟类具有较强的趋避能力，会飞离项目区，重新寻找周边新的适宜生境和栖息地，因此，在施工期上述鸟类受到施工干扰，将减少到项目区附近觅食、活动。但以上鸟类运动能力较强，生境范围在</w:t>
            </w:r>
            <w:r>
              <w:rPr>
                <w:rFonts w:hint="eastAsia" w:cs="Times New Roman"/>
                <w:color w:val="auto"/>
                <w:sz w:val="24"/>
                <w:szCs w:val="24"/>
                <w:lang w:val="en-US" w:eastAsia="zh-CN"/>
              </w:rPr>
              <w:t>寻甸</w:t>
            </w:r>
            <w:r>
              <w:rPr>
                <w:rFonts w:hint="eastAsia" w:cs="Times New Roman"/>
                <w:color w:val="auto"/>
                <w:sz w:val="24"/>
                <w:szCs w:val="24"/>
                <w:lang w:eastAsia="zh-CN"/>
              </w:rPr>
              <w:t>县</w:t>
            </w:r>
            <w:r>
              <w:rPr>
                <w:rFonts w:hint="default" w:ascii="Times New Roman" w:hAnsi="Times New Roman" w:eastAsia="宋体" w:cs="Times New Roman"/>
                <w:color w:val="auto"/>
                <w:sz w:val="24"/>
                <w:szCs w:val="24"/>
              </w:rPr>
              <w:t>广泛分布，项目施工不会造成当地鸟类物种灭绝或数量锐减，也不会造成鸟类多样性的明显降低</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因此，只要加强施工管理，项目建设对鸟类的影响</w:t>
            </w:r>
            <w:r>
              <w:rPr>
                <w:rFonts w:hint="default" w:ascii="Times New Roman" w:hAnsi="Times New Roman" w:eastAsia="宋体" w:cs="Times New Roman"/>
                <w:color w:val="auto"/>
                <w:sz w:val="24"/>
                <w:szCs w:val="24"/>
                <w:lang w:val="en-US" w:eastAsia="zh-CN"/>
              </w:rPr>
              <w:t>小</w:t>
            </w:r>
            <w:r>
              <w:rPr>
                <w:rFonts w:hint="default" w:ascii="Times New Roman" w:hAnsi="Times New Roman" w:eastAsia="宋体" w:cs="Times New Roman"/>
                <w:color w:val="auto"/>
                <w:sz w:val="24"/>
                <w:szCs w:val="24"/>
              </w:rPr>
              <w:t>。</w:t>
            </w:r>
          </w:p>
          <w:p w14:paraId="273EF357">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eastAsia"/>
                <w:bCs/>
                <w:color w:val="auto"/>
                <w:sz w:val="24"/>
                <w:lang w:val="en-US" w:eastAsia="zh-CN"/>
              </w:rPr>
              <w:t>5</w:t>
            </w:r>
            <w:r>
              <w:rPr>
                <w:rFonts w:hint="eastAsia"/>
                <w:bCs/>
                <w:color w:val="auto"/>
                <w:sz w:val="24"/>
              </w:rPr>
              <w:t>）对水土流失影响分析</w:t>
            </w:r>
          </w:p>
          <w:p w14:paraId="02E454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olor w:val="auto"/>
                <w:sz w:val="24"/>
              </w:rPr>
              <w:t>本项目</w:t>
            </w:r>
            <w:r>
              <w:rPr>
                <w:rFonts w:hint="default" w:ascii="Times New Roman" w:hAnsi="Times New Roman" w:eastAsia="宋体"/>
                <w:color w:val="auto"/>
                <w:sz w:val="24"/>
              </w:rPr>
              <w:t>太阳</w:t>
            </w:r>
            <w:r>
              <w:rPr>
                <w:rFonts w:hint="eastAsia" w:ascii="Times New Roman" w:hAnsi="Times New Roman" w:eastAsia="宋体"/>
                <w:color w:val="auto"/>
                <w:sz w:val="24"/>
              </w:rPr>
              <w:t>能</w:t>
            </w:r>
            <w:r>
              <w:rPr>
                <w:rFonts w:hint="default" w:ascii="Times New Roman" w:hAnsi="Times New Roman" w:eastAsia="宋体"/>
                <w:color w:val="auto"/>
                <w:sz w:val="24"/>
              </w:rPr>
              <w:t>电池方阵</w:t>
            </w:r>
            <w:r>
              <w:rPr>
                <w:rFonts w:hint="eastAsia" w:ascii="Times New Roman" w:hAnsi="Times New Roman" w:eastAsia="宋体"/>
                <w:color w:val="auto"/>
                <w:sz w:val="24"/>
              </w:rPr>
              <w:t>虽</w:t>
            </w:r>
            <w:r>
              <w:rPr>
                <w:rFonts w:hint="default" w:ascii="Times New Roman" w:hAnsi="Times New Roman" w:eastAsia="宋体"/>
                <w:color w:val="auto"/>
                <w:sz w:val="24"/>
              </w:rPr>
              <w:t>占地面积大，</w:t>
            </w:r>
            <w:r>
              <w:rPr>
                <w:rFonts w:hint="eastAsia" w:ascii="Times New Roman" w:hAnsi="Times New Roman" w:eastAsia="宋体"/>
                <w:color w:val="auto"/>
                <w:sz w:val="24"/>
              </w:rPr>
              <w:t>但光伏场区仅</w:t>
            </w:r>
            <w:r>
              <w:rPr>
                <w:rFonts w:hint="default" w:ascii="Times New Roman" w:hAnsi="Times New Roman" w:eastAsia="宋体"/>
                <w:color w:val="auto"/>
                <w:sz w:val="24"/>
              </w:rPr>
              <w:t>支架基础</w:t>
            </w:r>
            <w:r>
              <w:rPr>
                <w:rFonts w:hint="eastAsia" w:ascii="Times New Roman" w:hAnsi="Times New Roman" w:eastAsia="宋体"/>
                <w:color w:val="auto"/>
                <w:sz w:val="24"/>
                <w:lang w:eastAsia="zh-CN"/>
              </w:rPr>
              <w:t>等</w:t>
            </w:r>
            <w:r>
              <w:rPr>
                <w:rFonts w:hint="default" w:ascii="Times New Roman" w:hAnsi="Times New Roman" w:eastAsia="宋体"/>
                <w:color w:val="auto"/>
                <w:sz w:val="24"/>
              </w:rPr>
              <w:t>施工时</w:t>
            </w:r>
            <w:r>
              <w:rPr>
                <w:rFonts w:hint="eastAsia" w:ascii="Times New Roman" w:hAnsi="Times New Roman" w:eastAsia="宋体"/>
                <w:color w:val="auto"/>
                <w:sz w:val="24"/>
              </w:rPr>
              <w:t>对地面有扰动，总扰动面积较小，太阳能电池板下</w:t>
            </w:r>
            <w:r>
              <w:rPr>
                <w:rFonts w:hint="eastAsia" w:ascii="Times New Roman" w:hAnsi="Times New Roman" w:eastAsia="宋体"/>
                <w:color w:val="auto"/>
                <w:sz w:val="24"/>
                <w:lang w:eastAsia="zh-CN"/>
              </w:rPr>
              <w:t>进行生态恢复</w:t>
            </w:r>
            <w:r>
              <w:rPr>
                <w:rFonts w:hint="eastAsia" w:ascii="Times New Roman" w:hAnsi="Times New Roman" w:eastAsia="宋体"/>
                <w:color w:val="auto"/>
                <w:sz w:val="24"/>
              </w:rPr>
              <w:t>，基本不会造成水土流失。</w:t>
            </w:r>
            <w:r>
              <w:rPr>
                <w:rFonts w:hint="eastAsia" w:ascii="Times New Roman" w:hAnsi="Times New Roman" w:eastAsia="宋体"/>
                <w:color w:val="auto"/>
                <w:sz w:val="24"/>
                <w:lang w:eastAsia="zh-CN"/>
              </w:rPr>
              <w:t>另外，</w:t>
            </w:r>
            <w:r>
              <w:rPr>
                <w:rFonts w:hint="eastAsia" w:ascii="Times New Roman" w:hAnsi="Times New Roman" w:eastAsia="宋体"/>
                <w:color w:val="auto"/>
                <w:sz w:val="24"/>
              </w:rPr>
              <w:t>由于一些施工临时性工程，如场内道路若防治不当，会新增区域水土流失量，对区域造成水土流失影响。</w:t>
            </w:r>
            <w:r>
              <w:rPr>
                <w:rFonts w:hint="default" w:ascii="Times New Roman" w:hAnsi="Times New Roman" w:eastAsia="宋体"/>
                <w:color w:val="auto"/>
                <w:sz w:val="24"/>
              </w:rPr>
              <w:t>因此，在</w:t>
            </w:r>
            <w:r>
              <w:rPr>
                <w:rFonts w:hint="eastAsia" w:ascii="Times New Roman" w:hAnsi="Times New Roman" w:eastAsia="宋体"/>
                <w:color w:val="auto"/>
                <w:sz w:val="24"/>
              </w:rPr>
              <w:t>项目</w:t>
            </w:r>
            <w:r>
              <w:rPr>
                <w:rFonts w:hint="default" w:ascii="Times New Roman" w:hAnsi="Times New Roman" w:eastAsia="宋体"/>
                <w:color w:val="auto"/>
                <w:sz w:val="24"/>
              </w:rPr>
              <w:t>施工中应高度重视水土保持</w:t>
            </w:r>
            <w:r>
              <w:rPr>
                <w:rFonts w:hint="eastAsia" w:ascii="Times New Roman" w:hAnsi="Times New Roman" w:eastAsia="宋体"/>
                <w:color w:val="auto"/>
                <w:sz w:val="24"/>
              </w:rPr>
              <w:t>工作</w:t>
            </w:r>
            <w:r>
              <w:rPr>
                <w:rFonts w:hint="default" w:ascii="Times New Roman" w:hAnsi="Times New Roman" w:eastAsia="宋体"/>
                <w:color w:val="auto"/>
                <w:sz w:val="24"/>
              </w:rPr>
              <w:t>，严格按照水土保持有关要求进行设计施工</w:t>
            </w:r>
            <w:r>
              <w:rPr>
                <w:rFonts w:hint="eastAsia" w:ascii="Times New Roman" w:hAnsi="Times New Roman" w:eastAsia="宋体"/>
                <w:color w:val="auto"/>
                <w:sz w:val="24"/>
                <w:lang w:eastAsia="zh-CN"/>
              </w:rPr>
              <w:t>，</w:t>
            </w:r>
            <w:r>
              <w:rPr>
                <w:rFonts w:hint="default" w:ascii="Times New Roman" w:hAnsi="Times New Roman" w:eastAsia="宋体" w:cs="Times New Roman"/>
                <w:color w:val="auto"/>
                <w:sz w:val="24"/>
                <w:szCs w:val="24"/>
                <w:lang w:val="en-US" w:eastAsia="zh-CN"/>
              </w:rPr>
              <w:t>场内道路施工过程中应尽量减少边坡开挖，严格执行水保措施，</w:t>
            </w:r>
            <w:r>
              <w:rPr>
                <w:rFonts w:hint="default" w:ascii="Times New Roman" w:hAnsi="Times New Roman" w:eastAsia="宋体" w:cs="Times New Roman"/>
                <w:color w:val="auto"/>
                <w:sz w:val="24"/>
                <w:szCs w:val="24"/>
                <w:highlight w:val="none"/>
                <w:lang w:val="en-US" w:eastAsia="zh-CN"/>
              </w:rPr>
              <w:t>沿光伏方阵上游外围设置截排水沟，截排水沟末段布设了永久沉砂池进行泥沙沉淀，避免暴雨洪峰对主体工程冲刷影响；</w:t>
            </w:r>
            <w:r>
              <w:rPr>
                <w:rFonts w:hint="default" w:ascii="Times New Roman" w:hAnsi="Times New Roman" w:eastAsia="宋体" w:cs="Times New Roman"/>
                <w:color w:val="auto"/>
                <w:sz w:val="24"/>
                <w:szCs w:val="24"/>
                <w:lang w:val="en-US" w:eastAsia="zh-CN"/>
              </w:rPr>
              <w:t>光伏方阵及空地扰动区域设计了底层绿化；场内道路区设计了排水沟。施工场地等临时设施施工结束后及时进行恢复。通过采取上述措施减少对水土流失的影响。</w:t>
            </w:r>
          </w:p>
          <w:p w14:paraId="1106251F">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6</w:t>
            </w:r>
            <w:r>
              <w:rPr>
                <w:rFonts w:hint="default"/>
                <w:color w:val="auto"/>
                <w:kern w:val="0"/>
                <w:sz w:val="24"/>
                <w:lang w:bidi="ar"/>
              </w:rPr>
              <w:t>）对生物多样性影响</w:t>
            </w:r>
          </w:p>
          <w:p w14:paraId="145F632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lang w:bidi="ar"/>
              </w:rPr>
            </w:pPr>
            <w:r>
              <w:rPr>
                <w:rFonts w:hint="default"/>
                <w:color w:val="auto"/>
                <w:kern w:val="0"/>
                <w:sz w:val="24"/>
                <w:lang w:bidi="ar"/>
              </w:rPr>
              <w:t>施工作业主要对施工场地、施工道路等的植被造成破坏，项目建设完成后对施工迹地采取绿化措施。项目评价区域动植物种类为区域常见种和广布种，</w:t>
            </w:r>
            <w:r>
              <w:rPr>
                <w:rFonts w:hint="eastAsia" w:hAnsi="宋体"/>
                <w:color w:val="auto"/>
                <w:sz w:val="24"/>
                <w:szCs w:val="24"/>
                <w:lang w:val="en-US" w:eastAsia="zh-CN"/>
              </w:rPr>
              <w:t>不</w:t>
            </w:r>
            <w:r>
              <w:rPr>
                <w:rFonts w:hint="default" w:ascii="Times New Roman" w:hAnsi="Times New Roman" w:cs="Times New Roman"/>
                <w:color w:val="auto"/>
                <w:kern w:val="0"/>
                <w:sz w:val="24"/>
                <w:lang w:val="en-US" w:eastAsia="zh-CN"/>
              </w:rPr>
              <w:t>存在极小种群、重点保护野生植物以及特殊（珍稀）植物群落等</w:t>
            </w:r>
            <w:r>
              <w:rPr>
                <w:rFonts w:hint="default"/>
                <w:color w:val="auto"/>
                <w:kern w:val="0"/>
                <w:sz w:val="24"/>
                <w:lang w:bidi="ar"/>
              </w:rPr>
              <w:t>，生态系统类型在项目周边区域分布较广，动物基本为当地常见物种，项目施工会导致动物向周边环境迁徙，不会影响区域的动物生物多样性。项目建成后通过</w:t>
            </w:r>
            <w:r>
              <w:rPr>
                <w:rFonts w:hint="eastAsia"/>
                <w:color w:val="auto"/>
                <w:kern w:val="0"/>
                <w:sz w:val="24"/>
                <w:lang w:val="en-US" w:eastAsia="zh-CN" w:bidi="ar"/>
              </w:rPr>
              <w:t>植被恢复</w:t>
            </w:r>
            <w:r>
              <w:rPr>
                <w:rFonts w:hint="default"/>
                <w:color w:val="auto"/>
                <w:kern w:val="0"/>
                <w:sz w:val="24"/>
                <w:lang w:bidi="ar"/>
              </w:rPr>
              <w:t>可以恢复被扰动的区域植被，对植物种类的多样性和植被类型的多样性影响较小。</w:t>
            </w:r>
          </w:p>
          <w:p w14:paraId="32E2BD7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lang w:eastAsia="zh-CN" w:bidi="ar"/>
              </w:rPr>
            </w:pPr>
            <w:r>
              <w:rPr>
                <w:rFonts w:hint="eastAsia"/>
                <w:color w:val="auto"/>
                <w:kern w:val="0"/>
                <w:sz w:val="24"/>
                <w:lang w:val="en-US" w:eastAsia="zh-CN" w:bidi="ar"/>
              </w:rPr>
              <w:t>7</w:t>
            </w:r>
            <w:r>
              <w:rPr>
                <w:rFonts w:hint="eastAsia"/>
                <w:color w:val="auto"/>
                <w:kern w:val="0"/>
                <w:sz w:val="24"/>
                <w:lang w:eastAsia="zh-CN" w:bidi="ar"/>
              </w:rPr>
              <w:t>）对景观的影响分析</w:t>
            </w:r>
          </w:p>
          <w:p w14:paraId="2366D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拟建项目施工期将破坏地表植被，引起水土流失，破坏原有的</w:t>
            </w:r>
            <w:r>
              <w:rPr>
                <w:rFonts w:hint="default" w:ascii="Times New Roman" w:hAnsi="Times New Roman" w:eastAsia="宋体" w:cs="Times New Roman"/>
                <w:color w:val="auto"/>
                <w:sz w:val="24"/>
                <w:szCs w:val="24"/>
                <w:highlight w:val="none"/>
                <w:lang w:eastAsia="zh-CN"/>
              </w:rPr>
              <w:t>灌木林地</w:t>
            </w:r>
            <w:r>
              <w:rPr>
                <w:rFonts w:hint="default" w:ascii="Times New Roman" w:hAnsi="Times New Roman" w:eastAsia="宋体" w:cs="Times New Roman"/>
                <w:color w:val="auto"/>
                <w:sz w:val="24"/>
                <w:szCs w:val="24"/>
                <w:lang w:eastAsia="zh-CN"/>
              </w:rPr>
              <w:t>等景观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施工机械和施工人员进驻给原有的景观环境增添了不和谐的景色</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临时材料堆场形成突兀、不规则的堆状物，与周围的景观形成反差，同时，</w:t>
            </w:r>
            <w:r>
              <w:rPr>
                <w:rFonts w:hint="eastAsia" w:cs="Times New Roman"/>
                <w:color w:val="auto"/>
                <w:sz w:val="24"/>
                <w:szCs w:val="24"/>
                <w:lang w:eastAsia="zh-CN"/>
              </w:rPr>
              <w:t>旱季</w:t>
            </w:r>
            <w:r>
              <w:rPr>
                <w:rFonts w:hint="default" w:ascii="Times New Roman" w:hAnsi="Times New Roman" w:eastAsia="宋体" w:cs="Times New Roman"/>
                <w:color w:val="auto"/>
                <w:sz w:val="24"/>
                <w:szCs w:val="24"/>
                <w:lang w:eastAsia="zh-CN"/>
              </w:rPr>
              <w:t>易形成扬尘，雨季易产生土壤侵蚀，对周围景观产生破坏和影响</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工程施工期间，施工机械所产生的噪声、扬尘、废气、工程垃圾等都会对周围的环境造成污染，给区域景观带来一定的破坏。上述影响均发生在施工期，对景观的影响是短暂的。随着施工期的结束，影响逐渐消失。</w:t>
            </w:r>
          </w:p>
          <w:p w14:paraId="05FBE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施工结束后将会对临时施工区进行植被恢复，施工期所损失的植被面积将得到一定恢复。随着临时施工区的植被恢复及场区绿化工程的完工，因项目占地改变土地性质破坏植被而损失的生物量将逐渐得到一定的恢复。另外，项目光伏阵列占地多为临时占地，后期拟在光伏太阳能板下种植当地适宜</w:t>
            </w:r>
            <w:r>
              <w:rPr>
                <w:rFonts w:hint="eastAsia" w:cs="Times New Roman"/>
                <w:color w:val="auto"/>
                <w:sz w:val="24"/>
                <w:szCs w:val="24"/>
                <w:lang w:val="en-US" w:eastAsia="zh-CN"/>
              </w:rPr>
              <w:t>林草</w:t>
            </w:r>
            <w:r>
              <w:rPr>
                <w:rFonts w:hint="default" w:ascii="Times New Roman" w:hAnsi="Times New Roman" w:eastAsia="宋体" w:cs="Times New Roman"/>
                <w:color w:val="auto"/>
                <w:sz w:val="24"/>
                <w:szCs w:val="24"/>
                <w:lang w:eastAsia="zh-CN"/>
              </w:rPr>
              <w:t>植被，实现</w:t>
            </w:r>
            <w:r>
              <w:rPr>
                <w:rFonts w:hint="eastAsia" w:ascii="Times New Roman" w:hAnsi="Times New Roman" w:eastAsia="宋体" w:cs="Times New Roman"/>
                <w:color w:val="auto"/>
                <w:sz w:val="24"/>
                <w:szCs w:val="24"/>
                <w:lang w:eastAsia="zh-CN"/>
              </w:rPr>
              <w:t>林光互补</w:t>
            </w:r>
            <w:r>
              <w:rPr>
                <w:rFonts w:hint="default" w:ascii="Times New Roman" w:hAnsi="Times New Roman" w:eastAsia="宋体" w:cs="Times New Roman"/>
                <w:color w:val="auto"/>
                <w:sz w:val="24"/>
                <w:szCs w:val="24"/>
                <w:lang w:eastAsia="zh-CN"/>
              </w:rPr>
              <w:t>后项目区临时占用的</w:t>
            </w:r>
            <w:r>
              <w:rPr>
                <w:rFonts w:hint="default" w:ascii="Times New Roman" w:hAnsi="Times New Roman" w:eastAsia="宋体" w:cs="Times New Roman"/>
                <w:color w:val="auto"/>
                <w:sz w:val="24"/>
                <w:szCs w:val="24"/>
                <w:highlight w:val="none"/>
                <w:lang w:eastAsia="zh-CN"/>
              </w:rPr>
              <w:t>灌木林地</w:t>
            </w:r>
            <w:r>
              <w:rPr>
                <w:rFonts w:hint="default" w:ascii="Times New Roman" w:hAnsi="Times New Roman" w:eastAsia="宋体" w:cs="Times New Roman"/>
                <w:color w:val="auto"/>
                <w:sz w:val="24"/>
                <w:szCs w:val="24"/>
                <w:lang w:eastAsia="zh-CN"/>
              </w:rPr>
              <w:t>等区域植被将逐渐得到恢复</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因此项目临时占地对区域的生物量及生产力的影响不大。</w:t>
            </w:r>
          </w:p>
          <w:p w14:paraId="489C1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项目建设对区域生物量、生产力的影响不大，在可接受范围内。</w:t>
            </w:r>
          </w:p>
          <w:p w14:paraId="594364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lang w:val="en-US" w:eastAsia="zh-CN" w:bidi="ar"/>
              </w:rPr>
            </w:pPr>
            <w:r>
              <w:rPr>
                <w:rFonts w:hint="eastAsia"/>
                <w:color w:val="auto"/>
                <w:kern w:val="0"/>
                <w:sz w:val="24"/>
                <w:lang w:val="en-US" w:eastAsia="zh-CN" w:bidi="ar"/>
              </w:rPr>
              <w:t>8）林业种植对当地生态系统影响分析</w:t>
            </w:r>
          </w:p>
          <w:p w14:paraId="73F9B7AB">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highlight w:val="none"/>
              </w:rPr>
            </w:pPr>
            <w:r>
              <w:rPr>
                <w:rFonts w:hint="eastAsia"/>
                <w:b w:val="0"/>
                <w:bCs w:val="0"/>
                <w:color w:val="auto"/>
                <w:sz w:val="24"/>
                <w:highlight w:val="none"/>
              </w:rPr>
              <w:t>根据现场踏勘，项目所在地</w:t>
            </w:r>
            <w:r>
              <w:rPr>
                <w:rFonts w:hint="eastAsia"/>
                <w:b w:val="0"/>
                <w:bCs w:val="0"/>
                <w:color w:val="auto"/>
                <w:sz w:val="24"/>
                <w:highlight w:val="none"/>
                <w:lang w:val="en-US" w:eastAsia="zh-CN"/>
              </w:rPr>
              <w:t>主要</w:t>
            </w:r>
            <w:r>
              <w:rPr>
                <w:rFonts w:hint="eastAsia"/>
                <w:b w:val="0"/>
                <w:bCs w:val="0"/>
                <w:color w:val="auto"/>
                <w:sz w:val="24"/>
                <w:highlight w:val="none"/>
              </w:rPr>
              <w:t>为林地、草地生态系统，生态系统受人为影响较为严重，生物多样性较差，除部分人工种植耕地作物外，大面积生长荒草</w:t>
            </w:r>
            <w:r>
              <w:rPr>
                <w:rFonts w:hint="eastAsia"/>
                <w:b w:val="0"/>
                <w:bCs w:val="0"/>
                <w:color w:val="auto"/>
                <w:sz w:val="24"/>
                <w:highlight w:val="none"/>
                <w:lang w:val="en-US" w:eastAsia="zh-CN"/>
              </w:rPr>
              <w:t>和灌木林</w:t>
            </w:r>
            <w:r>
              <w:rPr>
                <w:rFonts w:hint="eastAsia"/>
                <w:b w:val="0"/>
                <w:bCs w:val="0"/>
                <w:color w:val="auto"/>
                <w:sz w:val="24"/>
                <w:highlight w:val="none"/>
              </w:rPr>
              <w:t>，土壤多为沙质土壤且混有碎石，耕作层浅薄。</w:t>
            </w:r>
          </w:p>
          <w:p w14:paraId="071D5F0F">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yellow"/>
                <w:shd w:val="clear" w:color="auto" w:fill="auto"/>
              </w:rPr>
            </w:pPr>
            <w:r>
              <w:rPr>
                <w:rFonts w:hint="eastAsia"/>
                <w:b w:val="0"/>
                <w:bCs w:val="0"/>
                <w:color w:val="auto"/>
                <w:sz w:val="24"/>
                <w:highlight w:val="none"/>
              </w:rPr>
              <w:t>项目运营期拟在光伏电站征占地范围种植</w:t>
            </w:r>
            <w:r>
              <w:rPr>
                <w:rFonts w:hint="eastAsia"/>
                <w:b w:val="0"/>
                <w:bCs w:val="0"/>
                <w:color w:val="auto"/>
                <w:sz w:val="24"/>
                <w:highlight w:val="none"/>
                <w:lang w:val="en-US" w:eastAsia="zh-CN"/>
              </w:rPr>
              <w:t>林草植被</w:t>
            </w:r>
            <w:r>
              <w:rPr>
                <w:rFonts w:hint="eastAsia"/>
                <w:b w:val="0"/>
                <w:bCs w:val="0"/>
                <w:color w:val="auto"/>
                <w:sz w:val="24"/>
                <w:highlight w:val="none"/>
              </w:rPr>
              <w:t>进行复林、复耕，可以逐步恢复当地</w:t>
            </w:r>
            <w:r>
              <w:rPr>
                <w:rFonts w:hint="eastAsia"/>
                <w:b w:val="0"/>
                <w:bCs w:val="0"/>
                <w:color w:val="auto"/>
                <w:sz w:val="24"/>
                <w:highlight w:val="none"/>
                <w:lang w:val="en-US" w:eastAsia="zh-CN"/>
              </w:rPr>
              <w:t>林地</w:t>
            </w:r>
            <w:r>
              <w:rPr>
                <w:rFonts w:hint="eastAsia"/>
                <w:b w:val="0"/>
                <w:bCs w:val="0"/>
                <w:color w:val="auto"/>
                <w:sz w:val="24"/>
                <w:highlight w:val="none"/>
              </w:rPr>
              <w:t>生态系统，不改变项目土地利用性质，保持生态系统的稳定性；其次，运营期拟在空地及道路两侧种植喜阴植物对项目内植被进行恢复，植被绿化将吸引</w:t>
            </w:r>
            <w:r>
              <w:rPr>
                <w:rFonts w:hint="eastAsia"/>
                <w:b w:val="0"/>
                <w:bCs w:val="0"/>
                <w:color w:val="auto"/>
                <w:sz w:val="24"/>
                <w:highlight w:val="none"/>
                <w:lang w:val="en-US" w:eastAsia="zh-CN"/>
              </w:rPr>
              <w:t>更</w:t>
            </w:r>
            <w:r>
              <w:rPr>
                <w:rFonts w:hint="eastAsia"/>
                <w:b w:val="0"/>
                <w:bCs w:val="0"/>
                <w:color w:val="auto"/>
                <w:sz w:val="24"/>
                <w:highlight w:val="none"/>
              </w:rPr>
              <w:t>多小型动物增加当地物种多样性，使得食物链更加复杂，逐步恢复生态系统的完整性，随之生态系统将更加稳定。环评要求，在进行植被恢复时不得引入外来物种，在采取植被恢复措施后，项目的建设对当地生态系统具有显著的环境正效益，无不利影响。</w:t>
            </w:r>
          </w:p>
          <w:p w14:paraId="2D793DBA">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（2）对生态红线和永久基本农田的影响</w:t>
            </w:r>
          </w:p>
          <w:p w14:paraId="77A4A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1）位置关系</w:t>
            </w:r>
          </w:p>
          <w:p w14:paraId="4E0E6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根据叠图分析，项目用地不</w:t>
            </w:r>
            <w:r>
              <w:rPr>
                <w:rFonts w:hint="eastAsia" w:ascii="Times New Roman" w:hAnsi="Times New Roman" w:eastAsia="宋体" w:cs="Times New Roman"/>
                <w:color w:val="auto"/>
                <w:kern w:val="0"/>
                <w:sz w:val="24"/>
                <w:szCs w:val="24"/>
                <w:lang w:val="en-US" w:eastAsia="zh-CN" w:bidi="ar"/>
              </w:rPr>
              <w:t>占用</w:t>
            </w:r>
            <w:r>
              <w:rPr>
                <w:rFonts w:hint="default" w:ascii="Times New Roman" w:hAnsi="Times New Roman" w:eastAsia="宋体" w:cs="Times New Roman"/>
                <w:color w:val="auto"/>
                <w:kern w:val="0"/>
                <w:sz w:val="24"/>
                <w:szCs w:val="24"/>
                <w:lang w:val="en-US" w:eastAsia="zh-CN" w:bidi="ar"/>
              </w:rPr>
              <w:t>生态保护红线、永久基本农田。项目部分光伏板区距离生态保护红线和永久基本农田较近，</w:t>
            </w:r>
            <w:r>
              <w:rPr>
                <w:rFonts w:hint="eastAsia" w:ascii="Times New Roman" w:hAnsi="Times New Roman" w:eastAsia="宋体" w:cs="Times New Roman"/>
                <w:color w:val="auto"/>
                <w:kern w:val="0"/>
                <w:sz w:val="24"/>
                <w:szCs w:val="24"/>
                <w:lang w:val="en-US" w:eastAsia="zh-CN" w:bidi="ar"/>
              </w:rPr>
              <w:t>3#方阵南侧83.33m为</w:t>
            </w:r>
            <w:r>
              <w:rPr>
                <w:rFonts w:hint="default" w:ascii="Times New Roman" w:hAnsi="Times New Roman" w:eastAsia="宋体" w:cs="Times New Roman"/>
                <w:color w:val="auto"/>
                <w:kern w:val="0"/>
                <w:sz w:val="24"/>
                <w:szCs w:val="24"/>
                <w:lang w:val="en-US" w:eastAsia="zh-CN" w:bidi="ar"/>
              </w:rPr>
              <w:t>永久基本农田</w:t>
            </w:r>
            <w:r>
              <w:rPr>
                <w:rFonts w:hint="eastAsia" w:ascii="Times New Roman" w:hAnsi="Times New Roman" w:eastAsia="宋体" w:cs="Times New Roman"/>
                <w:color w:val="auto"/>
                <w:kern w:val="0"/>
                <w:sz w:val="24"/>
                <w:szCs w:val="24"/>
                <w:lang w:val="en-US" w:eastAsia="zh-CN" w:bidi="ar"/>
              </w:rPr>
              <w:t>，7#方阵东侧1.34m为</w:t>
            </w:r>
            <w:r>
              <w:rPr>
                <w:rFonts w:hint="default" w:ascii="Times New Roman" w:hAnsi="Times New Roman" w:eastAsia="宋体" w:cs="Times New Roman"/>
                <w:color w:val="auto"/>
                <w:kern w:val="0"/>
                <w:sz w:val="24"/>
                <w:szCs w:val="24"/>
                <w:lang w:val="en-US" w:eastAsia="zh-CN" w:bidi="ar"/>
              </w:rPr>
              <w:t>生态保护红线</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生态红线类型为</w:t>
            </w:r>
            <w:r>
              <w:rPr>
                <w:rFonts w:hint="eastAsia" w:ascii="Times New Roman" w:hAnsi="Times New Roman" w:eastAsia="宋体" w:cs="Times New Roman"/>
                <w:color w:val="auto"/>
                <w:kern w:val="0"/>
                <w:sz w:val="24"/>
                <w:szCs w:val="24"/>
                <w:lang w:val="en-US" w:eastAsia="zh-CN" w:bidi="ar"/>
              </w:rPr>
              <w:t>高原湖泊及牛栏江上游水源涵养生态保护红线</w:t>
            </w:r>
            <w:r>
              <w:rPr>
                <w:rFonts w:hint="default" w:ascii="Times New Roman" w:hAnsi="Times New Roman" w:eastAsia="宋体" w:cs="Times New Roman"/>
                <w:color w:val="auto"/>
                <w:kern w:val="0"/>
                <w:sz w:val="24"/>
                <w:szCs w:val="24"/>
                <w:lang w:val="en-US" w:eastAsia="zh-CN" w:bidi="ar"/>
              </w:rPr>
              <w:t>。</w:t>
            </w:r>
          </w:p>
          <w:p w14:paraId="757BE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2）生态保护红线服务功能</w:t>
            </w:r>
          </w:p>
          <w:p w14:paraId="0A819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按照生态系统服务功能，生态保护红线分为三大类型：生物多样性维护、水源涵养、水土保持，共有11个分区，分别是：滇西北高山峡谷生物多样性维护与水源涵养、哀牢山—无量山山地生物多样性维护与水土保持、南部边境热带森林生物多样性维护、大盈江—瑞丽江水源涵养、高原湖泊及牛栏江上游水源涵养、珠江上游及滇东南喀斯特地带水土保持、怒江下游水土保持、澜沧江中山峡谷水土保持、金沙江干热河谷及山原水土保持、金沙江下游—小江流域水土流失控制、红河（元江）干热河谷及山原水土保持生态保护红线区。根据叠图分析，本项目附近的生态保护红线类型为</w:t>
            </w:r>
            <w:r>
              <w:rPr>
                <w:rFonts w:hint="eastAsia" w:ascii="Times New Roman" w:hAnsi="Times New Roman" w:eastAsia="宋体" w:cs="Times New Roman"/>
                <w:color w:val="auto"/>
                <w:kern w:val="0"/>
                <w:sz w:val="24"/>
                <w:szCs w:val="24"/>
                <w:lang w:val="en-US" w:eastAsia="zh-CN" w:bidi="ar"/>
              </w:rPr>
              <w:t>高原湖泊及牛栏江上游水源涵养生态保护红线</w:t>
            </w:r>
            <w:r>
              <w:rPr>
                <w:rFonts w:hint="default" w:ascii="Times New Roman" w:hAnsi="Times New Roman" w:eastAsia="宋体" w:cs="Times New Roman"/>
                <w:color w:val="auto"/>
                <w:kern w:val="0"/>
                <w:sz w:val="24"/>
                <w:szCs w:val="24"/>
                <w:lang w:val="en-US" w:eastAsia="zh-CN" w:bidi="ar"/>
              </w:rPr>
              <w:t>，主导功能为水源涵养。</w:t>
            </w:r>
          </w:p>
          <w:p w14:paraId="3E347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3）对生态保护红线的影响分析</w:t>
            </w:r>
          </w:p>
          <w:p w14:paraId="3F2A1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施工过程中应严格控制施工扰动范围，禁止施工扰动区域超出项目用地范围线，在做好各项文明施工、做好植被恢复及水土保持设施等措施的前提下，工程建设不会造成生态保护红线内动植物种群的大幅度减少，也不会破坏其生境。施工结束后，将对区域进行植被恢复，同时也恢复了其原有的生态环境功能。同时，项目设计光伏板区与围栏间隔一定距离，主要工程施工均在围栏内进行，项目建设光伏板区之前将围栏范围划定，可有效避免越线施工及对围栏外生态保护红线内动植物的影响及扰动，因此，工程建设基本不会对生态保护红线内的水源涵养功能造成影响；项目建设过程中严格落实环、水保提出的截排水等水土流失和种植牧草、植树等植被恢复措施后，不会对生态保护红线的主导功能</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水源涵养</w:t>
            </w:r>
            <w:r>
              <w:rPr>
                <w:rFonts w:hint="eastAsia" w:ascii="宋体" w:hAnsi="宋体" w:eastAsia="宋体" w:cs="宋体"/>
                <w:color w:val="auto"/>
                <w:kern w:val="0"/>
                <w:sz w:val="24"/>
                <w:szCs w:val="24"/>
                <w:lang w:val="en-US" w:eastAsia="zh-CN" w:bidi="ar"/>
              </w:rPr>
              <w:t>”产</w:t>
            </w:r>
            <w:r>
              <w:rPr>
                <w:rFonts w:hint="default" w:ascii="Times New Roman" w:hAnsi="Times New Roman" w:eastAsia="宋体" w:cs="Times New Roman"/>
                <w:color w:val="auto"/>
                <w:kern w:val="0"/>
                <w:sz w:val="24"/>
                <w:szCs w:val="24"/>
                <w:lang w:val="en-US" w:eastAsia="zh-CN" w:bidi="ar"/>
              </w:rPr>
              <w:t>生影响。</w:t>
            </w:r>
          </w:p>
          <w:p w14:paraId="42FBA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另外施工期噪声</w:t>
            </w:r>
            <w:r>
              <w:rPr>
                <w:rFonts w:hint="eastAsia" w:ascii="Times New Roman" w:hAnsi="Times New Roman" w:eastAsia="宋体" w:cs="Times New Roman"/>
                <w:color w:val="auto"/>
                <w:kern w:val="0"/>
                <w:sz w:val="24"/>
                <w:szCs w:val="24"/>
                <w:lang w:val="en-US" w:eastAsia="zh-CN" w:bidi="ar"/>
              </w:rPr>
              <w:t>可能会对</w:t>
            </w:r>
            <w:r>
              <w:rPr>
                <w:rFonts w:hint="default" w:ascii="Times New Roman" w:hAnsi="Times New Roman" w:eastAsia="宋体" w:cs="Times New Roman"/>
                <w:color w:val="auto"/>
                <w:kern w:val="0"/>
                <w:sz w:val="24"/>
                <w:szCs w:val="24"/>
                <w:lang w:val="en-US" w:eastAsia="zh-CN" w:bidi="ar"/>
              </w:rPr>
              <w:t>生态保护红线区域野生动物产生扰动影响，会使其离开现有的生活区域，但该区周边环境较为类似，区域仍有较多类似生境可满足野生动物栖息、觅食、活动。本项目施工期较短，随施工结束，施工期噪声影响消失；运营期噪声主要为箱变、逆变噪声影响，</w:t>
            </w:r>
            <w:r>
              <w:rPr>
                <w:rFonts w:hint="eastAsia" w:ascii="Times New Roman" w:hAnsi="Times New Roman" w:eastAsia="宋体" w:cs="Times New Roman"/>
                <w:color w:val="auto"/>
                <w:kern w:val="0"/>
                <w:sz w:val="24"/>
                <w:szCs w:val="24"/>
                <w:lang w:val="en-US" w:eastAsia="zh-CN" w:bidi="ar"/>
              </w:rPr>
              <w:t>但</w:t>
            </w:r>
            <w:r>
              <w:rPr>
                <w:rFonts w:hint="default" w:ascii="Times New Roman" w:hAnsi="Times New Roman" w:eastAsia="宋体" w:cs="Times New Roman"/>
                <w:color w:val="auto"/>
                <w:kern w:val="0"/>
                <w:sz w:val="24"/>
                <w:szCs w:val="24"/>
                <w:lang w:val="en-US" w:eastAsia="zh-CN" w:bidi="ar"/>
              </w:rPr>
              <w:t>箱变、逆变距生态保护红线距离远，箱变、逆变噪声对生态红线区域噪声贡献值较小，加上动物对噪声有一定适应能力，因此本工程噪声对生态保护红线区域野生动物扰动影响较小。</w:t>
            </w:r>
          </w:p>
          <w:p w14:paraId="3D8C4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4）对永久基本农田的影响分析</w:t>
            </w:r>
          </w:p>
          <w:p w14:paraId="2DCF6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选址已完全避让永久基本农田区域，工程建设及运营不会使基本农田数量、面积等发生变化，因此施工过程中应严格控制施工扰动范围，禁止施工扰动区域超出项目用地范围，在做好各项文明施工、做好植被恢复及</w:t>
            </w:r>
            <w:r>
              <w:rPr>
                <w:rFonts w:hint="eastAsia" w:cs="Times New Roman"/>
                <w:color w:val="auto"/>
                <w:kern w:val="0"/>
                <w:sz w:val="24"/>
                <w:szCs w:val="24"/>
                <w:lang w:val="en-US" w:eastAsia="zh-CN" w:bidi="ar"/>
              </w:rPr>
              <w:t>水土保持</w:t>
            </w:r>
            <w:r>
              <w:rPr>
                <w:rFonts w:hint="default" w:ascii="Times New Roman" w:hAnsi="Times New Roman" w:eastAsia="宋体" w:cs="Times New Roman"/>
                <w:color w:val="auto"/>
                <w:kern w:val="0"/>
                <w:sz w:val="24"/>
                <w:szCs w:val="24"/>
                <w:lang w:val="en-US" w:eastAsia="zh-CN" w:bidi="ar"/>
              </w:rPr>
              <w:t>等措施的前提下，项目建设不会对永久基本农田产生不利影响。</w:t>
            </w:r>
          </w:p>
          <w:p w14:paraId="7C871766">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default"/>
                <w:b/>
                <w:bCs/>
                <w:color w:val="auto"/>
                <w:sz w:val="24"/>
                <w:highlight w:val="none"/>
                <w:shd w:val="clear" w:color="auto" w:fill="auto"/>
              </w:rPr>
            </w:pPr>
            <w:r>
              <w:rPr>
                <w:rFonts w:hint="default" w:ascii="Times New Roman" w:hAnsi="Times New Roman" w:eastAsia="宋体" w:cs="Times New Roman"/>
                <w:color w:val="auto"/>
                <w:kern w:val="0"/>
                <w:sz w:val="24"/>
                <w:szCs w:val="24"/>
                <w:lang w:val="en-US" w:eastAsia="zh-CN" w:bidi="ar"/>
              </w:rPr>
              <w:t>综上，本项目建设运营对生态保护红线、永久基本农田的结构、功能影响较小。</w:t>
            </w:r>
          </w:p>
          <w:p w14:paraId="43C8FF13">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3</w:t>
            </w:r>
            <w:r>
              <w:rPr>
                <w:rFonts w:hint="default"/>
                <w:b/>
                <w:bCs/>
                <w:color w:val="auto"/>
                <w:sz w:val="24"/>
                <w:highlight w:val="none"/>
                <w:shd w:val="clear" w:color="auto" w:fill="auto"/>
              </w:rPr>
              <w:t>）施工期废气</w:t>
            </w:r>
          </w:p>
          <w:p w14:paraId="57FB7AF4">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项目施工期大气污染物主要是施工扬尘、</w:t>
            </w:r>
            <w:r>
              <w:rPr>
                <w:rFonts w:hint="eastAsia"/>
                <w:color w:val="auto"/>
                <w:sz w:val="24"/>
                <w:highlight w:val="none"/>
                <w:shd w:val="clear" w:color="auto" w:fill="auto"/>
              </w:rPr>
              <w:t>光伏支架焊接</w:t>
            </w:r>
            <w:r>
              <w:rPr>
                <w:rFonts w:hint="eastAsia"/>
                <w:color w:val="auto"/>
                <w:sz w:val="24"/>
                <w:highlight w:val="none"/>
                <w:shd w:val="clear" w:color="auto" w:fill="auto"/>
                <w:lang w:eastAsia="zh-CN"/>
              </w:rPr>
              <w:t>、</w:t>
            </w:r>
            <w:r>
              <w:rPr>
                <w:rFonts w:hint="default"/>
                <w:color w:val="auto"/>
                <w:sz w:val="24"/>
                <w:highlight w:val="none"/>
                <w:shd w:val="clear" w:color="auto" w:fill="auto"/>
              </w:rPr>
              <w:t>施工机械和运输车辆产生的废气。</w:t>
            </w:r>
          </w:p>
          <w:p w14:paraId="4255DE69">
            <w:pPr>
              <w:pStyle w:val="90"/>
              <w:keepNext w:val="0"/>
              <w:keepLines w:val="0"/>
              <w:suppressLineNumbers w:val="0"/>
              <w:shd w:val="clear"/>
              <w:spacing w:before="0" w:beforeAutospacing="0" w:after="0" w:afterAutospacing="0"/>
              <w:ind w:left="0" w:right="0" w:firstLine="480"/>
              <w:rPr>
                <w:rFonts w:hint="default"/>
                <w:bCs/>
                <w:iCs/>
                <w:color w:val="auto"/>
                <w:highlight w:val="none"/>
                <w:shd w:val="clear" w:color="auto" w:fill="auto"/>
              </w:rPr>
            </w:pPr>
            <w:r>
              <w:rPr>
                <w:rFonts w:hint="eastAsia"/>
                <w:color w:val="auto"/>
                <w:highlight w:val="none"/>
                <w:shd w:val="clear" w:color="auto" w:fill="auto"/>
              </w:rPr>
              <w:t>1）</w:t>
            </w:r>
            <w:r>
              <w:rPr>
                <w:rFonts w:hint="default"/>
                <w:color w:val="auto"/>
                <w:highlight w:val="none"/>
                <w:shd w:val="clear" w:color="auto" w:fill="auto"/>
              </w:rPr>
              <w:t>施工扬尘</w:t>
            </w:r>
          </w:p>
          <w:p w14:paraId="56F18C8B">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项目的扬尘主要是由道路的修建、</w:t>
            </w:r>
            <w:r>
              <w:rPr>
                <w:rFonts w:hint="eastAsia"/>
                <w:color w:val="auto"/>
                <w:sz w:val="24"/>
                <w:highlight w:val="none"/>
                <w:shd w:val="clear" w:color="auto" w:fill="auto"/>
                <w:lang w:val="en-US" w:eastAsia="zh-CN"/>
              </w:rPr>
              <w:t>光伏板基础开挖</w:t>
            </w:r>
            <w:r>
              <w:rPr>
                <w:rFonts w:hint="eastAsia"/>
                <w:color w:val="auto"/>
                <w:sz w:val="24"/>
                <w:highlight w:val="none"/>
                <w:shd w:val="clear" w:color="auto" w:fill="auto"/>
              </w:rPr>
              <w:t>、建材装卸等施工作业，以及施工形成的裸土面而产生，再就是施工车辆运送水泥、沙石等材料也可能引起较大的扬尘及道路粉尘。主要污染物为</w:t>
            </w:r>
            <w:r>
              <w:rPr>
                <w:rFonts w:hint="eastAsia"/>
                <w:color w:val="auto"/>
                <w:sz w:val="24"/>
                <w:highlight w:val="none"/>
                <w:shd w:val="clear" w:color="auto" w:fill="auto"/>
                <w:lang w:val="en-US" w:eastAsia="zh-CN"/>
              </w:rPr>
              <w:t>颗粒物</w:t>
            </w:r>
            <w:r>
              <w:rPr>
                <w:rFonts w:hint="eastAsia"/>
                <w:color w:val="auto"/>
                <w:sz w:val="24"/>
                <w:highlight w:val="none"/>
                <w:shd w:val="clear" w:color="auto" w:fill="auto"/>
              </w:rPr>
              <w:t>，不含有毒有害的特殊污染物质，对施工环境有一定的污染。粉尘呈无组织排放，其产生强度与施工方式、气象条件有关。</w:t>
            </w:r>
          </w:p>
          <w:p w14:paraId="31184CAD">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施工作业中产生的扬尘对环境空气造成的影响大小取决于产生量和气候条件，影响面主要集中在施工场地200</w:t>
            </w:r>
            <w:r>
              <w:rPr>
                <w:rFonts w:hint="eastAsia"/>
                <w:color w:val="auto"/>
                <w:sz w:val="24"/>
                <w:highlight w:val="none"/>
                <w:shd w:val="clear" w:color="auto" w:fill="auto"/>
              </w:rPr>
              <w:t>m</w:t>
            </w:r>
            <w:r>
              <w:rPr>
                <w:rFonts w:hint="default"/>
                <w:color w:val="auto"/>
                <w:sz w:val="24"/>
                <w:highlight w:val="none"/>
                <w:shd w:val="clear" w:color="auto" w:fill="auto"/>
              </w:rPr>
              <w:t>范围内。据有关资料，当风速大于3.0m/s时，地面将产生扬尘。</w:t>
            </w:r>
            <w:r>
              <w:rPr>
                <w:rFonts w:hint="default"/>
                <w:bCs/>
                <w:color w:val="auto"/>
                <w:sz w:val="24"/>
                <w:highlight w:val="none"/>
                <w:shd w:val="clear" w:color="auto" w:fill="auto"/>
              </w:rPr>
              <w:t>另外，进出施工场地的运输车辆也会造成施工作业场所近地面粉尘浓度升高，运输车辆引起的扬尘对路边</w:t>
            </w:r>
            <w:r>
              <w:rPr>
                <w:rFonts w:hint="default"/>
                <w:color w:val="auto"/>
                <w:sz w:val="24"/>
                <w:highlight w:val="none"/>
                <w:shd w:val="clear" w:color="auto" w:fill="auto"/>
              </w:rPr>
              <w:t>30</w:t>
            </w:r>
            <w:r>
              <w:rPr>
                <w:rFonts w:hint="eastAsia"/>
                <w:color w:val="auto"/>
                <w:sz w:val="24"/>
                <w:highlight w:val="none"/>
                <w:shd w:val="clear" w:color="auto" w:fill="auto"/>
              </w:rPr>
              <w:t>m</w:t>
            </w:r>
            <w:r>
              <w:rPr>
                <w:rFonts w:hint="default"/>
                <w:color w:val="auto"/>
                <w:sz w:val="24"/>
                <w:highlight w:val="none"/>
                <w:shd w:val="clear" w:color="auto" w:fill="auto"/>
              </w:rPr>
              <w:t>范围内影响较大，而且形成线</w:t>
            </w:r>
            <w:r>
              <w:rPr>
                <w:rFonts w:hint="eastAsia"/>
                <w:color w:val="auto"/>
                <w:sz w:val="24"/>
                <w:highlight w:val="none"/>
                <w:shd w:val="clear" w:color="auto" w:fill="auto"/>
              </w:rPr>
              <w:t>性</w:t>
            </w:r>
            <w:r>
              <w:rPr>
                <w:rFonts w:hint="default"/>
                <w:color w:val="auto"/>
                <w:sz w:val="24"/>
                <w:highlight w:val="none"/>
                <w:shd w:val="clear" w:color="auto" w:fill="auto"/>
              </w:rPr>
              <w:t>污染，路边的TSP浓度可达10mg/m</w:t>
            </w:r>
            <w:r>
              <w:rPr>
                <w:rFonts w:hint="default"/>
                <w:color w:val="auto"/>
                <w:sz w:val="24"/>
                <w:highlight w:val="none"/>
                <w:shd w:val="clear" w:color="auto" w:fill="auto"/>
                <w:vertAlign w:val="superscript"/>
              </w:rPr>
              <w:t>3</w:t>
            </w:r>
            <w:r>
              <w:rPr>
                <w:rFonts w:hint="default"/>
                <w:color w:val="auto"/>
                <w:sz w:val="24"/>
                <w:highlight w:val="none"/>
                <w:shd w:val="clear" w:color="auto" w:fill="auto"/>
              </w:rPr>
              <w:t>以上，一般浓度范围在1.5～30mg/m</w:t>
            </w:r>
            <w:r>
              <w:rPr>
                <w:rFonts w:hint="default"/>
                <w:color w:val="auto"/>
                <w:sz w:val="24"/>
                <w:highlight w:val="none"/>
                <w:shd w:val="clear" w:color="auto" w:fill="auto"/>
                <w:vertAlign w:val="superscript"/>
              </w:rPr>
              <w:t>3</w:t>
            </w:r>
            <w:r>
              <w:rPr>
                <w:rFonts w:hint="eastAsia"/>
                <w:color w:val="auto"/>
                <w:sz w:val="24"/>
                <w:lang w:eastAsia="zh-CN"/>
              </w:rPr>
              <w:t>，约在</w:t>
            </w:r>
            <w:r>
              <w:rPr>
                <w:rFonts w:hint="eastAsia"/>
                <w:color w:val="auto"/>
                <w:sz w:val="24"/>
                <w:lang w:val="en-US" w:eastAsia="zh-CN"/>
              </w:rPr>
              <w:t>100m后可达到</w:t>
            </w:r>
            <w:r>
              <w:rPr>
                <w:rFonts w:hint="default"/>
                <w:color w:val="auto"/>
                <w:sz w:val="24"/>
              </w:rPr>
              <w:t>《大气污染物综合排放标准》（GB12697-1996）表2中无组织排放浓度限值</w:t>
            </w:r>
            <w:r>
              <w:rPr>
                <w:rFonts w:hint="eastAsia"/>
                <w:color w:val="auto"/>
                <w:sz w:val="24"/>
                <w:lang w:eastAsia="zh-CN"/>
              </w:rPr>
              <w:t>（</w:t>
            </w:r>
            <w:r>
              <w:rPr>
                <w:rFonts w:hint="default"/>
                <w:color w:val="auto"/>
                <w:sz w:val="24"/>
              </w:rPr>
              <w:t>周界外浓度≤1.0mg/m</w:t>
            </w:r>
            <w:r>
              <w:rPr>
                <w:rFonts w:hint="default"/>
                <w:color w:val="auto"/>
                <w:sz w:val="24"/>
                <w:vertAlign w:val="superscript"/>
              </w:rPr>
              <w:t>3</w:t>
            </w:r>
            <w:r>
              <w:rPr>
                <w:rFonts w:hint="eastAsia"/>
                <w:color w:val="auto"/>
                <w:sz w:val="24"/>
                <w:lang w:eastAsia="zh-CN"/>
              </w:rPr>
              <w:t>）。</w:t>
            </w:r>
          </w:p>
          <w:p w14:paraId="635D5BBE">
            <w:pPr>
              <w:keepNext w:val="0"/>
              <w:keepLines w:val="0"/>
              <w:suppressLineNumbers w:val="0"/>
              <w:shd w:val="clear"/>
              <w:spacing w:before="0" w:beforeAutospacing="0" w:after="0" w:afterAutospacing="0" w:line="360" w:lineRule="auto"/>
              <w:ind w:left="0" w:right="0" w:firstLine="480" w:firstLineChars="200"/>
              <w:rPr>
                <w:rFonts w:hint="eastAsia"/>
                <w:color w:val="auto"/>
                <w:sz w:val="24"/>
                <w:szCs w:val="24"/>
                <w:highlight w:val="none"/>
                <w:shd w:val="clear" w:color="auto" w:fill="auto"/>
              </w:rPr>
            </w:pPr>
            <w:r>
              <w:rPr>
                <w:rFonts w:hint="eastAsia"/>
                <w:color w:val="auto"/>
                <w:sz w:val="24"/>
                <w:szCs w:val="24"/>
                <w:highlight w:val="none"/>
              </w:rPr>
              <w:t>根据项目大气</w:t>
            </w:r>
            <w:r>
              <w:rPr>
                <w:rFonts w:hint="eastAsia" w:ascii="Times New Roman" w:hAnsi="Times New Roman" w:eastAsia="宋体" w:cs="Times New Roman"/>
                <w:color w:val="auto"/>
                <w:sz w:val="24"/>
                <w:szCs w:val="24"/>
                <w:highlight w:val="none"/>
              </w:rPr>
              <w:t>环境保护目标一览表可知，</w:t>
            </w:r>
            <w:r>
              <w:rPr>
                <w:rFonts w:hint="eastAsia" w:ascii="Times New Roman" w:hAnsi="Times New Roman" w:eastAsia="宋体" w:cs="Times New Roman"/>
                <w:color w:val="auto"/>
                <w:sz w:val="24"/>
                <w:szCs w:val="24"/>
                <w:highlight w:val="none"/>
                <w:lang w:val="en-US" w:eastAsia="zh-CN"/>
              </w:rPr>
              <w:t>距离</w:t>
            </w:r>
            <w:r>
              <w:rPr>
                <w:rFonts w:hint="eastAsia"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最近的</w:t>
            </w:r>
            <w:r>
              <w:rPr>
                <w:rFonts w:hint="eastAsia" w:ascii="Times New Roman" w:hAnsi="Times New Roman" w:eastAsia="宋体" w:cs="Times New Roman"/>
                <w:color w:val="auto"/>
                <w:sz w:val="24"/>
                <w:szCs w:val="24"/>
                <w:highlight w:val="none"/>
              </w:rPr>
              <w:t>敏感目标，为</w:t>
            </w:r>
            <w:r>
              <w:rPr>
                <w:rFonts w:hint="eastAsia" w:ascii="Times New Roman" w:hAnsi="Times New Roman" w:eastAsia="宋体" w:cs="Times New Roman"/>
                <w:color w:val="auto"/>
                <w:sz w:val="24"/>
                <w:szCs w:val="24"/>
                <w:highlight w:val="none"/>
                <w:lang w:val="en-US" w:eastAsia="zh-CN"/>
              </w:rPr>
              <w:t>2#光伏方阵西侧</w:t>
            </w:r>
            <w:r>
              <w:rPr>
                <w:rFonts w:hint="eastAsia" w:cs="Times New Roman"/>
                <w:color w:val="auto"/>
                <w:sz w:val="24"/>
                <w:szCs w:val="24"/>
                <w:highlight w:val="none"/>
                <w:lang w:val="en-US" w:eastAsia="zh-CN"/>
              </w:rPr>
              <w:t>315m</w:t>
            </w:r>
            <w:r>
              <w:rPr>
                <w:rFonts w:hint="eastAsia" w:ascii="Times New Roman" w:hAnsi="Times New Roman" w:eastAsia="宋体" w:cs="Times New Roman"/>
                <w:color w:val="auto"/>
                <w:sz w:val="24"/>
                <w:szCs w:val="24"/>
                <w:lang w:val="en-US" w:eastAsia="zh-CN"/>
              </w:rPr>
              <w:t>处</w:t>
            </w:r>
            <w:r>
              <w:rPr>
                <w:rFonts w:hint="eastAsia" w:cs="Times New Roman"/>
                <w:color w:val="auto"/>
                <w:sz w:val="24"/>
                <w:szCs w:val="24"/>
                <w:highlight w:val="none"/>
                <w:lang w:val="en-US" w:eastAsia="zh-CN"/>
              </w:rPr>
              <w:t>的</w:t>
            </w:r>
            <w:r>
              <w:rPr>
                <w:rFonts w:hint="eastAsia" w:ascii="Times New Roman" w:hAnsi="Times New Roman" w:eastAsia="宋体" w:cs="Times New Roman"/>
                <w:bCs/>
                <w:color w:val="auto"/>
                <w:kern w:val="2"/>
                <w:sz w:val="24"/>
                <w:szCs w:val="24"/>
                <w:highlight w:val="none"/>
                <w:lang w:val="en-US" w:eastAsia="zh-CN" w:bidi="ar-SA"/>
              </w:rPr>
              <w:t>大塘子</w:t>
            </w:r>
            <w:r>
              <w:rPr>
                <w:rFonts w:hint="eastAsia" w:cs="Times New Roman"/>
                <w:bCs/>
                <w:color w:val="auto"/>
                <w:kern w:val="2"/>
                <w:sz w:val="24"/>
                <w:szCs w:val="24"/>
                <w:highlight w:val="none"/>
                <w:lang w:val="en-US" w:eastAsia="zh-CN" w:bidi="ar-SA"/>
              </w:rPr>
              <w:t>村</w:t>
            </w:r>
            <w:r>
              <w:rPr>
                <w:rFonts w:hint="eastAsia" w:ascii="Times New Roman" w:hAnsi="Times New Roman" w:eastAsia="宋体" w:cs="Times New Roman"/>
                <w:color w:val="auto"/>
                <w:sz w:val="24"/>
                <w:szCs w:val="24"/>
                <w:highlight w:val="none"/>
                <w:lang w:val="en-US" w:eastAsia="zh-CN"/>
              </w:rPr>
              <w:t>和</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#光伏方阵</w:t>
            </w:r>
            <w:r>
              <w:rPr>
                <w:rFonts w:hint="eastAsia" w:cs="Times New Roman"/>
                <w:color w:val="auto"/>
                <w:sz w:val="24"/>
                <w:szCs w:val="24"/>
                <w:lang w:val="en-US" w:eastAsia="zh-CN"/>
              </w:rPr>
              <w:t>南</w:t>
            </w:r>
            <w:r>
              <w:rPr>
                <w:rFonts w:hint="eastAsia" w:ascii="Times New Roman" w:hAnsi="Times New Roman" w:eastAsia="宋体" w:cs="Times New Roman"/>
                <w:color w:val="auto"/>
                <w:sz w:val="24"/>
                <w:szCs w:val="24"/>
                <w:lang w:val="en-US" w:eastAsia="zh-CN"/>
              </w:rPr>
              <w:t>侧</w:t>
            </w:r>
            <w:r>
              <w:rPr>
                <w:rFonts w:hint="eastAsia" w:cs="Times New Roman"/>
                <w:color w:val="auto"/>
                <w:sz w:val="24"/>
                <w:szCs w:val="24"/>
                <w:lang w:val="en-US" w:eastAsia="zh-CN"/>
              </w:rPr>
              <w:t>485</w:t>
            </w:r>
            <w:r>
              <w:rPr>
                <w:rFonts w:hint="eastAsia" w:ascii="Times New Roman" w:hAnsi="Times New Roman" w:eastAsia="宋体" w:cs="Times New Roman"/>
                <w:color w:val="auto"/>
                <w:sz w:val="24"/>
                <w:szCs w:val="24"/>
                <w:lang w:val="en-US" w:eastAsia="zh-CN"/>
              </w:rPr>
              <w:t>m处的白石岩村</w:t>
            </w:r>
            <w:r>
              <w:rPr>
                <w:rFonts w:hint="eastAsia" w:cs="Times New Roman"/>
                <w:color w:val="auto"/>
                <w:sz w:val="24"/>
                <w:szCs w:val="24"/>
                <w:highlight w:val="none"/>
                <w:lang w:val="en-US" w:eastAsia="zh-CN"/>
              </w:rPr>
              <w:t>刘庆梅家，项目施工场地拟设在场区内远离敏感目标的位置，</w:t>
            </w:r>
            <w:r>
              <w:rPr>
                <w:rFonts w:hint="eastAsia"/>
                <w:color w:val="auto"/>
                <w:sz w:val="24"/>
                <w:szCs w:val="24"/>
                <w:highlight w:val="none"/>
                <w:shd w:val="clear" w:color="auto" w:fill="auto"/>
              </w:rPr>
              <w:t>施工采取扬尘防治措施</w:t>
            </w:r>
            <w:r>
              <w:rPr>
                <w:rFonts w:hint="eastAsia"/>
                <w:color w:val="auto"/>
                <w:sz w:val="24"/>
                <w:szCs w:val="24"/>
                <w:highlight w:val="none"/>
                <w:shd w:val="clear" w:color="auto" w:fill="auto"/>
                <w:lang w:val="en-US" w:eastAsia="zh-CN"/>
              </w:rPr>
              <w:t>后</w:t>
            </w:r>
            <w:r>
              <w:rPr>
                <w:rFonts w:hint="eastAsia"/>
                <w:color w:val="auto"/>
                <w:sz w:val="24"/>
                <w:szCs w:val="24"/>
                <w:highlight w:val="none"/>
                <w:shd w:val="clear" w:color="auto" w:fill="auto"/>
              </w:rPr>
              <w:t>，对其产生</w:t>
            </w:r>
            <w:r>
              <w:rPr>
                <w:rFonts w:hint="eastAsia"/>
                <w:color w:val="auto"/>
                <w:sz w:val="24"/>
                <w:szCs w:val="24"/>
                <w:highlight w:val="none"/>
                <w:shd w:val="clear" w:color="auto" w:fill="auto"/>
                <w:lang w:eastAsia="zh-CN"/>
              </w:rPr>
              <w:t>的</w:t>
            </w:r>
            <w:r>
              <w:rPr>
                <w:rFonts w:hint="eastAsia"/>
                <w:color w:val="auto"/>
                <w:sz w:val="24"/>
                <w:szCs w:val="24"/>
                <w:highlight w:val="none"/>
                <w:shd w:val="clear" w:color="auto" w:fill="auto"/>
              </w:rPr>
              <w:t>扬尘影响</w:t>
            </w:r>
            <w:r>
              <w:rPr>
                <w:rFonts w:hint="eastAsia"/>
                <w:color w:val="auto"/>
                <w:sz w:val="24"/>
                <w:szCs w:val="24"/>
                <w:highlight w:val="none"/>
                <w:shd w:val="clear" w:color="auto" w:fill="auto"/>
                <w:lang w:val="en-US" w:eastAsia="zh-CN"/>
              </w:rPr>
              <w:t>可忽略不计</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rPr>
              <w:t>因此项目施工时应对场地进行洒水降尘，堆场进行遮盖，由</w:t>
            </w:r>
            <w:r>
              <w:rPr>
                <w:rFonts w:hint="default"/>
                <w:color w:val="auto"/>
                <w:sz w:val="24"/>
                <w:szCs w:val="24"/>
                <w:highlight w:val="none"/>
                <w:shd w:val="clear" w:color="auto" w:fill="auto"/>
              </w:rPr>
              <w:t>于光伏板施工作业面呈点状和线状，不会造成大面积</w:t>
            </w:r>
            <w:r>
              <w:rPr>
                <w:rFonts w:hint="eastAsia"/>
                <w:color w:val="auto"/>
                <w:sz w:val="24"/>
                <w:szCs w:val="24"/>
                <w:highlight w:val="none"/>
                <w:shd w:val="clear" w:color="auto" w:fill="auto"/>
              </w:rPr>
              <w:t>地</w:t>
            </w:r>
            <w:r>
              <w:rPr>
                <w:rFonts w:hint="default"/>
                <w:color w:val="auto"/>
                <w:sz w:val="24"/>
                <w:szCs w:val="24"/>
                <w:highlight w:val="none"/>
                <w:shd w:val="clear" w:color="auto" w:fill="auto"/>
              </w:rPr>
              <w:t>表</w:t>
            </w:r>
            <w:r>
              <w:rPr>
                <w:rFonts w:hint="eastAsia"/>
                <w:color w:val="auto"/>
                <w:sz w:val="24"/>
                <w:szCs w:val="24"/>
                <w:highlight w:val="none"/>
                <w:shd w:val="clear" w:color="auto" w:fill="auto"/>
              </w:rPr>
              <w:t>裸露</w:t>
            </w:r>
            <w:r>
              <w:rPr>
                <w:rFonts w:hint="default"/>
                <w:color w:val="auto"/>
                <w:sz w:val="24"/>
                <w:szCs w:val="24"/>
                <w:highlight w:val="none"/>
                <w:shd w:val="clear" w:color="auto" w:fill="auto"/>
              </w:rPr>
              <w:t>，</w:t>
            </w:r>
            <w:r>
              <w:rPr>
                <w:rFonts w:hint="eastAsia"/>
                <w:color w:val="auto"/>
                <w:sz w:val="24"/>
              </w:rPr>
              <w:t>且施工作业扬尘产生仅在施工作业时产生，施工作业结束后施工作业扬尘随之消失，施工作业扬尘只是暂时的。因此项目施工作业扬尘对周围环境空气影响较小。</w:t>
            </w:r>
          </w:p>
          <w:p w14:paraId="47E26ECF">
            <w:pPr>
              <w:pStyle w:val="90"/>
              <w:keepNext w:val="0"/>
              <w:keepLines w:val="0"/>
              <w:suppressLineNumbers w:val="0"/>
              <w:shd w:val="clear"/>
              <w:spacing w:before="0" w:beforeAutospacing="0" w:after="0" w:afterAutospacing="0"/>
              <w:ind w:left="0" w:right="0" w:firstLine="480"/>
              <w:rPr>
                <w:rFonts w:hint="eastAsia"/>
                <w:bCs/>
                <w:iCs/>
                <w:color w:val="auto"/>
                <w:highlight w:val="none"/>
                <w:shd w:val="clear" w:color="auto" w:fill="auto"/>
              </w:rPr>
            </w:pP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w:t>
            </w:r>
            <w:r>
              <w:rPr>
                <w:rFonts w:hint="eastAsia"/>
                <w:bCs/>
                <w:iCs/>
                <w:color w:val="auto"/>
                <w:highlight w:val="none"/>
                <w:shd w:val="clear" w:color="auto" w:fill="auto"/>
              </w:rPr>
              <w:t>光伏支架焊接废气</w:t>
            </w:r>
          </w:p>
          <w:p w14:paraId="28682852">
            <w:pPr>
              <w:pStyle w:val="90"/>
              <w:keepNext w:val="0"/>
              <w:keepLines w:val="0"/>
              <w:suppressLineNumbers w:val="0"/>
              <w:shd w:val="clear"/>
              <w:spacing w:before="0" w:beforeAutospacing="0" w:after="0" w:afterAutospacing="0"/>
              <w:ind w:left="0" w:right="0" w:firstLine="480"/>
              <w:rPr>
                <w:rFonts w:hint="eastAsia"/>
                <w:bCs/>
                <w:iCs/>
                <w:color w:val="auto"/>
                <w:highlight w:val="none"/>
                <w:shd w:val="clear" w:color="auto" w:fill="auto"/>
              </w:rPr>
            </w:pPr>
            <w:r>
              <w:rPr>
                <w:rFonts w:hint="eastAsia"/>
                <w:bCs/>
                <w:iCs/>
                <w:color w:val="auto"/>
                <w:highlight w:val="none"/>
                <w:shd w:val="clear" w:color="auto" w:fill="auto"/>
              </w:rPr>
              <w:t>本项目光伏片区进行光伏支架基础施工时会对支架连接部分进行焊接，焊接过程中会产生废气，其中的污染物主要有烟尘、NOx、CO、CO</w:t>
            </w:r>
            <w:r>
              <w:rPr>
                <w:rFonts w:hint="eastAsia"/>
                <w:bCs/>
                <w:iCs/>
                <w:color w:val="auto"/>
                <w:highlight w:val="none"/>
                <w:shd w:val="clear" w:color="auto" w:fill="auto"/>
                <w:vertAlign w:val="subscript"/>
              </w:rPr>
              <w:t>2</w:t>
            </w:r>
            <w:r>
              <w:rPr>
                <w:rFonts w:hint="eastAsia"/>
                <w:bCs/>
                <w:iCs/>
                <w:color w:val="auto"/>
                <w:highlight w:val="none"/>
                <w:shd w:val="clear" w:color="auto" w:fill="auto"/>
              </w:rPr>
              <w:t>及CHx等，会对区域环境空气造成一定影响。但光伏支架焊接废气产生具有间断性产生、产生量较小、产生点相对分散、易被稀释扩散等特点。项目区为山地丘陵地形，周边无特别高的山体，有利于大气扩散，一般情况下，光伏支架焊接所产生的废气污染在空气中经自然扩散和稀释后，对项目区域的环境空气质量影响</w:t>
            </w:r>
            <w:r>
              <w:rPr>
                <w:rFonts w:hint="eastAsia"/>
                <w:bCs/>
                <w:iCs/>
                <w:color w:val="auto"/>
                <w:highlight w:val="none"/>
                <w:shd w:val="clear" w:color="auto" w:fill="auto"/>
                <w:lang w:val="en-US" w:eastAsia="zh-CN"/>
              </w:rPr>
              <w:t>小</w:t>
            </w:r>
            <w:r>
              <w:rPr>
                <w:rFonts w:hint="eastAsia"/>
                <w:bCs/>
                <w:iCs/>
                <w:color w:val="auto"/>
                <w:highlight w:val="none"/>
                <w:shd w:val="clear" w:color="auto" w:fill="auto"/>
              </w:rPr>
              <w:t>。</w:t>
            </w:r>
          </w:p>
          <w:p w14:paraId="085803E4">
            <w:pPr>
              <w:pStyle w:val="90"/>
              <w:keepNext w:val="0"/>
              <w:keepLines w:val="0"/>
              <w:suppressLineNumbers w:val="0"/>
              <w:shd w:val="clear"/>
              <w:spacing w:before="0" w:beforeAutospacing="0" w:after="0" w:afterAutospacing="0"/>
              <w:ind w:left="0" w:right="0" w:firstLine="480"/>
              <w:rPr>
                <w:rFonts w:hint="default"/>
                <w:bCs/>
                <w:iCs/>
                <w:color w:val="auto"/>
                <w:highlight w:val="none"/>
                <w:shd w:val="clear" w:color="auto" w:fill="auto"/>
              </w:rPr>
            </w:pPr>
            <w:r>
              <w:rPr>
                <w:rFonts w:hint="eastAsia"/>
                <w:bCs/>
                <w:iCs/>
                <w:color w:val="auto"/>
                <w:lang w:val="en-US" w:eastAsia="zh-CN"/>
              </w:rPr>
              <w:t>3）</w:t>
            </w:r>
            <w:r>
              <w:rPr>
                <w:rFonts w:hint="eastAsia"/>
                <w:bCs/>
                <w:iCs/>
                <w:color w:val="auto"/>
                <w:highlight w:val="none"/>
                <w:shd w:val="clear" w:color="auto" w:fill="auto"/>
              </w:rPr>
              <w:t>施工机械和车辆废</w:t>
            </w:r>
            <w:r>
              <w:rPr>
                <w:rFonts w:hint="default"/>
                <w:bCs/>
                <w:iCs/>
                <w:color w:val="auto"/>
                <w:highlight w:val="none"/>
                <w:shd w:val="clear" w:color="auto" w:fill="auto"/>
              </w:rPr>
              <w:t>气</w:t>
            </w:r>
          </w:p>
          <w:p w14:paraId="5F35412B">
            <w:pPr>
              <w:keepNext w:val="0"/>
              <w:keepLines w:val="0"/>
              <w:suppressLineNumbers w:val="0"/>
              <w:shd w:val="clear"/>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bCs/>
                <w:color w:val="auto"/>
                <w:sz w:val="24"/>
                <w:highlight w:val="none"/>
                <w:shd w:val="clear" w:color="auto" w:fill="auto"/>
              </w:rPr>
              <w:t>本项目施工期废气主要来源于运输车辆及其它燃油机械施工时产生的</w:t>
            </w:r>
            <w:r>
              <w:rPr>
                <w:rFonts w:hint="eastAsia"/>
                <w:bCs/>
                <w:color w:val="auto"/>
                <w:sz w:val="24"/>
                <w:highlight w:val="none"/>
                <w:shd w:val="clear" w:color="auto" w:fill="auto"/>
              </w:rPr>
              <w:t>废</w:t>
            </w:r>
            <w:r>
              <w:rPr>
                <w:rFonts w:hint="default"/>
                <w:bCs/>
                <w:color w:val="auto"/>
                <w:sz w:val="24"/>
                <w:highlight w:val="none"/>
                <w:shd w:val="clear" w:color="auto" w:fill="auto"/>
              </w:rPr>
              <w:t>气，其中的污染物主要有烟尘、NOx、CO及CHx等，会对环境空气造成一定影响。施工机械废气具有间断性产生、产生量较小、产生点相对分散、易被稀释扩散等特点。</w:t>
            </w:r>
            <w:r>
              <w:rPr>
                <w:rFonts w:hint="eastAsia" w:ascii="Times New Roman" w:hAnsi="Times New Roman" w:eastAsia="宋体" w:cs="Times New Roman"/>
                <w:bCs/>
                <w:color w:val="auto"/>
                <w:sz w:val="24"/>
                <w:lang w:val="en-US" w:eastAsia="zh-CN"/>
              </w:rPr>
              <w:t>项目建设施工内容较少，施工机械和运输车辆外排尾气量小，尾气排放点随设备移动呈不固定方式排放，在空气环境中经一定的距离自然扩散、稀释后，对评价区域空气质量影响小。</w:t>
            </w:r>
          </w:p>
          <w:p w14:paraId="1DEB44A5">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4</w:t>
            </w:r>
            <w:r>
              <w:rPr>
                <w:rFonts w:hint="default"/>
                <w:b/>
                <w:bCs/>
                <w:color w:val="auto"/>
                <w:sz w:val="24"/>
                <w:highlight w:val="none"/>
                <w:shd w:val="clear" w:color="auto" w:fill="auto"/>
              </w:rPr>
              <w:t>）施工</w:t>
            </w:r>
            <w:r>
              <w:rPr>
                <w:rFonts w:hint="eastAsia"/>
                <w:b/>
                <w:bCs/>
                <w:color w:val="auto"/>
                <w:sz w:val="24"/>
                <w:highlight w:val="none"/>
                <w:shd w:val="clear" w:color="auto" w:fill="auto"/>
              </w:rPr>
              <w:t>废水</w:t>
            </w:r>
          </w:p>
          <w:p w14:paraId="188BE261">
            <w:pPr>
              <w:pStyle w:val="9"/>
              <w:keepNext w:val="0"/>
              <w:keepLines w:val="0"/>
              <w:suppressLineNumbers w:val="0"/>
              <w:shd w:val="clear"/>
              <w:spacing w:before="0" w:beforeAutospacing="0" w:after="0" w:afterAutospacing="0" w:line="360" w:lineRule="auto"/>
              <w:ind w:left="0" w:leftChars="0" w:right="0" w:firstLine="480" w:firstLineChars="200"/>
              <w:rPr>
                <w:rFonts w:hint="default" w:hAnsi="宋体"/>
                <w:color w:val="auto"/>
                <w:sz w:val="24"/>
                <w:highlight w:val="none"/>
                <w:shd w:val="clear" w:color="auto" w:fill="auto"/>
              </w:rPr>
            </w:pPr>
            <w:r>
              <w:rPr>
                <w:rFonts w:hint="default" w:hAnsi="宋体"/>
                <w:color w:val="auto"/>
                <w:sz w:val="24"/>
                <w:highlight w:val="none"/>
                <w:shd w:val="clear" w:color="auto" w:fill="auto"/>
              </w:rPr>
              <w:t>项目施工期废水主要包括施工废水</w:t>
            </w:r>
            <w:r>
              <w:rPr>
                <w:rFonts w:hint="eastAsia" w:hAnsi="宋体"/>
                <w:color w:val="auto"/>
                <w:sz w:val="24"/>
                <w:highlight w:val="none"/>
                <w:shd w:val="clear" w:color="auto" w:fill="auto"/>
                <w:lang w:val="en-US" w:eastAsia="zh-CN"/>
              </w:rPr>
              <w:t>和</w:t>
            </w:r>
            <w:r>
              <w:rPr>
                <w:rFonts w:hint="eastAsia" w:hAnsi="宋体"/>
                <w:color w:val="auto"/>
                <w:sz w:val="24"/>
                <w:highlight w:val="none"/>
                <w:shd w:val="clear" w:color="auto" w:fill="auto"/>
              </w:rPr>
              <w:t>初期雨水</w:t>
            </w:r>
            <w:r>
              <w:rPr>
                <w:rFonts w:hint="default" w:hAnsi="宋体"/>
                <w:color w:val="auto"/>
                <w:sz w:val="24"/>
                <w:highlight w:val="none"/>
                <w:shd w:val="clear" w:color="auto" w:fill="auto"/>
              </w:rPr>
              <w:t>。</w:t>
            </w:r>
          </w:p>
          <w:p w14:paraId="28688189">
            <w:pPr>
              <w:pStyle w:val="9"/>
              <w:keepNext w:val="0"/>
              <w:keepLines w:val="0"/>
              <w:suppressLineNumbers w:val="0"/>
              <w:shd w:val="clear"/>
              <w:snapToGrid w:val="0"/>
              <w:spacing w:before="0" w:beforeAutospacing="0" w:after="0" w:afterAutospacing="0" w:line="360" w:lineRule="auto"/>
              <w:ind w:left="0" w:leftChars="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1）施工废水</w:t>
            </w:r>
          </w:p>
          <w:p w14:paraId="3EB3C435">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zh-CN" w:eastAsia="zh-CN" w:bidi="ar-SA"/>
              </w:rPr>
              <w:t>施工废水主要为运输车辆、施工机具冲洗废水。冲洗废水排放量极少，且排放方式为间歇性，基本不会形成水流，冲洗废水中主要污染因子为SS。</w:t>
            </w:r>
            <w:r>
              <w:rPr>
                <w:rFonts w:hint="eastAsia" w:ascii="Times New Roman" w:hAnsi="宋体" w:eastAsia="宋体" w:cs="Times New Roman"/>
                <w:color w:val="auto"/>
                <w:kern w:val="2"/>
                <w:sz w:val="24"/>
                <w:szCs w:val="24"/>
                <w:lang w:val="en-US" w:eastAsia="zh-CN" w:bidi="ar-SA"/>
              </w:rPr>
              <w:t>经沉淀池处理后，回用于施工现场，不外排，不会对周围地表水体产生影响。</w:t>
            </w:r>
          </w:p>
          <w:p w14:paraId="340D08C4">
            <w:pPr>
              <w:keepNext w:val="0"/>
              <w:keepLines w:val="0"/>
              <w:widowControl/>
              <w:suppressLineNumbers w:val="0"/>
              <w:shd w:val="clear"/>
              <w:spacing w:before="0" w:beforeAutospacing="0" w:after="0" w:afterAutospacing="0" w:line="360" w:lineRule="auto"/>
              <w:ind w:left="0" w:right="0" w:firstLine="480" w:firstLineChars="200"/>
              <w:jc w:val="left"/>
              <w:rPr>
                <w:rFonts w:hint="eastAsia" w:hAnsi="宋体"/>
                <w:color w:val="auto"/>
                <w:sz w:val="24"/>
                <w:highlight w:val="yellow"/>
                <w:shd w:val="clear" w:color="auto" w:fill="auto"/>
              </w:rPr>
            </w:pPr>
            <w:r>
              <w:rPr>
                <w:rFonts w:hint="eastAsia" w:ascii="Times New Roman" w:hAnsi="宋体" w:eastAsia="宋体" w:cs="Times New Roman"/>
                <w:color w:val="auto"/>
                <w:kern w:val="2"/>
                <w:sz w:val="24"/>
                <w:szCs w:val="24"/>
                <w:lang w:val="en-US" w:eastAsia="zh-CN" w:bidi="ar-SA"/>
              </w:rPr>
              <w:t>光伏阵列工程废水：项目光伏阵列区施工仅建设光伏板和</w:t>
            </w:r>
            <w:r>
              <w:rPr>
                <w:rFonts w:hint="eastAsia" w:hAnsi="宋体" w:cs="Times New Roman"/>
                <w:color w:val="auto"/>
                <w:kern w:val="2"/>
                <w:sz w:val="24"/>
                <w:szCs w:val="24"/>
                <w:lang w:val="en-US" w:eastAsia="zh-CN" w:bidi="ar-SA"/>
              </w:rPr>
              <w:t>电缆槽盒</w:t>
            </w:r>
            <w:r>
              <w:rPr>
                <w:rFonts w:hint="eastAsia" w:ascii="Times New Roman" w:hAnsi="宋体" w:eastAsia="宋体" w:cs="Times New Roman"/>
                <w:color w:val="auto"/>
                <w:kern w:val="2"/>
                <w:sz w:val="24"/>
                <w:szCs w:val="24"/>
                <w:lang w:val="en-US" w:eastAsia="zh-CN" w:bidi="ar-SA"/>
              </w:rPr>
              <w:t>等少量工程，施工期不产生建筑施工废水。</w:t>
            </w:r>
          </w:p>
          <w:p w14:paraId="508985BE">
            <w:pPr>
              <w:pStyle w:val="9"/>
              <w:keepNext w:val="0"/>
              <w:keepLines w:val="0"/>
              <w:suppressLineNumbers w:val="0"/>
              <w:shd w:val="clear"/>
              <w:adjustRightInd w:val="0"/>
              <w:snapToGrid w:val="0"/>
              <w:spacing w:before="0" w:beforeAutospacing="0" w:after="0" w:afterAutospacing="0" w:line="360" w:lineRule="auto"/>
              <w:ind w:left="0" w:leftChars="0" w:right="0" w:firstLine="480" w:firstLineChars="200"/>
              <w:rPr>
                <w:rFonts w:hint="default"/>
                <w:color w:val="auto"/>
                <w:sz w:val="24"/>
                <w:highlight w:val="none"/>
                <w:shd w:val="clear" w:color="auto" w:fill="auto"/>
              </w:rPr>
            </w:pPr>
            <w:r>
              <w:rPr>
                <w:rFonts w:hint="eastAsia" w:hAnsi="宋体"/>
                <w:color w:val="auto"/>
                <w:sz w:val="24"/>
                <w:highlight w:val="none"/>
                <w:shd w:val="clear" w:color="auto" w:fill="auto"/>
                <w:lang w:val="en-US" w:eastAsia="zh-CN"/>
              </w:rPr>
              <w:t>2</w:t>
            </w:r>
            <w:r>
              <w:rPr>
                <w:rFonts w:hint="eastAsia" w:hAnsi="宋体"/>
                <w:color w:val="auto"/>
                <w:sz w:val="24"/>
                <w:highlight w:val="none"/>
                <w:shd w:val="clear" w:color="auto" w:fill="auto"/>
              </w:rPr>
              <w:t>）初期雨水</w:t>
            </w:r>
          </w:p>
          <w:p w14:paraId="37A49948">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项目施工期间，如遇雨水天气，降雨冲刷浮土、建筑砂石等，产生携带大量泥沙和水泥、油类及其它地表固体</w:t>
            </w:r>
            <w:r>
              <w:rPr>
                <w:rFonts w:hint="eastAsia"/>
                <w:color w:val="auto"/>
                <w:sz w:val="24"/>
                <w:highlight w:val="none"/>
                <w:shd w:val="clear" w:color="auto" w:fill="auto"/>
                <w:lang w:val="en-US" w:eastAsia="zh-CN"/>
              </w:rPr>
              <w:t>废</w:t>
            </w:r>
            <w:r>
              <w:rPr>
                <w:rFonts w:hint="eastAsia"/>
                <w:color w:val="auto"/>
                <w:sz w:val="24"/>
                <w:highlight w:val="none"/>
                <w:shd w:val="clear" w:color="auto" w:fill="auto"/>
              </w:rPr>
              <w:t>物的泥浆水，如流入地表水体，将产生一定的面源污染。对于本项目而言，由于部分场地处于山体斜坡地带，水土流失较易发生。</w:t>
            </w:r>
          </w:p>
          <w:p w14:paraId="036B799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项目应严格落实水土保持措施，在光伏场区地势低处、施工临时</w:t>
            </w:r>
            <w:r>
              <w:rPr>
                <w:rFonts w:hint="eastAsia"/>
                <w:color w:val="auto"/>
                <w:sz w:val="24"/>
                <w:highlight w:val="none"/>
                <w:shd w:val="clear" w:color="auto" w:fill="auto"/>
                <w:lang w:val="en-US" w:eastAsia="zh-CN"/>
              </w:rPr>
              <w:t>场地</w:t>
            </w:r>
            <w:r>
              <w:rPr>
                <w:rFonts w:hint="eastAsia"/>
                <w:color w:val="auto"/>
                <w:sz w:val="24"/>
                <w:highlight w:val="none"/>
                <w:shd w:val="clear" w:color="auto" w:fill="auto"/>
              </w:rPr>
              <w:t>等周边设置截排水沟，在排水沟末端设置临时沉</w:t>
            </w:r>
            <w:r>
              <w:rPr>
                <w:rFonts w:hint="eastAsia"/>
                <w:color w:val="auto"/>
                <w:sz w:val="24"/>
                <w:highlight w:val="none"/>
                <w:shd w:val="clear" w:color="auto" w:fill="auto"/>
                <w:lang w:val="en-US" w:eastAsia="zh-CN"/>
              </w:rPr>
              <w:t>淀</w:t>
            </w:r>
            <w:r>
              <w:rPr>
                <w:rFonts w:hint="eastAsia"/>
                <w:color w:val="auto"/>
                <w:sz w:val="24"/>
                <w:highlight w:val="none"/>
                <w:shd w:val="clear" w:color="auto" w:fill="auto"/>
              </w:rPr>
              <w:t>池，施工过程中产生的初期雨水经临时截排水沟引入沉</w:t>
            </w:r>
            <w:r>
              <w:rPr>
                <w:rFonts w:hint="eastAsia"/>
                <w:color w:val="auto"/>
                <w:sz w:val="24"/>
                <w:highlight w:val="none"/>
                <w:shd w:val="clear" w:color="auto" w:fill="auto"/>
                <w:lang w:val="en-US" w:eastAsia="zh-CN"/>
              </w:rPr>
              <w:t>淀</w:t>
            </w:r>
            <w:r>
              <w:rPr>
                <w:rFonts w:hint="eastAsia"/>
                <w:color w:val="auto"/>
                <w:sz w:val="24"/>
                <w:highlight w:val="none"/>
                <w:shd w:val="clear" w:color="auto" w:fill="auto"/>
              </w:rPr>
              <w:t>池沉淀处理后，</w:t>
            </w:r>
            <w:r>
              <w:rPr>
                <w:rFonts w:hint="eastAsia"/>
                <w:color w:val="auto"/>
                <w:sz w:val="24"/>
                <w:highlight w:val="none"/>
                <w:shd w:val="clear" w:color="auto" w:fill="auto"/>
                <w:lang w:val="en-US" w:eastAsia="zh-CN"/>
              </w:rPr>
              <w:t>全部</w:t>
            </w:r>
            <w:r>
              <w:rPr>
                <w:rFonts w:hint="eastAsia"/>
                <w:color w:val="auto"/>
                <w:sz w:val="24"/>
                <w:highlight w:val="none"/>
                <w:shd w:val="clear" w:color="auto" w:fill="auto"/>
              </w:rPr>
              <w:t>回用于施工过程，</w:t>
            </w:r>
            <w:r>
              <w:rPr>
                <w:rFonts w:hint="eastAsia"/>
                <w:color w:val="auto"/>
                <w:sz w:val="24"/>
                <w:highlight w:val="none"/>
                <w:shd w:val="clear" w:color="auto" w:fill="auto"/>
                <w:lang w:val="en-US" w:eastAsia="zh-CN"/>
              </w:rPr>
              <w:t>不外排</w:t>
            </w:r>
            <w:r>
              <w:rPr>
                <w:rFonts w:hint="eastAsia"/>
                <w:color w:val="auto"/>
                <w:sz w:val="24"/>
                <w:highlight w:val="none"/>
                <w:shd w:val="clear" w:color="auto" w:fill="auto"/>
              </w:rPr>
              <w:t>，对周边地表水产生的影响较小。</w:t>
            </w:r>
          </w:p>
          <w:p w14:paraId="5D168660">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bCs/>
                <w:color w:val="auto"/>
                <w:sz w:val="24"/>
                <w:highlight w:val="none"/>
                <w:shd w:val="clear" w:color="auto" w:fill="auto"/>
                <w:lang w:val="en-US" w:eastAsia="zh-CN"/>
              </w:rPr>
            </w:pPr>
            <w:r>
              <w:rPr>
                <w:rFonts w:hint="eastAsia"/>
                <w:color w:val="auto"/>
                <w:sz w:val="24"/>
                <w:highlight w:val="none"/>
                <w:shd w:val="clear" w:color="auto" w:fill="auto"/>
              </w:rPr>
              <w:t>此外，项目施工</w:t>
            </w:r>
            <w:r>
              <w:rPr>
                <w:rFonts w:hint="eastAsia"/>
                <w:color w:val="auto"/>
                <w:sz w:val="24"/>
                <w:highlight w:val="none"/>
                <w:shd w:val="clear" w:color="auto" w:fill="auto"/>
                <w:lang w:val="en-US" w:eastAsia="zh-CN"/>
              </w:rPr>
              <w:t>还</w:t>
            </w:r>
            <w:r>
              <w:rPr>
                <w:rFonts w:hint="eastAsia"/>
                <w:color w:val="auto"/>
                <w:sz w:val="24"/>
                <w:highlight w:val="none"/>
                <w:shd w:val="clear" w:color="auto" w:fill="auto"/>
              </w:rPr>
              <w:t>应加强管理，粉状物料尽量袋装后搭设防雨工棚存放，做好施工机械的日常维修保养，杜绝跑、冒、滴、漏现象，尽量</w:t>
            </w:r>
            <w:r>
              <w:rPr>
                <w:rFonts w:hint="eastAsia"/>
                <w:color w:val="auto"/>
                <w:sz w:val="24"/>
                <w:highlight w:val="none"/>
                <w:shd w:val="clear" w:color="auto" w:fill="auto"/>
                <w:lang w:eastAsia="zh-CN"/>
              </w:rPr>
              <w:t>减少</w:t>
            </w:r>
            <w:r>
              <w:rPr>
                <w:rFonts w:hint="eastAsia"/>
                <w:color w:val="auto"/>
                <w:sz w:val="24"/>
                <w:highlight w:val="none"/>
                <w:shd w:val="clear" w:color="auto" w:fill="auto"/>
              </w:rPr>
              <w:t>施工期降雨冲刷产生的影响。</w:t>
            </w:r>
          </w:p>
          <w:p w14:paraId="6C87C00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sz w:val="24"/>
              </w:rPr>
            </w:pPr>
            <w:r>
              <w:rPr>
                <w:rFonts w:hint="eastAsia"/>
                <w:b w:val="0"/>
                <w:bCs/>
                <w:color w:val="auto"/>
                <w:sz w:val="24"/>
                <w:lang w:val="en-US" w:eastAsia="zh-CN"/>
              </w:rPr>
              <w:t>③</w:t>
            </w:r>
            <w:r>
              <w:rPr>
                <w:rFonts w:hint="eastAsia" w:ascii="Times New Roman" w:hAnsi="Times New Roman"/>
                <w:color w:val="auto"/>
                <w:sz w:val="24"/>
              </w:rPr>
              <w:t>对</w:t>
            </w:r>
            <w:r>
              <w:rPr>
                <w:rFonts w:hint="eastAsia" w:ascii="Times New Roman" w:hAnsi="Times New Roman"/>
                <w:color w:val="auto"/>
                <w:sz w:val="24"/>
                <w:lang w:eastAsia="zh-CN"/>
              </w:rPr>
              <w:t>地表水</w:t>
            </w:r>
            <w:r>
              <w:rPr>
                <w:rFonts w:hint="eastAsia" w:ascii="Times New Roman" w:hAnsi="Times New Roman"/>
                <w:color w:val="auto"/>
                <w:sz w:val="24"/>
              </w:rPr>
              <w:t>的影响分析</w:t>
            </w:r>
          </w:p>
          <w:p w14:paraId="3028702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auto"/>
                <w:sz w:val="24"/>
                <w:szCs w:val="24"/>
              </w:rPr>
            </w:pPr>
            <w:r>
              <w:rPr>
                <w:rFonts w:hint="eastAsia" w:ascii="Times New Roman" w:hAnsi="Times New Roman"/>
                <w:color w:val="auto"/>
                <w:sz w:val="24"/>
                <w:szCs w:val="20"/>
              </w:rPr>
              <w:t>建项目</w:t>
            </w:r>
            <w:r>
              <w:rPr>
                <w:rFonts w:hint="eastAsia" w:ascii="Times New Roman" w:hAnsi="Times New Roman"/>
                <w:color w:val="auto"/>
                <w:sz w:val="24"/>
                <w:szCs w:val="20"/>
                <w:lang w:eastAsia="zh-CN"/>
              </w:rPr>
              <w:t>位于</w:t>
            </w:r>
            <w:r>
              <w:rPr>
                <w:rFonts w:hint="eastAsia"/>
                <w:b w:val="0"/>
                <w:bCs w:val="0"/>
                <w:color w:val="auto"/>
                <w:kern w:val="0"/>
                <w:sz w:val="24"/>
              </w:rPr>
              <w:t>牛栏江流域重点水源涵养区</w:t>
            </w:r>
            <w:r>
              <w:rPr>
                <w:rFonts w:hint="eastAsia"/>
                <w:color w:val="auto"/>
                <w:sz w:val="24"/>
                <w:szCs w:val="20"/>
                <w:lang w:eastAsia="zh-CN"/>
              </w:rPr>
              <w:t>，</w:t>
            </w:r>
            <w:r>
              <w:rPr>
                <w:rFonts w:hint="eastAsia"/>
                <w:color w:val="auto"/>
                <w:sz w:val="24"/>
              </w:rPr>
              <w:t>项目</w:t>
            </w:r>
            <w:r>
              <w:rPr>
                <w:rFonts w:hint="eastAsia"/>
                <w:color w:val="auto"/>
                <w:sz w:val="24"/>
                <w:lang w:val="en-US" w:eastAsia="zh-CN"/>
              </w:rPr>
              <w:t>西南片区</w:t>
            </w:r>
            <w:r>
              <w:rPr>
                <w:rFonts w:hint="eastAsia"/>
                <w:color w:val="auto"/>
                <w:sz w:val="24"/>
              </w:rPr>
              <w:t>还涉及</w:t>
            </w:r>
            <w:r>
              <w:rPr>
                <w:rFonts w:hint="default" w:ascii="Times New Roman" w:hAnsi="Times New Roman" w:eastAsia="Times New Roman"/>
                <w:color w:val="auto"/>
                <w:sz w:val="24"/>
                <w:szCs w:val="24"/>
                <w:lang w:val="zh-CN"/>
              </w:rPr>
              <w:t>昆明市寻甸县河口镇化桃箐水库饮用水水源保护区</w:t>
            </w:r>
            <w:r>
              <w:rPr>
                <w:rFonts w:hint="eastAsia"/>
                <w:color w:val="auto"/>
                <w:sz w:val="24"/>
              </w:rPr>
              <w:t>，位于</w:t>
            </w:r>
            <w:r>
              <w:rPr>
                <w:rFonts w:hint="eastAsia" w:cs="Times New Roman"/>
                <w:color w:val="auto"/>
                <w:sz w:val="24"/>
                <w:lang w:val="en-US" w:eastAsia="zh-CN"/>
              </w:rPr>
              <w:t>8</w:t>
            </w:r>
            <w:r>
              <w:rPr>
                <w:rFonts w:hint="eastAsia" w:ascii="Times New Roman" w:hAnsi="Times New Roman" w:eastAsia="宋体" w:cs="Times New Roman"/>
                <w:color w:val="auto"/>
                <w:sz w:val="24"/>
                <w:lang w:val="en-US" w:eastAsia="zh-CN"/>
              </w:rPr>
              <w:t>#方阵</w:t>
            </w:r>
            <w:r>
              <w:rPr>
                <w:rFonts w:hint="eastAsia" w:cs="Times New Roman"/>
                <w:color w:val="auto"/>
                <w:sz w:val="24"/>
                <w:lang w:val="en-US" w:eastAsia="zh-CN"/>
              </w:rPr>
              <w:t>东</w:t>
            </w:r>
            <w:r>
              <w:rPr>
                <w:rFonts w:hint="eastAsia" w:ascii="Times New Roman" w:hAnsi="Times New Roman" w:eastAsia="宋体" w:cs="Times New Roman"/>
                <w:color w:val="auto"/>
                <w:sz w:val="24"/>
                <w:lang w:val="en-US" w:eastAsia="zh-CN"/>
              </w:rPr>
              <w:t>侧</w:t>
            </w:r>
            <w:r>
              <w:rPr>
                <w:rFonts w:hint="eastAsia" w:cs="Times New Roman"/>
                <w:color w:val="auto"/>
                <w:sz w:val="24"/>
                <w:lang w:val="en-US" w:eastAsia="zh-CN"/>
              </w:rPr>
              <w:t>1.5</w:t>
            </w:r>
            <w:r>
              <w:rPr>
                <w:rFonts w:hint="eastAsia" w:ascii="Times New Roman" w:hAnsi="Times New Roman" w:eastAsia="宋体" w:cs="Times New Roman"/>
                <w:color w:val="auto"/>
                <w:sz w:val="24"/>
                <w:lang w:val="en-US" w:eastAsia="zh-CN"/>
              </w:rPr>
              <w:t>m处</w:t>
            </w:r>
            <w:r>
              <w:rPr>
                <w:rFonts w:hint="eastAsia"/>
                <w:color w:val="auto"/>
                <w:lang w:eastAsia="zh-CN"/>
              </w:rPr>
              <w:t>，</w:t>
            </w:r>
            <w:r>
              <w:rPr>
                <w:rFonts w:hint="eastAsia"/>
                <w:color w:val="auto"/>
                <w:lang w:val="en-US" w:eastAsia="zh-CN"/>
              </w:rPr>
              <w:t>但不在其汇水区</w:t>
            </w:r>
            <w:r>
              <w:rPr>
                <w:rFonts w:hint="eastAsia" w:ascii="Times New Roman" w:hAnsi="Times New Roman" w:eastAsia="宋体" w:cs="Times New Roman"/>
                <w:color w:val="auto"/>
                <w:sz w:val="24"/>
                <w:lang w:val="en-US" w:eastAsia="zh-CN"/>
              </w:rPr>
              <w:t>。</w:t>
            </w:r>
          </w:p>
          <w:p w14:paraId="09CD2FA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olor w:val="auto"/>
                <w:sz w:val="24"/>
                <w:szCs w:val="24"/>
                <w:lang w:eastAsia="zh-CN"/>
              </w:rPr>
            </w:pPr>
            <w:r>
              <w:rPr>
                <w:rFonts w:hint="eastAsia" w:ascii="Times New Roman" w:hAnsi="Times New Roman"/>
                <w:color w:val="auto"/>
                <w:sz w:val="24"/>
                <w:szCs w:val="24"/>
                <w:lang w:val="en-US" w:eastAsia="zh-CN"/>
              </w:rPr>
              <w:t>a.</w:t>
            </w:r>
            <w:r>
              <w:rPr>
                <w:rFonts w:hint="eastAsia" w:ascii="Times New Roman" w:hAnsi="Times New Roman"/>
                <w:color w:val="auto"/>
                <w:sz w:val="24"/>
                <w:szCs w:val="24"/>
                <w:lang w:eastAsia="zh-CN"/>
              </w:rPr>
              <w:t>对</w:t>
            </w:r>
            <w:r>
              <w:rPr>
                <w:rFonts w:hint="default" w:ascii="Times New Roman" w:hAnsi="Times New Roman" w:eastAsia="Times New Roman"/>
                <w:color w:val="auto"/>
                <w:sz w:val="24"/>
                <w:szCs w:val="24"/>
                <w:lang w:val="zh-CN"/>
              </w:rPr>
              <w:t>昆明市寻甸县河口镇化桃箐水库饮用水水源保护区</w:t>
            </w:r>
            <w:r>
              <w:rPr>
                <w:rFonts w:hint="eastAsia" w:ascii="Times New Roman" w:hAnsi="Times New Roman"/>
                <w:color w:val="auto"/>
                <w:sz w:val="24"/>
                <w:szCs w:val="20"/>
                <w:lang w:eastAsia="zh-CN"/>
              </w:rPr>
              <w:t>的影响分析</w:t>
            </w:r>
          </w:p>
          <w:p w14:paraId="102DDE0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olor w:val="auto"/>
                <w:sz w:val="24"/>
                <w:szCs w:val="20"/>
                <w:lang w:eastAsia="zh-CN"/>
              </w:rPr>
            </w:pPr>
            <w:r>
              <w:rPr>
                <w:rFonts w:hint="eastAsia"/>
                <w:color w:val="auto"/>
                <w:sz w:val="24"/>
                <w:szCs w:val="24"/>
              </w:rPr>
              <w:t>项目建设施工及运营期间会对水源地周边的环境产生一定的影响，环评要求</w:t>
            </w:r>
            <w:r>
              <w:rPr>
                <w:rFonts w:hint="eastAsia" w:ascii="Times New Roman" w:hAnsi="Times New Roman" w:eastAsia="Times New Roman" w:cs="Times New Roman"/>
                <w:color w:val="auto"/>
                <w:sz w:val="24"/>
                <w:highlight w:val="none"/>
                <w:shd w:val="clear" w:color="auto" w:fill="auto"/>
              </w:rPr>
              <w:t>严格施工管理，禁止超范围占地；</w:t>
            </w:r>
            <w:r>
              <w:rPr>
                <w:rFonts w:hint="eastAsia"/>
                <w:color w:val="auto"/>
                <w:sz w:val="24"/>
                <w:szCs w:val="24"/>
              </w:rPr>
              <w:t>施工单位应严格执行《建设工程施工地文明施工及环境管理暂行规定》，在施工场地四周修建临时排水沟，箱变及支架基础施工使用商品混凝土，不设置搅拌站</w:t>
            </w:r>
            <w:r>
              <w:rPr>
                <w:rFonts w:hint="eastAsia"/>
                <w:color w:val="auto"/>
                <w:sz w:val="24"/>
                <w:szCs w:val="24"/>
                <w:lang w:eastAsia="zh-CN"/>
              </w:rPr>
              <w:t>；</w:t>
            </w:r>
            <w:r>
              <w:rPr>
                <w:rFonts w:hint="eastAsia" w:ascii="Times New Roman" w:hAnsi="Times New Roman"/>
                <w:color w:val="auto"/>
                <w:sz w:val="24"/>
                <w:szCs w:val="24"/>
              </w:rPr>
              <w:t>施工期</w:t>
            </w:r>
            <w:r>
              <w:rPr>
                <w:rFonts w:hint="eastAsia"/>
                <w:color w:val="auto"/>
                <w:sz w:val="24"/>
                <w:szCs w:val="24"/>
                <w:lang w:val="en-US" w:eastAsia="zh-CN"/>
              </w:rPr>
              <w:t>项目范围</w:t>
            </w:r>
            <w:r>
              <w:rPr>
                <w:rFonts w:hint="eastAsia" w:ascii="Times New Roman" w:hAnsi="Times New Roman"/>
                <w:color w:val="auto"/>
                <w:sz w:val="24"/>
                <w:szCs w:val="24"/>
              </w:rPr>
              <w:t>内不设置施工营地，不产生施工人员生活污水，也无废水排放</w:t>
            </w:r>
            <w:r>
              <w:rPr>
                <w:rFonts w:hint="eastAsia"/>
                <w:color w:val="auto"/>
                <w:sz w:val="24"/>
                <w:szCs w:val="24"/>
                <w:lang w:eastAsia="zh-CN"/>
              </w:rPr>
              <w:t>；</w:t>
            </w:r>
            <w:r>
              <w:rPr>
                <w:rFonts w:hint="eastAsia"/>
                <w:color w:val="auto"/>
                <w:sz w:val="24"/>
              </w:rPr>
              <w:t>施工前应提前在施工场地下游修建截排水沟和沉</w:t>
            </w:r>
            <w:r>
              <w:rPr>
                <w:rFonts w:hint="eastAsia"/>
                <w:color w:val="auto"/>
                <w:sz w:val="24"/>
                <w:lang w:val="en-US" w:eastAsia="zh-CN"/>
              </w:rPr>
              <w:t>沙</w:t>
            </w:r>
            <w:r>
              <w:rPr>
                <w:rFonts w:hint="eastAsia"/>
                <w:color w:val="auto"/>
                <w:sz w:val="24"/>
              </w:rPr>
              <w:t>池等设施，以降低雨季径流排水泥沙含量，减轻对地表水体水质产生影响。</w:t>
            </w:r>
            <w:r>
              <w:rPr>
                <w:rFonts w:hint="eastAsia"/>
                <w:color w:val="auto"/>
                <w:sz w:val="24"/>
                <w:lang w:eastAsia="zh-CN"/>
              </w:rPr>
              <w:t>施工期</w:t>
            </w:r>
            <w:r>
              <w:rPr>
                <w:rFonts w:hint="eastAsia"/>
                <w:color w:val="auto"/>
                <w:sz w:val="24"/>
              </w:rPr>
              <w:t>雨天形成的地表径流污染物主要为SS</w:t>
            </w:r>
            <w:r>
              <w:rPr>
                <w:rFonts w:hint="eastAsia"/>
                <w:color w:val="auto"/>
                <w:sz w:val="24"/>
                <w:lang w:eastAsia="zh-CN"/>
              </w:rPr>
              <w:t>，</w:t>
            </w:r>
            <w:r>
              <w:rPr>
                <w:rFonts w:hint="eastAsia"/>
                <w:color w:val="auto"/>
                <w:sz w:val="24"/>
              </w:rPr>
              <w:t>通过</w:t>
            </w:r>
            <w:r>
              <w:rPr>
                <w:rFonts w:hint="eastAsia"/>
                <w:color w:val="auto"/>
                <w:sz w:val="24"/>
                <w:lang w:eastAsia="zh-CN"/>
              </w:rPr>
              <w:t>截排水设施、</w:t>
            </w:r>
            <w:r>
              <w:rPr>
                <w:rFonts w:hint="eastAsia"/>
                <w:color w:val="auto"/>
                <w:sz w:val="24"/>
              </w:rPr>
              <w:t>沉</w:t>
            </w:r>
            <w:r>
              <w:rPr>
                <w:rFonts w:hint="eastAsia"/>
                <w:color w:val="auto"/>
                <w:sz w:val="24"/>
                <w:lang w:val="en-US" w:eastAsia="zh-CN"/>
              </w:rPr>
              <w:t>沙</w:t>
            </w:r>
            <w:r>
              <w:rPr>
                <w:rFonts w:hint="eastAsia"/>
                <w:color w:val="auto"/>
                <w:sz w:val="24"/>
              </w:rPr>
              <w:t>池等</w:t>
            </w:r>
            <w:r>
              <w:rPr>
                <w:rFonts w:hint="eastAsia"/>
                <w:color w:val="auto"/>
                <w:sz w:val="24"/>
                <w:lang w:eastAsia="zh-CN"/>
              </w:rPr>
              <w:t>收集处理后对区域地表水环境影响不大</w:t>
            </w:r>
            <w:r>
              <w:rPr>
                <w:rFonts w:hint="eastAsia"/>
                <w:color w:val="auto"/>
                <w:sz w:val="24"/>
              </w:rPr>
              <w:t>。</w:t>
            </w:r>
            <w:r>
              <w:rPr>
                <w:rFonts w:hint="eastAsia"/>
                <w:color w:val="auto"/>
                <w:sz w:val="24"/>
                <w:lang w:eastAsia="zh-CN"/>
              </w:rPr>
              <w:t>施工期应加强废水的收集处理措施管理，杜绝雨季径流直接进入外环境。</w:t>
            </w:r>
            <w:r>
              <w:rPr>
                <w:rFonts w:hint="eastAsia"/>
                <w:color w:val="auto"/>
                <w:sz w:val="24"/>
              </w:rPr>
              <w:t>项目产生的建筑垃圾等应定点收集，及时清运，严禁倾倒至</w:t>
            </w:r>
            <w:r>
              <w:rPr>
                <w:rFonts w:hint="default" w:ascii="Times New Roman" w:hAnsi="Times New Roman" w:eastAsia="Times New Roman"/>
                <w:color w:val="auto"/>
                <w:sz w:val="24"/>
                <w:szCs w:val="24"/>
                <w:lang w:val="zh-CN"/>
              </w:rPr>
              <w:t>化桃箐水库饮用水水源保护区</w:t>
            </w:r>
            <w:r>
              <w:rPr>
                <w:rFonts w:hint="eastAsia" w:eastAsia="宋体"/>
                <w:color w:val="auto"/>
                <w:sz w:val="24"/>
                <w:szCs w:val="24"/>
                <w:lang w:val="en-US" w:eastAsia="zh-CN"/>
              </w:rPr>
              <w:t>范围</w:t>
            </w:r>
            <w:r>
              <w:rPr>
                <w:rFonts w:hint="eastAsia"/>
                <w:color w:val="auto"/>
                <w:sz w:val="24"/>
              </w:rPr>
              <w:t>内。同时施工过程中加强施工人员的环保教育，严禁在周围地表水体内清洗车辆、建筑材料等。</w:t>
            </w:r>
            <w:r>
              <w:rPr>
                <w:rFonts w:hint="eastAsia"/>
                <w:color w:val="auto"/>
                <w:sz w:val="24"/>
                <w:szCs w:val="24"/>
                <w:lang w:val="en-US" w:eastAsia="zh-CN"/>
              </w:rPr>
              <w:t>项目</w:t>
            </w:r>
            <w:r>
              <w:rPr>
                <w:rFonts w:hint="eastAsia" w:ascii="Times New Roman" w:hAnsi="Times New Roman"/>
                <w:color w:val="auto"/>
                <w:sz w:val="24"/>
                <w:szCs w:val="24"/>
              </w:rPr>
              <w:t>施工结束后及时</w:t>
            </w:r>
            <w:r>
              <w:rPr>
                <w:rFonts w:hint="eastAsia" w:ascii="Times New Roman" w:hAnsi="Times New Roman"/>
                <w:color w:val="auto"/>
                <w:sz w:val="24"/>
                <w:szCs w:val="24"/>
                <w:lang w:eastAsia="zh-CN"/>
              </w:rPr>
              <w:t>进行生态</w:t>
            </w:r>
            <w:r>
              <w:rPr>
                <w:rFonts w:hint="eastAsia" w:ascii="Times New Roman" w:hAnsi="Times New Roman"/>
                <w:color w:val="auto"/>
                <w:sz w:val="24"/>
                <w:szCs w:val="24"/>
              </w:rPr>
              <w:t>恢复，施工期对</w:t>
            </w:r>
            <w:r>
              <w:rPr>
                <w:rFonts w:hint="default" w:ascii="Times New Roman" w:hAnsi="Times New Roman" w:eastAsia="Times New Roman"/>
                <w:color w:val="auto"/>
                <w:sz w:val="24"/>
                <w:szCs w:val="24"/>
                <w:lang w:val="zh-CN"/>
              </w:rPr>
              <w:t>饮用水水源保护区</w:t>
            </w:r>
            <w:r>
              <w:rPr>
                <w:rFonts w:hint="eastAsia" w:ascii="Times New Roman" w:hAnsi="Times New Roman"/>
                <w:color w:val="auto"/>
                <w:sz w:val="24"/>
                <w:szCs w:val="24"/>
              </w:rPr>
              <w:t>的影响</w:t>
            </w:r>
            <w:r>
              <w:rPr>
                <w:rFonts w:hint="eastAsia" w:ascii="Times New Roman" w:hAnsi="Times New Roman"/>
                <w:color w:val="auto"/>
                <w:sz w:val="24"/>
                <w:szCs w:val="24"/>
                <w:lang w:val="en-US" w:eastAsia="zh-CN"/>
              </w:rPr>
              <w:t>小</w:t>
            </w:r>
            <w:r>
              <w:rPr>
                <w:rFonts w:hint="eastAsia" w:ascii="Times New Roman" w:hAnsi="Times New Roman"/>
                <w:color w:val="auto"/>
                <w:sz w:val="24"/>
                <w:szCs w:val="24"/>
              </w:rPr>
              <w:t>。</w:t>
            </w:r>
          </w:p>
          <w:p w14:paraId="73A1956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olor w:val="auto"/>
                <w:sz w:val="24"/>
                <w:szCs w:val="24"/>
                <w:lang w:eastAsia="zh-CN"/>
              </w:rPr>
            </w:pPr>
            <w:r>
              <w:rPr>
                <w:rFonts w:hint="eastAsia" w:ascii="Times New Roman" w:hAnsi="Times New Roman"/>
                <w:color w:val="auto"/>
                <w:sz w:val="24"/>
                <w:szCs w:val="24"/>
                <w:lang w:val="en-US" w:eastAsia="zh-CN"/>
              </w:rPr>
              <w:t>b.</w:t>
            </w:r>
            <w:r>
              <w:rPr>
                <w:rFonts w:hint="eastAsia" w:ascii="Times New Roman" w:hAnsi="Times New Roman"/>
                <w:color w:val="auto"/>
                <w:sz w:val="24"/>
                <w:szCs w:val="24"/>
                <w:lang w:eastAsia="zh-CN"/>
              </w:rPr>
              <w:t>对牛栏江</w:t>
            </w:r>
            <w:r>
              <w:rPr>
                <w:rFonts w:hint="eastAsia" w:ascii="Times New Roman" w:hAnsi="Times New Roman"/>
                <w:color w:val="auto"/>
                <w:sz w:val="24"/>
                <w:szCs w:val="20"/>
              </w:rPr>
              <w:t>重点水源涵养区</w:t>
            </w:r>
            <w:r>
              <w:rPr>
                <w:rFonts w:hint="eastAsia" w:ascii="Times New Roman" w:hAnsi="Times New Roman"/>
                <w:color w:val="auto"/>
                <w:sz w:val="24"/>
                <w:szCs w:val="20"/>
                <w:lang w:eastAsia="zh-CN"/>
              </w:rPr>
              <w:t>的影响分析</w:t>
            </w:r>
          </w:p>
          <w:p w14:paraId="4BD135C1">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eastAsia" w:ascii="Times New Roman" w:hAnsi="Times New Roman"/>
                <w:color w:val="auto"/>
                <w:sz w:val="24"/>
                <w:szCs w:val="24"/>
                <w:lang w:eastAsia="zh-CN"/>
              </w:rPr>
            </w:pPr>
            <w:r>
              <w:rPr>
                <w:rFonts w:hint="eastAsia" w:ascii="Times New Roman" w:hAnsi="Times New Roman"/>
                <w:color w:val="auto"/>
                <w:sz w:val="24"/>
                <w:szCs w:val="24"/>
              </w:rPr>
              <w:t>项目用地主要为</w:t>
            </w:r>
            <w:r>
              <w:rPr>
                <w:rFonts w:hint="eastAsia" w:ascii="Times New Roman" w:hAnsi="Times New Roman"/>
                <w:color w:val="auto"/>
                <w:sz w:val="24"/>
                <w:szCs w:val="24"/>
                <w:highlight w:val="none"/>
                <w:lang w:val="en-US" w:eastAsia="zh-CN"/>
              </w:rPr>
              <w:t>其他</w:t>
            </w:r>
            <w:r>
              <w:rPr>
                <w:rFonts w:hint="eastAsia" w:ascii="Times New Roman" w:hAnsi="Times New Roman"/>
                <w:color w:val="auto"/>
                <w:sz w:val="24"/>
                <w:szCs w:val="24"/>
                <w:highlight w:val="none"/>
              </w:rPr>
              <w:t>草地</w:t>
            </w:r>
            <w:r>
              <w:rPr>
                <w:rFonts w:hint="eastAsia"/>
                <w:color w:val="auto"/>
                <w:sz w:val="24"/>
                <w:szCs w:val="24"/>
                <w:highlight w:val="none"/>
                <w:lang w:eastAsia="zh-CN"/>
              </w:rPr>
              <w:t>、</w:t>
            </w:r>
            <w:r>
              <w:rPr>
                <w:rFonts w:hint="eastAsia" w:ascii="Times New Roman" w:hAnsi="Times New Roman"/>
                <w:color w:val="auto"/>
                <w:sz w:val="24"/>
                <w:szCs w:val="24"/>
                <w:highlight w:val="none"/>
              </w:rPr>
              <w:t>灌木林地</w:t>
            </w:r>
            <w:r>
              <w:rPr>
                <w:rFonts w:hint="eastAsia"/>
                <w:color w:val="auto"/>
                <w:sz w:val="24"/>
                <w:szCs w:val="24"/>
                <w:highlight w:val="none"/>
                <w:lang w:val="en-US" w:eastAsia="zh-CN"/>
              </w:rPr>
              <w:t>和其他林地</w:t>
            </w:r>
            <w:r>
              <w:rPr>
                <w:rFonts w:hint="eastAsia" w:ascii="Times New Roman" w:hAnsi="Times New Roman"/>
                <w:color w:val="auto"/>
                <w:sz w:val="24"/>
                <w:szCs w:val="24"/>
                <w:highlight w:val="none"/>
                <w:lang w:eastAsia="zh-CN"/>
              </w:rPr>
              <w:t>等</w:t>
            </w:r>
            <w:r>
              <w:rPr>
                <w:rFonts w:hint="eastAsia" w:ascii="Times New Roman" w:hAnsi="Times New Roman"/>
                <w:color w:val="auto"/>
                <w:sz w:val="24"/>
                <w:szCs w:val="24"/>
                <w:highlight w:val="none"/>
              </w:rPr>
              <w:t>，</w:t>
            </w:r>
            <w:r>
              <w:rPr>
                <w:rFonts w:hint="eastAsia"/>
                <w:color w:val="auto"/>
                <w:sz w:val="24"/>
                <w:szCs w:val="24"/>
                <w:highlight w:val="none"/>
                <w:lang w:val="en-US" w:eastAsia="zh-CN"/>
              </w:rPr>
              <w:t>正在办理</w:t>
            </w:r>
            <w:r>
              <w:rPr>
                <w:rFonts w:hint="eastAsia" w:ascii="Times New Roman" w:hAnsi="Times New Roman"/>
                <w:color w:val="auto"/>
                <w:sz w:val="24"/>
                <w:szCs w:val="24"/>
                <w:highlight w:val="none"/>
                <w:lang w:eastAsia="zh-CN"/>
              </w:rPr>
              <w:t>关于拟规划光伏发电项目用地的审查意见。同时</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eastAsia="zh-CN"/>
              </w:rPr>
              <w:t>项目占用</w:t>
            </w:r>
            <w:r>
              <w:rPr>
                <w:rFonts w:hint="eastAsia" w:ascii="Times New Roman" w:hAnsi="Times New Roman"/>
                <w:color w:val="auto"/>
                <w:sz w:val="24"/>
                <w:szCs w:val="24"/>
                <w:highlight w:val="none"/>
              </w:rPr>
              <w:t>灌木林地</w:t>
            </w:r>
            <w:r>
              <w:rPr>
                <w:rFonts w:hint="eastAsia"/>
                <w:color w:val="auto"/>
                <w:sz w:val="24"/>
                <w:szCs w:val="24"/>
                <w:highlight w:val="none"/>
                <w:lang w:val="en-US" w:eastAsia="zh-CN"/>
              </w:rPr>
              <w:t>和其他林地</w:t>
            </w:r>
            <w:r>
              <w:rPr>
                <w:rFonts w:hint="eastAsia" w:ascii="Times New Roman" w:hAnsi="Times New Roman"/>
                <w:color w:val="auto"/>
                <w:sz w:val="24"/>
                <w:szCs w:val="24"/>
                <w:highlight w:val="none"/>
                <w:lang w:eastAsia="zh-CN"/>
              </w:rPr>
              <w:t>将</w:t>
            </w:r>
            <w:r>
              <w:rPr>
                <w:rFonts w:hint="eastAsia" w:ascii="Times New Roman" w:hAnsi="Times New Roman"/>
                <w:color w:val="auto"/>
                <w:sz w:val="24"/>
                <w:szCs w:val="24"/>
              </w:rPr>
              <w:t>依法依规办理使用林地草地手续，严禁未批先占林地草地，不涉及盗伐、滥伐林木和破坏草地情况。</w:t>
            </w:r>
            <w:r>
              <w:rPr>
                <w:rFonts w:hint="eastAsia" w:ascii="Times New Roman" w:hAnsi="Times New Roman"/>
                <w:color w:val="auto"/>
                <w:sz w:val="24"/>
                <w:szCs w:val="24"/>
                <w:lang w:eastAsia="zh-CN"/>
              </w:rPr>
              <w:t>施工期土石方优先进行回填，产生余弃方全部进入规划弃渣场规范堆存，</w:t>
            </w:r>
            <w:r>
              <w:rPr>
                <w:rFonts w:hint="eastAsia" w:ascii="Times New Roman" w:hAnsi="Times New Roman"/>
                <w:color w:val="auto"/>
                <w:sz w:val="24"/>
                <w:szCs w:val="24"/>
              </w:rPr>
              <w:t>施工结束后</w:t>
            </w:r>
            <w:r>
              <w:rPr>
                <w:rFonts w:hint="eastAsia" w:ascii="Times New Roman" w:hAnsi="Times New Roman"/>
                <w:color w:val="auto"/>
                <w:sz w:val="24"/>
                <w:szCs w:val="24"/>
                <w:lang w:eastAsia="zh-CN"/>
              </w:rPr>
              <w:t>弃渣场</w:t>
            </w:r>
            <w:r>
              <w:rPr>
                <w:rFonts w:hint="eastAsia" w:ascii="Times New Roman" w:hAnsi="Times New Roman"/>
                <w:color w:val="auto"/>
                <w:sz w:val="24"/>
                <w:szCs w:val="24"/>
              </w:rPr>
              <w:t>及时压实恢复</w:t>
            </w:r>
            <w:r>
              <w:rPr>
                <w:rFonts w:hint="eastAsia" w:ascii="Times New Roman" w:hAnsi="Times New Roman"/>
                <w:color w:val="auto"/>
                <w:sz w:val="24"/>
                <w:szCs w:val="24"/>
                <w:lang w:eastAsia="zh-CN"/>
              </w:rPr>
              <w:t>。产生的少量施工废水收集沉淀后全部回用，</w:t>
            </w:r>
            <w:r>
              <w:rPr>
                <w:rFonts w:hint="eastAsia" w:ascii="Times New Roman" w:hAnsi="Times New Roman"/>
                <w:color w:val="auto"/>
                <w:sz w:val="24"/>
                <w:szCs w:val="24"/>
              </w:rPr>
              <w:t>无废水排放</w:t>
            </w:r>
            <w:r>
              <w:rPr>
                <w:rFonts w:hint="eastAsia" w:ascii="Times New Roman" w:hAnsi="Times New Roman"/>
                <w:color w:val="auto"/>
                <w:sz w:val="24"/>
                <w:szCs w:val="24"/>
                <w:lang w:eastAsia="zh-CN"/>
              </w:rPr>
              <w:t>。项目施工建设</w:t>
            </w:r>
            <w:r>
              <w:rPr>
                <w:rFonts w:hint="eastAsia" w:ascii="Times New Roman" w:hAnsi="Times New Roman"/>
                <w:color w:val="auto"/>
                <w:sz w:val="24"/>
                <w:szCs w:val="20"/>
                <w:lang w:eastAsia="zh-CN"/>
              </w:rPr>
              <w:t>符合《云南省牛栏江保护条例》中针对</w:t>
            </w:r>
            <w:r>
              <w:rPr>
                <w:rFonts w:hint="eastAsia" w:ascii="Times New Roman" w:hAnsi="Times New Roman"/>
                <w:color w:val="auto"/>
                <w:sz w:val="24"/>
                <w:szCs w:val="20"/>
              </w:rPr>
              <w:t>重点水源涵养区</w:t>
            </w:r>
            <w:r>
              <w:rPr>
                <w:rFonts w:hint="eastAsia" w:ascii="Times New Roman" w:hAnsi="Times New Roman"/>
                <w:color w:val="auto"/>
                <w:sz w:val="24"/>
                <w:szCs w:val="20"/>
                <w:lang w:eastAsia="zh-CN"/>
              </w:rPr>
              <w:t>管理的要求</w:t>
            </w:r>
            <w:r>
              <w:rPr>
                <w:rFonts w:hint="eastAsia" w:ascii="Times New Roman" w:hAnsi="Times New Roman"/>
                <w:color w:val="auto"/>
                <w:sz w:val="24"/>
                <w:szCs w:val="24"/>
              </w:rPr>
              <w:t>。工程内容少、工期短</w:t>
            </w:r>
            <w:r>
              <w:rPr>
                <w:rFonts w:hint="eastAsia" w:ascii="Times New Roman" w:hAnsi="Times New Roman"/>
                <w:color w:val="auto"/>
                <w:sz w:val="24"/>
                <w:szCs w:val="24"/>
                <w:lang w:eastAsia="zh-CN"/>
              </w:rPr>
              <w:t>。</w:t>
            </w:r>
            <w:r>
              <w:rPr>
                <w:rFonts w:hint="eastAsia"/>
                <w:color w:val="auto"/>
                <w:sz w:val="24"/>
              </w:rPr>
              <w:t>施工前应提前在施工场地下游修建截排水沟和沉</w:t>
            </w:r>
            <w:r>
              <w:rPr>
                <w:rFonts w:hint="eastAsia"/>
                <w:color w:val="auto"/>
                <w:sz w:val="24"/>
                <w:lang w:val="en-US" w:eastAsia="zh-CN"/>
              </w:rPr>
              <w:t>沙</w:t>
            </w:r>
            <w:r>
              <w:rPr>
                <w:rFonts w:hint="eastAsia"/>
                <w:color w:val="auto"/>
                <w:sz w:val="24"/>
              </w:rPr>
              <w:t>池等设施，以降低雨季径流排水泥沙含量，减轻对地表水体水质产生影响。</w:t>
            </w:r>
            <w:r>
              <w:rPr>
                <w:rFonts w:hint="eastAsia"/>
                <w:color w:val="auto"/>
                <w:sz w:val="24"/>
                <w:lang w:eastAsia="zh-CN"/>
              </w:rPr>
              <w:t>施工期</w:t>
            </w:r>
            <w:r>
              <w:rPr>
                <w:rFonts w:hint="eastAsia"/>
                <w:color w:val="auto"/>
                <w:sz w:val="24"/>
              </w:rPr>
              <w:t>雨天形成的地表径流污染物主要为SS</w:t>
            </w:r>
            <w:r>
              <w:rPr>
                <w:rFonts w:hint="eastAsia"/>
                <w:color w:val="auto"/>
                <w:sz w:val="24"/>
                <w:lang w:eastAsia="zh-CN"/>
              </w:rPr>
              <w:t>，</w:t>
            </w:r>
            <w:r>
              <w:rPr>
                <w:rFonts w:hint="eastAsia"/>
                <w:color w:val="auto"/>
                <w:sz w:val="24"/>
              </w:rPr>
              <w:t>通过</w:t>
            </w:r>
            <w:r>
              <w:rPr>
                <w:rFonts w:hint="eastAsia"/>
                <w:color w:val="auto"/>
                <w:sz w:val="24"/>
                <w:lang w:eastAsia="zh-CN"/>
              </w:rPr>
              <w:t>截排水设施、</w:t>
            </w:r>
            <w:r>
              <w:rPr>
                <w:rFonts w:hint="eastAsia"/>
                <w:color w:val="auto"/>
                <w:sz w:val="24"/>
              </w:rPr>
              <w:t>沉</w:t>
            </w:r>
            <w:r>
              <w:rPr>
                <w:rFonts w:hint="eastAsia"/>
                <w:color w:val="auto"/>
                <w:sz w:val="24"/>
                <w:lang w:val="en-US" w:eastAsia="zh-CN"/>
              </w:rPr>
              <w:t>沙</w:t>
            </w:r>
            <w:r>
              <w:rPr>
                <w:rFonts w:hint="eastAsia"/>
                <w:color w:val="auto"/>
                <w:sz w:val="24"/>
              </w:rPr>
              <w:t>池等</w:t>
            </w:r>
            <w:r>
              <w:rPr>
                <w:rFonts w:hint="eastAsia"/>
                <w:color w:val="auto"/>
                <w:sz w:val="24"/>
                <w:lang w:eastAsia="zh-CN"/>
              </w:rPr>
              <w:t>收集处理后对区域地表水环境影响不大</w:t>
            </w:r>
            <w:r>
              <w:rPr>
                <w:rFonts w:hint="eastAsia"/>
                <w:color w:val="auto"/>
                <w:sz w:val="24"/>
              </w:rPr>
              <w:t>。</w:t>
            </w:r>
            <w:r>
              <w:rPr>
                <w:rFonts w:hint="eastAsia"/>
                <w:color w:val="auto"/>
                <w:sz w:val="24"/>
                <w:lang w:eastAsia="zh-CN"/>
              </w:rPr>
              <w:t>施工期应加强废水的收集处理措施管理，杜绝雨季径流直接进入外环境。</w:t>
            </w:r>
            <w:r>
              <w:rPr>
                <w:rFonts w:hint="eastAsia"/>
                <w:color w:val="auto"/>
                <w:sz w:val="24"/>
              </w:rPr>
              <w:t>项目产生的建筑垃圾等应定点收集，及时清运，严禁倾倒至周边水体箐沟内。同时施工过程中加强施工人员的环保教育，严禁在周围地表水体内清洗车辆、建筑材料等。</w:t>
            </w:r>
            <w:r>
              <w:rPr>
                <w:rFonts w:hint="eastAsia" w:ascii="Times New Roman" w:hAnsi="Times New Roman"/>
                <w:color w:val="auto"/>
                <w:sz w:val="24"/>
                <w:szCs w:val="24"/>
              </w:rPr>
              <w:t>施工期对牛栏江</w:t>
            </w:r>
            <w:r>
              <w:rPr>
                <w:rFonts w:hint="eastAsia" w:ascii="Times New Roman" w:hAnsi="Times New Roman"/>
                <w:color w:val="auto"/>
                <w:sz w:val="24"/>
                <w:szCs w:val="20"/>
              </w:rPr>
              <w:t>重点水源涵养区</w:t>
            </w:r>
            <w:r>
              <w:rPr>
                <w:rFonts w:hint="eastAsia" w:ascii="Times New Roman" w:hAnsi="Times New Roman"/>
                <w:color w:val="auto"/>
                <w:sz w:val="24"/>
                <w:szCs w:val="24"/>
              </w:rPr>
              <w:t>的影响</w:t>
            </w:r>
            <w:r>
              <w:rPr>
                <w:rFonts w:hint="eastAsia" w:ascii="Times New Roman" w:hAnsi="Times New Roman"/>
                <w:color w:val="auto"/>
                <w:sz w:val="24"/>
                <w:szCs w:val="24"/>
                <w:lang w:val="en-US" w:eastAsia="zh-CN"/>
              </w:rPr>
              <w:t>小</w:t>
            </w:r>
            <w:r>
              <w:rPr>
                <w:rFonts w:hint="eastAsia" w:ascii="Times New Roman" w:hAnsi="Times New Roman"/>
                <w:color w:val="auto"/>
                <w:sz w:val="24"/>
                <w:szCs w:val="24"/>
                <w:lang w:eastAsia="zh-CN"/>
              </w:rPr>
              <w:t>。</w:t>
            </w:r>
          </w:p>
          <w:p w14:paraId="68836F6D">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w:t>
            </w:r>
            <w:r>
              <w:rPr>
                <w:rFonts w:hint="eastAsia" w:cs="Times New Roman"/>
                <w:b/>
                <w:bCs/>
                <w:color w:val="auto"/>
                <w:sz w:val="24"/>
                <w:highlight w:val="none"/>
                <w:shd w:val="clear" w:color="auto" w:fill="auto"/>
                <w:lang w:val="en-US" w:eastAsia="zh-CN"/>
              </w:rPr>
              <w:t>5</w:t>
            </w:r>
            <w:r>
              <w:rPr>
                <w:rFonts w:hint="eastAsia" w:ascii="Times New Roman" w:hAnsi="Times New Roman" w:eastAsia="宋体" w:cs="Times New Roman"/>
                <w:b/>
                <w:bCs/>
                <w:color w:val="auto"/>
                <w:sz w:val="24"/>
                <w:highlight w:val="none"/>
                <w:shd w:val="clear" w:color="auto" w:fill="auto"/>
                <w:lang w:val="en-US" w:eastAsia="zh-CN"/>
              </w:rPr>
              <w:t>）地下水的影响分析</w:t>
            </w:r>
          </w:p>
          <w:p w14:paraId="4DE4D7F7">
            <w:pPr>
              <w:keepNext w:val="0"/>
              <w:keepLines w:val="0"/>
              <w:suppressLineNumbers w:val="0"/>
              <w:adjustRightInd w:val="0"/>
              <w:spacing w:before="0" w:beforeAutospacing="0" w:after="0" w:afterAutospacing="0" w:line="360" w:lineRule="auto"/>
              <w:ind w:left="0" w:right="0" w:firstLine="480" w:firstLineChars="200"/>
              <w:rPr>
                <w:rFonts w:hint="eastAsia"/>
                <w:b/>
                <w:bCs/>
                <w:color w:val="auto"/>
                <w:sz w:val="24"/>
                <w:highlight w:val="none"/>
                <w:shd w:val="clear" w:color="auto" w:fill="auto"/>
              </w:rPr>
            </w:pPr>
            <w:r>
              <w:rPr>
                <w:rFonts w:hint="eastAsia"/>
                <w:color w:val="auto"/>
                <w:sz w:val="24"/>
                <w:lang w:val="en-US" w:eastAsia="zh-CN"/>
              </w:rPr>
              <w:t>根据《云南省昆明市寻甸县白石岩光伏电站</w:t>
            </w:r>
            <w:r>
              <w:rPr>
                <w:rFonts w:hint="eastAsia"/>
                <w:color w:val="auto"/>
                <w:sz w:val="24"/>
              </w:rPr>
              <w:t>（</w:t>
            </w:r>
            <w:r>
              <w:rPr>
                <w:rFonts w:hint="eastAsia"/>
                <w:color w:val="auto"/>
                <w:sz w:val="24"/>
                <w:lang w:val="en-US" w:eastAsia="zh-CN"/>
              </w:rPr>
              <w:t>45MW</w:t>
            </w:r>
            <w:r>
              <w:rPr>
                <w:rFonts w:hint="eastAsia"/>
                <w:color w:val="auto"/>
                <w:sz w:val="24"/>
              </w:rPr>
              <w:t>）</w:t>
            </w:r>
            <w:r>
              <w:rPr>
                <w:rFonts w:hint="eastAsia"/>
                <w:color w:val="auto"/>
                <w:sz w:val="24"/>
                <w:lang w:val="en-US" w:eastAsia="zh-CN"/>
              </w:rPr>
              <w:t>项目光伏工程岩土工程勘察报告》，</w:t>
            </w:r>
            <w:r>
              <w:rPr>
                <w:rFonts w:hint="eastAsia"/>
                <w:color w:val="auto"/>
                <w:sz w:val="24"/>
              </w:rPr>
              <w:t>勘察期间勘察深度范围内（7m）未揭露地下水，地下水埋藏较深，主要为基岩裂隙水，本项目基础开挖最大深度不超过5m，不涉及地下含水层。故本项目建设不会对场址区域地下水流场和地下水水质产生明显影响。</w:t>
            </w:r>
          </w:p>
          <w:p w14:paraId="3F235BD7">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eastAsia"/>
                <w:b/>
                <w:bCs/>
                <w:color w:val="auto"/>
                <w:sz w:val="24"/>
                <w:highlight w:val="none"/>
                <w:shd w:val="clear" w:color="auto" w:fill="auto"/>
              </w:rPr>
              <w:t>（</w:t>
            </w:r>
            <w:r>
              <w:rPr>
                <w:rFonts w:hint="eastAsia"/>
                <w:b/>
                <w:bCs/>
                <w:color w:val="auto"/>
                <w:sz w:val="24"/>
                <w:highlight w:val="none"/>
                <w:shd w:val="clear" w:color="auto" w:fill="auto"/>
                <w:lang w:val="en-US" w:eastAsia="zh-CN"/>
              </w:rPr>
              <w:t>6</w:t>
            </w:r>
            <w:r>
              <w:rPr>
                <w:rFonts w:hint="eastAsia"/>
                <w:b/>
                <w:bCs/>
                <w:color w:val="auto"/>
                <w:sz w:val="24"/>
                <w:highlight w:val="none"/>
                <w:shd w:val="clear" w:color="auto" w:fill="auto"/>
              </w:rPr>
              <w:t>）施工噪声</w:t>
            </w:r>
          </w:p>
          <w:p w14:paraId="37D6A231">
            <w:pPr>
              <w:keepNext w:val="0"/>
              <w:keepLines w:val="0"/>
              <w:suppressLineNumbers w:val="0"/>
              <w:shd w:val="clear"/>
              <w:spacing w:before="0" w:beforeAutospacing="0" w:after="0" w:afterAutospacing="0" w:line="360" w:lineRule="auto"/>
              <w:ind w:left="0" w:right="0" w:firstLine="480" w:firstLineChars="200"/>
              <w:rPr>
                <w:rFonts w:hint="default" w:hAnsi="宋体"/>
                <w:color w:val="auto"/>
                <w:sz w:val="24"/>
                <w:highlight w:val="none"/>
                <w:shd w:val="clear" w:color="auto" w:fill="auto"/>
              </w:rPr>
            </w:pPr>
            <w:r>
              <w:rPr>
                <w:rFonts w:hint="default"/>
                <w:color w:val="auto"/>
                <w:sz w:val="24"/>
                <w:highlight w:val="none"/>
                <w:shd w:val="clear" w:color="auto" w:fill="auto"/>
              </w:rPr>
              <w:t>1）</w:t>
            </w:r>
            <w:r>
              <w:rPr>
                <w:rFonts w:hint="eastAsia" w:hAnsi="宋体"/>
                <w:color w:val="auto"/>
                <w:sz w:val="24"/>
                <w:highlight w:val="none"/>
                <w:shd w:val="clear" w:color="auto" w:fill="auto"/>
              </w:rPr>
              <w:t>噪声源强</w:t>
            </w:r>
          </w:p>
          <w:p w14:paraId="6961FD40">
            <w:pPr>
              <w:keepNext w:val="0"/>
              <w:keepLines w:val="0"/>
              <w:suppressLineNumbers w:val="0"/>
              <w:shd w:val="clear"/>
              <w:spacing w:before="0" w:beforeAutospacing="0" w:after="0" w:afterAutospacing="0" w:line="360" w:lineRule="auto"/>
              <w:ind w:left="0" w:right="0" w:firstLine="480" w:firstLineChars="200"/>
              <w:rPr>
                <w:rFonts w:hint="default" w:hAnsi="宋体"/>
                <w:color w:val="auto"/>
                <w:sz w:val="24"/>
                <w:highlight w:val="none"/>
                <w:shd w:val="clear" w:color="auto" w:fill="auto"/>
              </w:rPr>
            </w:pPr>
            <w:r>
              <w:rPr>
                <w:rFonts w:hint="default" w:hAnsi="宋体"/>
                <w:color w:val="auto"/>
                <w:sz w:val="24"/>
                <w:highlight w:val="none"/>
                <w:shd w:val="clear" w:color="auto" w:fill="auto"/>
              </w:rPr>
              <w:t>项目施工期间噪声源主要为机械噪声</w:t>
            </w:r>
            <w:r>
              <w:rPr>
                <w:rFonts w:hint="eastAsia" w:hAnsi="宋体"/>
                <w:color w:val="auto"/>
                <w:sz w:val="24"/>
                <w:highlight w:val="none"/>
                <w:shd w:val="clear" w:color="auto" w:fill="auto"/>
              </w:rPr>
              <w:t>，施工</w:t>
            </w:r>
            <w:r>
              <w:rPr>
                <w:rFonts w:hint="default" w:hAnsi="宋体"/>
                <w:color w:val="auto"/>
                <w:sz w:val="24"/>
                <w:highlight w:val="none"/>
                <w:shd w:val="clear" w:color="auto" w:fill="auto"/>
              </w:rPr>
              <w:t>建设过程中将使用挖掘机、运输车辆等噪声较大的设备及车辆进行施工，</w:t>
            </w:r>
            <w:r>
              <w:rPr>
                <w:rFonts w:hint="eastAsia"/>
                <w:color w:val="auto"/>
                <w:sz w:val="24"/>
                <w:highlight w:val="none"/>
                <w:shd w:val="clear" w:color="auto" w:fill="auto"/>
                <w:lang w:val="en-US" w:eastAsia="zh-CN"/>
              </w:rPr>
              <w:t>参考</w:t>
            </w:r>
            <w:r>
              <w:rPr>
                <w:rFonts w:hint="eastAsia"/>
                <w:color w:val="auto"/>
                <w:sz w:val="24"/>
                <w:highlight w:val="none"/>
                <w:shd w:val="clear" w:color="auto" w:fill="auto"/>
              </w:rPr>
              <w:t>《</w:t>
            </w:r>
            <w:r>
              <w:rPr>
                <w:rFonts w:hint="eastAsia" w:cs="黑体"/>
                <w:color w:val="auto"/>
                <w:kern w:val="0"/>
                <w:sz w:val="24"/>
                <w:highlight w:val="none"/>
                <w:shd w:val="clear" w:color="auto" w:fill="auto"/>
              </w:rPr>
              <w:t>环境噪声与振动控制工程技术导则</w:t>
            </w:r>
            <w:r>
              <w:rPr>
                <w:rFonts w:hint="default"/>
                <w:color w:val="auto"/>
                <w:kern w:val="0"/>
                <w:sz w:val="24"/>
                <w:highlight w:val="none"/>
                <w:shd w:val="clear" w:color="auto" w:fill="auto"/>
              </w:rPr>
              <w:t>HJ 2034</w:t>
            </w:r>
            <w:r>
              <w:rPr>
                <w:rFonts w:hint="eastAsia"/>
                <w:color w:val="auto"/>
                <w:kern w:val="0"/>
                <w:sz w:val="24"/>
                <w:highlight w:val="none"/>
                <w:shd w:val="clear" w:color="auto" w:fill="auto"/>
              </w:rPr>
              <w:t>-</w:t>
            </w:r>
            <w:r>
              <w:rPr>
                <w:rFonts w:hint="default"/>
                <w:color w:val="auto"/>
                <w:kern w:val="0"/>
                <w:sz w:val="24"/>
                <w:highlight w:val="none"/>
                <w:shd w:val="clear" w:color="auto" w:fill="auto"/>
              </w:rPr>
              <w:t>2013</w:t>
            </w:r>
            <w:r>
              <w:rPr>
                <w:rFonts w:hint="eastAsia" w:cs="黑体"/>
                <w:color w:val="auto"/>
                <w:kern w:val="0"/>
                <w:sz w:val="24"/>
                <w:highlight w:val="none"/>
                <w:shd w:val="clear" w:color="auto" w:fill="auto"/>
              </w:rPr>
              <w:t>》中常见施工噪声设备源强，再结合本项目的建设特点</w:t>
            </w:r>
            <w:r>
              <w:rPr>
                <w:rFonts w:hint="default"/>
                <w:color w:val="auto"/>
                <w:sz w:val="24"/>
                <w:highlight w:val="none"/>
                <w:shd w:val="clear" w:color="auto" w:fill="auto"/>
              </w:rPr>
              <w:t>，</w:t>
            </w:r>
            <w:r>
              <w:rPr>
                <w:rFonts w:hint="default" w:hAnsi="宋体"/>
                <w:color w:val="auto"/>
                <w:sz w:val="24"/>
                <w:highlight w:val="none"/>
                <w:shd w:val="clear" w:color="auto" w:fill="auto"/>
              </w:rPr>
              <w:t>各施工阶段的主要噪声源及其声级见下表。</w:t>
            </w:r>
          </w:p>
          <w:p w14:paraId="47439A08">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default"/>
                <w:b/>
                <w:color w:val="auto"/>
                <w:kern w:val="0"/>
                <w:szCs w:val="21"/>
                <w:highlight w:val="none"/>
                <w:shd w:val="clear" w:color="auto" w:fill="auto"/>
              </w:rPr>
              <w:t>表4-</w:t>
            </w:r>
            <w:r>
              <w:rPr>
                <w:rFonts w:hint="eastAsia"/>
                <w:b/>
                <w:color w:val="auto"/>
                <w:kern w:val="0"/>
                <w:szCs w:val="21"/>
                <w:highlight w:val="none"/>
                <w:shd w:val="clear" w:color="auto" w:fill="auto"/>
                <w:lang w:val="en-US" w:eastAsia="zh-CN"/>
              </w:rPr>
              <w:t xml:space="preserve">5 </w:t>
            </w:r>
            <w:r>
              <w:rPr>
                <w:rFonts w:hint="default"/>
                <w:b/>
                <w:color w:val="auto"/>
                <w:kern w:val="0"/>
                <w:szCs w:val="21"/>
                <w:highlight w:val="none"/>
                <w:shd w:val="clear" w:color="auto" w:fill="auto"/>
              </w:rPr>
              <w:t xml:space="preserve"> 各施工阶段主要噪声源</w:t>
            </w:r>
            <w:r>
              <w:rPr>
                <w:rFonts w:hint="eastAsia"/>
                <w:b/>
                <w:color w:val="auto"/>
                <w:kern w:val="0"/>
                <w:szCs w:val="21"/>
                <w:highlight w:val="none"/>
                <w:shd w:val="clear" w:color="auto" w:fill="auto"/>
              </w:rPr>
              <w:t>源强  单位：dB（A）</w:t>
            </w:r>
          </w:p>
          <w:tbl>
            <w:tblPr>
              <w:tblStyle w:val="4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462"/>
              <w:gridCol w:w="1259"/>
              <w:gridCol w:w="2607"/>
              <w:gridCol w:w="2608"/>
            </w:tblGrid>
            <w:tr w14:paraId="37B66B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025CBAC">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设备名称</w:t>
                  </w:r>
                </w:p>
              </w:tc>
              <w:tc>
                <w:tcPr>
                  <w:tcW w:w="793" w:type="pct"/>
                  <w:vAlign w:val="center"/>
                </w:tcPr>
                <w:p w14:paraId="5AEFF3D0">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数量（台）</w:t>
                  </w:r>
                </w:p>
              </w:tc>
              <w:tc>
                <w:tcPr>
                  <w:tcW w:w="1642" w:type="pct"/>
                  <w:vAlign w:val="center"/>
                </w:tcPr>
                <w:p w14:paraId="50C9E3AA">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b/>
                      <w:color w:val="auto"/>
                      <w:sz w:val="21"/>
                      <w:szCs w:val="21"/>
                      <w:highlight w:val="none"/>
                      <w:shd w:val="clear" w:color="auto" w:fill="auto"/>
                    </w:rPr>
                  </w:pPr>
                  <w:r>
                    <w:rPr>
                      <w:rFonts w:hint="eastAsia"/>
                      <w:b/>
                      <w:color w:val="auto"/>
                      <w:sz w:val="21"/>
                      <w:szCs w:val="21"/>
                      <w:highlight w:val="none"/>
                      <w:shd w:val="clear" w:color="auto" w:fill="auto"/>
                    </w:rPr>
                    <w:t>单台设备</w:t>
                  </w:r>
                  <w:r>
                    <w:rPr>
                      <w:rFonts w:hint="default"/>
                      <w:b/>
                      <w:color w:val="auto"/>
                      <w:sz w:val="21"/>
                      <w:szCs w:val="21"/>
                      <w:highlight w:val="none"/>
                      <w:shd w:val="clear" w:color="auto" w:fill="auto"/>
                    </w:rPr>
                    <w:t>噪声源强</w:t>
                  </w:r>
                  <w:r>
                    <w:rPr>
                      <w:rFonts w:hint="eastAsia"/>
                      <w:b/>
                      <w:color w:val="auto"/>
                      <w:sz w:val="21"/>
                      <w:szCs w:val="21"/>
                      <w:highlight w:val="none"/>
                      <w:shd w:val="clear" w:color="auto" w:fill="auto"/>
                    </w:rPr>
                    <w:t>（</w:t>
                  </w:r>
                  <w:r>
                    <w:rPr>
                      <w:rFonts w:hint="eastAsia"/>
                      <w:b/>
                      <w:color w:val="auto"/>
                      <w:sz w:val="21"/>
                      <w:szCs w:val="21"/>
                      <w:highlight w:val="none"/>
                      <w:shd w:val="clear" w:color="auto" w:fill="auto"/>
                      <w:lang w:val="en-US" w:eastAsia="zh-CN"/>
                    </w:rPr>
                    <w:t>1</w:t>
                  </w:r>
                  <w:r>
                    <w:rPr>
                      <w:rFonts w:hint="eastAsia"/>
                      <w:b/>
                      <w:color w:val="auto"/>
                      <w:sz w:val="21"/>
                      <w:szCs w:val="21"/>
                      <w:highlight w:val="none"/>
                      <w:shd w:val="clear" w:color="auto" w:fill="auto"/>
                    </w:rPr>
                    <w:t>m）</w:t>
                  </w:r>
                </w:p>
              </w:tc>
              <w:tc>
                <w:tcPr>
                  <w:tcW w:w="1642" w:type="pct"/>
                  <w:vAlign w:val="center"/>
                </w:tcPr>
                <w:p w14:paraId="29581EAE">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单台设备</w:t>
                  </w:r>
                  <w:r>
                    <w:rPr>
                      <w:rFonts w:hint="default"/>
                      <w:b/>
                      <w:color w:val="auto"/>
                      <w:sz w:val="21"/>
                      <w:szCs w:val="21"/>
                      <w:highlight w:val="none"/>
                      <w:shd w:val="clear" w:color="auto" w:fill="auto"/>
                    </w:rPr>
                    <w:t>噪声源强</w:t>
                  </w:r>
                  <w:r>
                    <w:rPr>
                      <w:rFonts w:hint="eastAsia"/>
                      <w:b/>
                      <w:color w:val="auto"/>
                      <w:sz w:val="21"/>
                      <w:szCs w:val="21"/>
                      <w:highlight w:val="none"/>
                      <w:shd w:val="clear" w:color="auto" w:fill="auto"/>
                    </w:rPr>
                    <w:t>（5m）</w:t>
                  </w:r>
                </w:p>
              </w:tc>
            </w:tr>
            <w:tr w14:paraId="22CAE0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6C62D3F5">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起重机</w:t>
                  </w:r>
                </w:p>
              </w:tc>
              <w:tc>
                <w:tcPr>
                  <w:tcW w:w="793" w:type="pct"/>
                  <w:vAlign w:val="center"/>
                </w:tcPr>
                <w:p w14:paraId="37C6957C">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2</w:t>
                  </w:r>
                </w:p>
              </w:tc>
              <w:tc>
                <w:tcPr>
                  <w:tcW w:w="1642" w:type="pct"/>
                  <w:vAlign w:val="center"/>
                </w:tcPr>
                <w:p w14:paraId="6A82845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109</w:t>
                  </w:r>
                </w:p>
              </w:tc>
              <w:tc>
                <w:tcPr>
                  <w:tcW w:w="1642" w:type="pct"/>
                  <w:vAlign w:val="center"/>
                </w:tcPr>
                <w:p w14:paraId="305577D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95</w:t>
                  </w:r>
                </w:p>
              </w:tc>
            </w:tr>
            <w:tr w14:paraId="28E628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560554E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lang w:val="en-US" w:eastAsia="zh-CN"/>
                    </w:rPr>
                    <w:t>反铲挖掘机</w:t>
                  </w:r>
                </w:p>
              </w:tc>
              <w:tc>
                <w:tcPr>
                  <w:tcW w:w="793" w:type="pct"/>
                  <w:vAlign w:val="center"/>
                </w:tcPr>
                <w:p w14:paraId="604B5B4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2</w:t>
                  </w:r>
                </w:p>
              </w:tc>
              <w:tc>
                <w:tcPr>
                  <w:tcW w:w="1642" w:type="pct"/>
                  <w:shd w:val="clear" w:color="auto" w:fill="auto"/>
                  <w:vAlign w:val="center"/>
                </w:tcPr>
                <w:p w14:paraId="594D7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96</w:t>
                  </w:r>
                </w:p>
              </w:tc>
              <w:tc>
                <w:tcPr>
                  <w:tcW w:w="1642" w:type="pct"/>
                  <w:shd w:val="clear" w:color="auto" w:fill="auto"/>
                  <w:vAlign w:val="center"/>
                </w:tcPr>
                <w:p w14:paraId="2380F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82</w:t>
                  </w:r>
                </w:p>
              </w:tc>
            </w:tr>
            <w:tr w14:paraId="71886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shd w:val="clear" w:color="auto" w:fill="auto"/>
                  <w:vAlign w:val="center"/>
                </w:tcPr>
                <w:p w14:paraId="7E799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pacing w:val="8"/>
                      <w:kern w:val="2"/>
                      <w:sz w:val="21"/>
                      <w:szCs w:val="21"/>
                      <w:lang w:val="en-US" w:eastAsia="zh-CN" w:bidi="ar-SA"/>
                    </w:rPr>
                  </w:pPr>
                  <w:r>
                    <w:rPr>
                      <w:rFonts w:hint="eastAsia" w:ascii="宋体" w:hAnsi="宋体" w:eastAsia="宋体" w:cs="宋体"/>
                      <w:color w:val="auto"/>
                      <w:spacing w:val="8"/>
                      <w:sz w:val="21"/>
                      <w:szCs w:val="21"/>
                    </w:rPr>
                    <w:t>混凝土搅拌运输车</w:t>
                  </w:r>
                </w:p>
              </w:tc>
              <w:tc>
                <w:tcPr>
                  <w:tcW w:w="793" w:type="pct"/>
                  <w:shd w:val="clear" w:color="auto" w:fill="auto"/>
                  <w:vAlign w:val="center"/>
                </w:tcPr>
                <w:p w14:paraId="1715D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2</w:t>
                  </w:r>
                </w:p>
              </w:tc>
              <w:tc>
                <w:tcPr>
                  <w:tcW w:w="1642" w:type="pct"/>
                  <w:shd w:val="clear" w:color="auto" w:fill="auto"/>
                  <w:vAlign w:val="center"/>
                </w:tcPr>
                <w:p w14:paraId="4CFF9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86</w:t>
                  </w:r>
                </w:p>
              </w:tc>
              <w:tc>
                <w:tcPr>
                  <w:tcW w:w="1642" w:type="pct"/>
                  <w:shd w:val="clear" w:color="auto" w:fill="auto"/>
                  <w:vAlign w:val="center"/>
                </w:tcPr>
                <w:p w14:paraId="5AB5A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72</w:t>
                  </w:r>
                </w:p>
              </w:tc>
            </w:tr>
            <w:tr w14:paraId="519134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65267BB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钢筋调直机</w:t>
                  </w:r>
                </w:p>
              </w:tc>
              <w:tc>
                <w:tcPr>
                  <w:tcW w:w="793" w:type="pct"/>
                  <w:vAlign w:val="center"/>
                </w:tcPr>
                <w:p w14:paraId="708980E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051A76C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89</w:t>
                  </w:r>
                </w:p>
              </w:tc>
              <w:tc>
                <w:tcPr>
                  <w:tcW w:w="1642" w:type="pct"/>
                  <w:vAlign w:val="center"/>
                </w:tcPr>
                <w:p w14:paraId="38F3260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75</w:t>
                  </w:r>
                </w:p>
              </w:tc>
            </w:tr>
            <w:tr w14:paraId="4473B1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34C38B78">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钢筋切断机</w:t>
                  </w:r>
                </w:p>
              </w:tc>
              <w:tc>
                <w:tcPr>
                  <w:tcW w:w="793" w:type="pct"/>
                  <w:vAlign w:val="center"/>
                </w:tcPr>
                <w:p w14:paraId="3CB74782">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1C1FC390">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94</w:t>
                  </w:r>
                </w:p>
              </w:tc>
              <w:tc>
                <w:tcPr>
                  <w:tcW w:w="1642" w:type="pct"/>
                  <w:vAlign w:val="center"/>
                </w:tcPr>
                <w:p w14:paraId="1C315371">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80</w:t>
                  </w:r>
                </w:p>
              </w:tc>
            </w:tr>
            <w:tr w14:paraId="29499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576758F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钢筋弯曲机</w:t>
                  </w:r>
                </w:p>
              </w:tc>
              <w:tc>
                <w:tcPr>
                  <w:tcW w:w="793" w:type="pct"/>
                  <w:vAlign w:val="center"/>
                </w:tcPr>
                <w:p w14:paraId="769A5DCC">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4792694C">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89</w:t>
                  </w:r>
                </w:p>
              </w:tc>
              <w:tc>
                <w:tcPr>
                  <w:tcW w:w="1642" w:type="pct"/>
                  <w:vAlign w:val="center"/>
                </w:tcPr>
                <w:p w14:paraId="0938B3A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75</w:t>
                  </w:r>
                </w:p>
              </w:tc>
            </w:tr>
            <w:tr w14:paraId="678D0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178988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电焊机</w:t>
                  </w:r>
                </w:p>
              </w:tc>
              <w:tc>
                <w:tcPr>
                  <w:tcW w:w="793" w:type="pct"/>
                  <w:vAlign w:val="center"/>
                </w:tcPr>
                <w:p w14:paraId="4042D16A">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8</w:t>
                  </w:r>
                </w:p>
              </w:tc>
              <w:tc>
                <w:tcPr>
                  <w:tcW w:w="1642" w:type="pct"/>
                  <w:vAlign w:val="center"/>
                </w:tcPr>
                <w:p w14:paraId="3FF28920">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104</w:t>
                  </w:r>
                </w:p>
              </w:tc>
              <w:tc>
                <w:tcPr>
                  <w:tcW w:w="1642" w:type="pct"/>
                  <w:vAlign w:val="center"/>
                </w:tcPr>
                <w:p w14:paraId="0B8D113B">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90</w:t>
                  </w:r>
                </w:p>
              </w:tc>
            </w:tr>
            <w:tr w14:paraId="2A5156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7F219DF">
                  <w:pPr>
                    <w:keepNext w:val="0"/>
                    <w:keepLines w:val="0"/>
                    <w:widowControl/>
                    <w:suppressLineNumbers w:val="0"/>
                    <w:spacing w:before="0" w:beforeAutospacing="0" w:after="0" w:afterAutospacing="0"/>
                    <w:ind w:left="0" w:right="0"/>
                    <w:jc w:val="center"/>
                    <w:rPr>
                      <w:rFonts w:hint="default"/>
                      <w:color w:val="auto"/>
                      <w:sz w:val="21"/>
                      <w:szCs w:val="21"/>
                      <w:highlight w:val="none"/>
                      <w:shd w:val="clear" w:color="auto" w:fill="auto"/>
                      <w:lang w:val="en-US" w:eastAsia="zh-CN"/>
                    </w:rPr>
                  </w:pPr>
                  <w:r>
                    <w:rPr>
                      <w:rFonts w:hint="eastAsia" w:ascii="宋体" w:hAnsi="宋体" w:eastAsia="宋体" w:cs="宋体"/>
                      <w:color w:val="auto"/>
                      <w:kern w:val="0"/>
                      <w:sz w:val="21"/>
                      <w:szCs w:val="21"/>
                      <w:lang w:val="en-US" w:eastAsia="zh-CN" w:bidi="ar"/>
                    </w:rPr>
                    <w:t>钎入式振捣器</w:t>
                  </w:r>
                </w:p>
              </w:tc>
              <w:tc>
                <w:tcPr>
                  <w:tcW w:w="793" w:type="pct"/>
                  <w:vAlign w:val="center"/>
                </w:tcPr>
                <w:p w14:paraId="7353B8DA">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5</w:t>
                  </w:r>
                </w:p>
              </w:tc>
              <w:tc>
                <w:tcPr>
                  <w:tcW w:w="1642" w:type="pct"/>
                  <w:shd w:val="clear" w:color="auto" w:fill="auto"/>
                  <w:vAlign w:val="center"/>
                </w:tcPr>
                <w:p w14:paraId="79DA8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98</w:t>
                  </w:r>
                </w:p>
              </w:tc>
              <w:tc>
                <w:tcPr>
                  <w:tcW w:w="1642" w:type="pct"/>
                  <w:shd w:val="clear" w:color="auto" w:fill="auto"/>
                  <w:vAlign w:val="center"/>
                </w:tcPr>
                <w:p w14:paraId="2C2ED8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84</w:t>
                  </w:r>
                </w:p>
              </w:tc>
            </w:tr>
            <w:tr w14:paraId="789A5F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shd w:val="clear" w:color="auto" w:fill="auto"/>
                  <w:vAlign w:val="center"/>
                </w:tcPr>
                <w:p w14:paraId="6E22A9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钻孔</w:t>
                  </w:r>
                  <w:r>
                    <w:rPr>
                      <w:rFonts w:hint="eastAsia"/>
                      <w:color w:val="auto"/>
                      <w:sz w:val="21"/>
                      <w:szCs w:val="21"/>
                      <w:highlight w:val="none"/>
                      <w:shd w:val="clear" w:color="auto" w:fill="auto"/>
                      <w:lang w:val="en-US" w:eastAsia="zh-CN"/>
                    </w:rPr>
                    <w:t>机</w:t>
                  </w:r>
                </w:p>
              </w:tc>
              <w:tc>
                <w:tcPr>
                  <w:tcW w:w="793" w:type="pct"/>
                  <w:shd w:val="clear" w:color="auto" w:fill="auto"/>
                  <w:vAlign w:val="center"/>
                </w:tcPr>
                <w:p w14:paraId="6AED5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p>
              </w:tc>
              <w:tc>
                <w:tcPr>
                  <w:tcW w:w="1642" w:type="pct"/>
                  <w:shd w:val="clear" w:color="auto" w:fill="auto"/>
                  <w:vAlign w:val="center"/>
                </w:tcPr>
                <w:p w14:paraId="0C288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109</w:t>
                  </w:r>
                </w:p>
              </w:tc>
              <w:tc>
                <w:tcPr>
                  <w:tcW w:w="1642" w:type="pct"/>
                  <w:shd w:val="clear" w:color="auto" w:fill="auto"/>
                  <w:vAlign w:val="center"/>
                </w:tcPr>
                <w:p w14:paraId="79E3B6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95</w:t>
                  </w:r>
                </w:p>
              </w:tc>
            </w:tr>
          </w:tbl>
          <w:p w14:paraId="08ECC80C">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2）环境影响</w:t>
            </w:r>
          </w:p>
          <w:p w14:paraId="0CF2F96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b w:val="0"/>
                <w:bCs w:val="0"/>
                <w:color w:val="auto"/>
                <w:sz w:val="24"/>
                <w:lang w:val="en-US" w:eastAsia="zh-CN"/>
              </w:rPr>
              <w:t>①设备</w:t>
            </w:r>
            <w:r>
              <w:rPr>
                <w:rFonts w:hint="eastAsia"/>
                <w:b w:val="0"/>
                <w:bCs w:val="0"/>
                <w:color w:val="auto"/>
                <w:sz w:val="24"/>
              </w:rPr>
              <w:t>噪声影响分析</w:t>
            </w:r>
          </w:p>
          <w:p w14:paraId="3D385F9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施工机械噪声源基本是在半自由场中的点声源传播，且声源基本均为裸露声源，本次</w:t>
            </w:r>
            <w:r>
              <w:rPr>
                <w:rFonts w:hint="eastAsia"/>
                <w:color w:val="auto"/>
                <w:sz w:val="24"/>
                <w:highlight w:val="none"/>
                <w:shd w:val="clear" w:color="auto" w:fill="auto"/>
                <w:lang w:val="en-US" w:eastAsia="zh-CN"/>
              </w:rPr>
              <w:t>评价</w:t>
            </w:r>
            <w:r>
              <w:rPr>
                <w:rFonts w:hint="eastAsia"/>
                <w:color w:val="auto"/>
                <w:sz w:val="24"/>
                <w:highlight w:val="none"/>
                <w:shd w:val="clear" w:color="auto" w:fill="auto"/>
              </w:rPr>
              <w:t>采用《环境影响评价技术导则</w:t>
            </w:r>
            <w:r>
              <w:rPr>
                <w:rFonts w:hint="eastAsia"/>
                <w:color w:val="auto"/>
                <w:sz w:val="24"/>
                <w:highlight w:val="none"/>
                <w:shd w:val="clear" w:color="auto" w:fill="auto"/>
                <w:lang w:val="en-US" w:eastAsia="zh-CN"/>
              </w:rPr>
              <w:t xml:space="preserve"> </w:t>
            </w:r>
            <w:r>
              <w:rPr>
                <w:rFonts w:hint="eastAsia"/>
                <w:color w:val="auto"/>
                <w:sz w:val="24"/>
                <w:highlight w:val="none"/>
                <w:shd w:val="clear" w:color="auto" w:fill="auto"/>
              </w:rPr>
              <w:t>声环境》（HJ2.4</w:t>
            </w:r>
            <w:r>
              <w:rPr>
                <w:rFonts w:hint="eastAsia"/>
                <w:color w:val="auto"/>
                <w:sz w:val="24"/>
                <w:highlight w:val="none"/>
                <w:shd w:val="clear" w:color="auto" w:fill="auto"/>
                <w:lang w:val="en-US" w:eastAsia="zh-CN"/>
              </w:rPr>
              <w:t>-</w:t>
            </w:r>
            <w:r>
              <w:rPr>
                <w:rFonts w:hint="eastAsia"/>
                <w:color w:val="auto"/>
                <w:sz w:val="24"/>
                <w:highlight w:val="none"/>
                <w:shd w:val="clear" w:color="auto" w:fill="auto"/>
              </w:rPr>
              <w:t>2021）中户外点声源的几何发散衰减基本公式进行预测。</w:t>
            </w:r>
          </w:p>
          <w:p w14:paraId="457D79A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计算公式：</w:t>
            </w:r>
          </w:p>
          <w:p w14:paraId="751093F3">
            <w:pPr>
              <w:keepNext w:val="0"/>
              <w:keepLines w:val="0"/>
              <w:suppressLineNumbers w:val="0"/>
              <w:shd w:val="clear"/>
              <w:adjustRightInd w:val="0"/>
              <w:snapToGrid w:val="0"/>
              <w:spacing w:before="0" w:beforeAutospacing="0" w:after="0" w:afterAutospacing="0" w:line="360" w:lineRule="auto"/>
              <w:ind w:left="0" w:right="0" w:firstLine="200"/>
              <w:jc w:val="center"/>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lang w:eastAsia="zh-CN"/>
              </w:rPr>
              <w:t>）</w:t>
            </w: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vertAlign w:val="subscript"/>
              </w:rPr>
              <w:t>0</w:t>
            </w:r>
            <w:r>
              <w:rPr>
                <w:rFonts w:hint="eastAsia"/>
                <w:color w:val="auto"/>
                <w:sz w:val="24"/>
                <w:highlight w:val="none"/>
                <w:shd w:val="clear" w:color="auto" w:fill="auto"/>
                <w:lang w:eastAsia="zh-CN"/>
              </w:rPr>
              <w:t>）</w:t>
            </w:r>
            <w:r>
              <w:rPr>
                <w:rFonts w:hint="eastAsia"/>
                <w:color w:val="auto"/>
                <w:sz w:val="24"/>
                <w:highlight w:val="none"/>
                <w:shd w:val="clear" w:color="auto" w:fill="auto"/>
              </w:rPr>
              <w:t>+D</w:t>
            </w:r>
            <w:r>
              <w:rPr>
                <w:rFonts w:hint="eastAsia"/>
                <w:color w:val="auto"/>
                <w:sz w:val="24"/>
                <w:highlight w:val="none"/>
                <w:shd w:val="clear" w:color="auto" w:fill="auto"/>
                <w:vertAlign w:val="subscript"/>
              </w:rPr>
              <w:t>C</w:t>
            </w:r>
            <w:r>
              <w:rPr>
                <w:rFonts w:hint="eastAsia"/>
                <w:color w:val="auto"/>
                <w:sz w:val="24"/>
                <w:highlight w:val="none"/>
                <w:shd w:val="clear" w:color="auto" w:fill="auto"/>
              </w:rPr>
              <w:t>-</w:t>
            </w:r>
            <w:r>
              <w:rPr>
                <w:rFonts w:hint="eastAsia"/>
                <w:color w:val="auto"/>
                <w:sz w:val="24"/>
                <w:highlight w:val="none"/>
                <w:shd w:val="clear" w:color="auto" w:fill="auto"/>
                <w:lang w:eastAsia="zh-CN"/>
              </w:rPr>
              <w:t>（</w:t>
            </w:r>
            <w:r>
              <w:rPr>
                <w:rFonts w:hint="eastAsia"/>
                <w:color w:val="auto"/>
                <w:sz w:val="24"/>
                <w:highlight w:val="none"/>
                <w:shd w:val="clear" w:color="auto" w:fill="auto"/>
              </w:rPr>
              <w:t>A</w:t>
            </w:r>
            <w:r>
              <w:rPr>
                <w:rFonts w:hint="eastAsia"/>
                <w:color w:val="auto"/>
                <w:sz w:val="24"/>
                <w:highlight w:val="none"/>
                <w:shd w:val="clear" w:color="auto" w:fill="auto"/>
                <w:vertAlign w:val="subscript"/>
              </w:rPr>
              <w:t>div</w:t>
            </w:r>
            <w:r>
              <w:rPr>
                <w:rFonts w:hint="eastAsia"/>
                <w:color w:val="auto"/>
                <w:sz w:val="24"/>
                <w:highlight w:val="none"/>
                <w:shd w:val="clear" w:color="auto" w:fill="auto"/>
              </w:rPr>
              <w:t>+A</w:t>
            </w:r>
            <w:r>
              <w:rPr>
                <w:rFonts w:hint="eastAsia"/>
                <w:color w:val="auto"/>
                <w:sz w:val="24"/>
                <w:highlight w:val="none"/>
                <w:shd w:val="clear" w:color="auto" w:fill="auto"/>
                <w:vertAlign w:val="subscript"/>
              </w:rPr>
              <w:t>atm</w:t>
            </w:r>
            <w:r>
              <w:rPr>
                <w:rFonts w:hint="eastAsia"/>
                <w:color w:val="auto"/>
                <w:sz w:val="24"/>
                <w:highlight w:val="none"/>
                <w:shd w:val="clear" w:color="auto" w:fill="auto"/>
              </w:rPr>
              <w:t xml:space="preserve"> +A</w:t>
            </w:r>
            <w:r>
              <w:rPr>
                <w:rFonts w:hint="eastAsia"/>
                <w:color w:val="auto"/>
                <w:sz w:val="24"/>
                <w:highlight w:val="none"/>
                <w:shd w:val="clear" w:color="auto" w:fill="auto"/>
                <w:vertAlign w:val="subscript"/>
              </w:rPr>
              <w:t>gr</w:t>
            </w:r>
            <w:r>
              <w:rPr>
                <w:rFonts w:hint="eastAsia"/>
                <w:color w:val="auto"/>
                <w:sz w:val="24"/>
                <w:highlight w:val="none"/>
                <w:shd w:val="clear" w:color="auto" w:fill="auto"/>
              </w:rPr>
              <w:t xml:space="preserve"> +A</w:t>
            </w:r>
            <w:r>
              <w:rPr>
                <w:rFonts w:hint="eastAsia"/>
                <w:color w:val="auto"/>
                <w:sz w:val="24"/>
                <w:highlight w:val="none"/>
                <w:shd w:val="clear" w:color="auto" w:fill="auto"/>
                <w:vertAlign w:val="subscript"/>
              </w:rPr>
              <w:t>bar</w:t>
            </w:r>
            <w:r>
              <w:rPr>
                <w:rFonts w:hint="eastAsia"/>
                <w:color w:val="auto"/>
                <w:sz w:val="24"/>
                <w:highlight w:val="none"/>
                <w:shd w:val="clear" w:color="auto" w:fill="auto"/>
              </w:rPr>
              <w:t xml:space="preserve"> + A</w:t>
            </w:r>
            <w:r>
              <w:rPr>
                <w:rFonts w:hint="eastAsia"/>
                <w:color w:val="auto"/>
                <w:sz w:val="24"/>
                <w:highlight w:val="none"/>
                <w:shd w:val="clear" w:color="auto" w:fill="auto"/>
                <w:vertAlign w:val="subscript"/>
              </w:rPr>
              <w:t>misc</w:t>
            </w:r>
            <w:r>
              <w:rPr>
                <w:rFonts w:hint="eastAsia"/>
                <w:color w:val="auto"/>
                <w:sz w:val="24"/>
                <w:highlight w:val="none"/>
                <w:shd w:val="clear" w:color="auto" w:fill="auto"/>
                <w:lang w:eastAsia="zh-CN"/>
              </w:rPr>
              <w:t>）</w:t>
            </w:r>
          </w:p>
          <w:p w14:paraId="1E445E4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式中：</w:t>
            </w:r>
          </w:p>
          <w:p w14:paraId="717ABE4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lang w:eastAsia="zh-CN"/>
              </w:rPr>
              <w:t>）</w:t>
            </w:r>
            <w:r>
              <w:rPr>
                <w:rFonts w:hint="eastAsia"/>
                <w:color w:val="auto"/>
                <w:sz w:val="24"/>
                <w:highlight w:val="none"/>
                <w:shd w:val="clear" w:color="auto" w:fill="auto"/>
              </w:rPr>
              <w:t>——预测点处声压级，dB；</w:t>
            </w:r>
          </w:p>
          <w:p w14:paraId="2C0789F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vertAlign w:val="subscript"/>
              </w:rPr>
              <w:t>0</w:t>
            </w:r>
            <w:r>
              <w:rPr>
                <w:rFonts w:hint="eastAsia"/>
                <w:color w:val="auto"/>
                <w:sz w:val="24"/>
                <w:highlight w:val="none"/>
                <w:shd w:val="clear" w:color="auto" w:fill="auto"/>
                <w:lang w:eastAsia="zh-CN"/>
              </w:rPr>
              <w:t>）</w:t>
            </w:r>
            <w:r>
              <w:rPr>
                <w:rFonts w:hint="eastAsia"/>
                <w:color w:val="auto"/>
                <w:sz w:val="24"/>
                <w:highlight w:val="none"/>
                <w:shd w:val="clear" w:color="auto" w:fill="auto"/>
              </w:rPr>
              <w:t>——参考位置r0处的声压级，dB；</w:t>
            </w:r>
          </w:p>
          <w:p w14:paraId="416CBF2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D</w:t>
            </w:r>
            <w:r>
              <w:rPr>
                <w:rFonts w:hint="eastAsia"/>
                <w:color w:val="auto"/>
                <w:sz w:val="24"/>
                <w:highlight w:val="none"/>
                <w:shd w:val="clear" w:color="auto" w:fill="auto"/>
                <w:vertAlign w:val="subscript"/>
              </w:rPr>
              <w:t>C</w:t>
            </w:r>
            <w:r>
              <w:rPr>
                <w:rFonts w:hint="eastAsia"/>
                <w:color w:val="auto"/>
                <w:sz w:val="24"/>
                <w:highlight w:val="none"/>
                <w:shd w:val="clear" w:color="auto" w:fill="auto"/>
              </w:rPr>
              <w:t>——指向性校正，它描述点声源的等效连续声压级与产生声功率级L</w:t>
            </w:r>
            <w:r>
              <w:rPr>
                <w:rFonts w:hint="eastAsia"/>
                <w:color w:val="auto"/>
                <w:sz w:val="24"/>
                <w:highlight w:val="none"/>
                <w:shd w:val="clear" w:color="auto" w:fill="auto"/>
                <w:vertAlign w:val="subscript"/>
              </w:rPr>
              <w:t>W</w:t>
            </w:r>
            <w:r>
              <w:rPr>
                <w:rFonts w:hint="eastAsia"/>
                <w:color w:val="auto"/>
                <w:sz w:val="24"/>
                <w:highlight w:val="none"/>
                <w:shd w:val="clear" w:color="auto" w:fill="auto"/>
              </w:rPr>
              <w:t>的全向点声源在规定方向的声级的偏差程度，dB；</w:t>
            </w:r>
          </w:p>
          <w:p w14:paraId="4153EE0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div</w:t>
            </w:r>
            <w:r>
              <w:rPr>
                <w:rFonts w:hint="eastAsia"/>
                <w:color w:val="auto"/>
                <w:sz w:val="24"/>
                <w:highlight w:val="none"/>
                <w:shd w:val="clear" w:color="auto" w:fill="auto"/>
              </w:rPr>
              <w:t>——几何发散引起的衰减，dB；</w:t>
            </w:r>
          </w:p>
          <w:p w14:paraId="7BE71C7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atm</w:t>
            </w:r>
            <w:r>
              <w:rPr>
                <w:rFonts w:hint="eastAsia"/>
                <w:color w:val="auto"/>
                <w:sz w:val="24"/>
                <w:highlight w:val="none"/>
                <w:shd w:val="clear" w:color="auto" w:fill="auto"/>
              </w:rPr>
              <w:t>——大气吸收引起的衰减，dB；</w:t>
            </w:r>
          </w:p>
          <w:p w14:paraId="6A17DB4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gr</w:t>
            </w:r>
            <w:r>
              <w:rPr>
                <w:rFonts w:hint="eastAsia"/>
                <w:color w:val="auto"/>
                <w:sz w:val="24"/>
                <w:highlight w:val="none"/>
                <w:shd w:val="clear" w:color="auto" w:fill="auto"/>
              </w:rPr>
              <w:t>——地面效应引起的衰减，dB；</w:t>
            </w:r>
          </w:p>
          <w:p w14:paraId="6C920CB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bar</w:t>
            </w:r>
            <w:r>
              <w:rPr>
                <w:rFonts w:hint="eastAsia"/>
                <w:color w:val="auto"/>
                <w:sz w:val="24"/>
                <w:highlight w:val="none"/>
                <w:shd w:val="clear" w:color="auto" w:fill="auto"/>
              </w:rPr>
              <w:t>——障碍物屏蔽引起的衰减，dB；</w:t>
            </w:r>
          </w:p>
          <w:p w14:paraId="3217FA7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misc</w:t>
            </w:r>
            <w:r>
              <w:rPr>
                <w:rFonts w:hint="eastAsia"/>
                <w:color w:val="auto"/>
                <w:sz w:val="24"/>
                <w:highlight w:val="none"/>
                <w:shd w:val="clear" w:color="auto" w:fill="auto"/>
              </w:rPr>
              <w:t>——其它多方面效应引起的衰减，dB。</w:t>
            </w:r>
          </w:p>
          <w:p w14:paraId="4EEE38A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由上述公式计算出施工场地噪声预测结果见表4-</w:t>
            </w:r>
            <w:r>
              <w:rPr>
                <w:rFonts w:hint="eastAsia"/>
                <w:color w:val="auto"/>
                <w:sz w:val="24"/>
                <w:highlight w:val="none"/>
                <w:shd w:val="clear" w:color="auto" w:fill="auto"/>
                <w:lang w:val="en-US" w:eastAsia="zh-CN"/>
              </w:rPr>
              <w:t>6</w:t>
            </w:r>
            <w:r>
              <w:rPr>
                <w:rFonts w:hint="eastAsia"/>
                <w:color w:val="auto"/>
                <w:sz w:val="24"/>
                <w:highlight w:val="none"/>
                <w:shd w:val="clear" w:color="auto" w:fill="auto"/>
              </w:rPr>
              <w:t>。</w:t>
            </w:r>
          </w:p>
          <w:p w14:paraId="5932A80E">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yellow"/>
                <w:shd w:val="clear" w:color="auto" w:fill="auto"/>
              </w:rPr>
            </w:pPr>
            <w:r>
              <w:rPr>
                <w:rFonts w:hint="default"/>
                <w:b/>
                <w:color w:val="auto"/>
                <w:kern w:val="0"/>
                <w:szCs w:val="21"/>
                <w:highlight w:val="none"/>
                <w:shd w:val="clear" w:color="auto" w:fill="auto"/>
              </w:rPr>
              <w:t>表4-</w:t>
            </w:r>
            <w:r>
              <w:rPr>
                <w:rFonts w:hint="eastAsia"/>
                <w:b/>
                <w:color w:val="auto"/>
                <w:kern w:val="0"/>
                <w:szCs w:val="21"/>
                <w:highlight w:val="none"/>
                <w:shd w:val="clear" w:color="auto" w:fill="auto"/>
                <w:lang w:val="en-US" w:eastAsia="zh-CN"/>
              </w:rPr>
              <w:t xml:space="preserve">6 </w:t>
            </w:r>
            <w:r>
              <w:rPr>
                <w:rFonts w:hint="default"/>
                <w:b/>
                <w:color w:val="auto"/>
                <w:kern w:val="0"/>
                <w:szCs w:val="21"/>
                <w:highlight w:val="none"/>
                <w:shd w:val="clear" w:color="auto" w:fill="auto"/>
              </w:rPr>
              <w:t xml:space="preserve"> 距声源不同距离处的噪声值</w:t>
            </w:r>
            <w:r>
              <w:rPr>
                <w:rFonts w:hint="eastAsia"/>
                <w:b/>
                <w:color w:val="auto"/>
                <w:kern w:val="0"/>
                <w:szCs w:val="21"/>
                <w:highlight w:val="none"/>
                <w:shd w:val="clear" w:color="auto" w:fill="auto"/>
              </w:rPr>
              <w:t xml:space="preserve">  单位：</w:t>
            </w:r>
            <w:r>
              <w:rPr>
                <w:rFonts w:hint="default"/>
                <w:b/>
                <w:color w:val="auto"/>
                <w:kern w:val="0"/>
                <w:szCs w:val="21"/>
                <w:highlight w:val="none"/>
                <w:shd w:val="clear" w:color="auto" w:fill="auto"/>
              </w:rPr>
              <w:t>dB（A）</w:t>
            </w:r>
          </w:p>
          <w:tbl>
            <w:tblPr>
              <w:tblStyle w:val="4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64"/>
              <w:gridCol w:w="657"/>
              <w:gridCol w:w="638"/>
              <w:gridCol w:w="667"/>
              <w:gridCol w:w="667"/>
              <w:gridCol w:w="667"/>
              <w:gridCol w:w="792"/>
              <w:gridCol w:w="781"/>
              <w:gridCol w:w="781"/>
              <w:gridCol w:w="822"/>
            </w:tblGrid>
            <w:tr w14:paraId="33775D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922" w:type="pct"/>
                  <w:vMerge w:val="restart"/>
                  <w:vAlign w:val="center"/>
                </w:tcPr>
                <w:p w14:paraId="19A1E5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Style w:val="146"/>
                      <w:rFonts w:hint="default" w:ascii="Times New Roman" w:hAnsi="Times New Roman" w:eastAsia="宋体" w:cs="Times New Roman"/>
                      <w:color w:val="auto"/>
                      <w:sz w:val="21"/>
                      <w:szCs w:val="21"/>
                      <w:lang w:val="en-US" w:eastAsia="zh-CN" w:bidi="ar"/>
                    </w:rPr>
                    <w:t>设备名称</w:t>
                  </w:r>
                </w:p>
              </w:tc>
              <w:tc>
                <w:tcPr>
                  <w:tcW w:w="4077" w:type="pct"/>
                  <w:gridSpan w:val="9"/>
                  <w:vAlign w:val="center"/>
                </w:tcPr>
                <w:p w14:paraId="68FA18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随距离衰减的预测值dB（A）</w:t>
                  </w:r>
                </w:p>
              </w:tc>
            </w:tr>
            <w:tr w14:paraId="1CCFBD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922" w:type="pct"/>
                  <w:vMerge w:val="continue"/>
                  <w:vAlign w:val="center"/>
                </w:tcPr>
                <w:p w14:paraId="3C0719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p>
              </w:tc>
              <w:tc>
                <w:tcPr>
                  <w:tcW w:w="414" w:type="pct"/>
                  <w:vAlign w:val="center"/>
                </w:tcPr>
                <w:p w14:paraId="5601F4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02" w:type="pct"/>
                  <w:vAlign w:val="center"/>
                </w:tcPr>
                <w:p w14:paraId="2B6510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5</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20" w:type="pct"/>
                  <w:vAlign w:val="center"/>
                </w:tcPr>
                <w:p w14:paraId="2B22FE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20" w:type="pct"/>
                  <w:vAlign w:val="center"/>
                </w:tcPr>
                <w:p w14:paraId="605144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eastAsia" w:cs="Times New Roman"/>
                      <w:b/>
                      <w:bCs/>
                      <w:i w:val="0"/>
                      <w:iCs w:val="0"/>
                      <w:color w:val="auto"/>
                      <w:kern w:val="0"/>
                      <w:sz w:val="21"/>
                      <w:szCs w:val="21"/>
                      <w:u w:val="none"/>
                      <w:lang w:val="en-US" w:eastAsia="zh-CN" w:bidi="ar"/>
                    </w:rPr>
                    <w:t>30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20" w:type="pct"/>
                  <w:vAlign w:val="center"/>
                </w:tcPr>
                <w:p w14:paraId="41E626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50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99" w:type="pct"/>
                  <w:vAlign w:val="center"/>
                </w:tcPr>
                <w:p w14:paraId="6EAAA5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60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92" w:type="pct"/>
                  <w:vAlign w:val="center"/>
                </w:tcPr>
                <w:p w14:paraId="4253BB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100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492" w:type="pct"/>
                  <w:vAlign w:val="center"/>
                </w:tcPr>
                <w:p w14:paraId="5A9DD5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150</w:t>
                  </w:r>
                  <w:r>
                    <w:rPr>
                      <w:rFonts w:hint="eastAsia" w:ascii="Times New Roman" w:hAnsi="Times New Roman" w:eastAsia="宋体" w:cs="Times New Roman"/>
                      <w:b/>
                      <w:bCs/>
                      <w:i w:val="0"/>
                      <w:iCs w:val="0"/>
                      <w:color w:val="auto"/>
                      <w:kern w:val="0"/>
                      <w:sz w:val="21"/>
                      <w:szCs w:val="21"/>
                      <w:u w:val="none"/>
                      <w:lang w:val="en-US" w:eastAsia="zh-CN" w:bidi="ar"/>
                    </w:rPr>
                    <w:t>m</w:t>
                  </w:r>
                </w:p>
              </w:tc>
              <w:tc>
                <w:tcPr>
                  <w:tcW w:w="513" w:type="pct"/>
                  <w:vAlign w:val="center"/>
                </w:tcPr>
                <w:p w14:paraId="638E8D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200</w:t>
                  </w:r>
                  <w:r>
                    <w:rPr>
                      <w:rFonts w:hint="eastAsia" w:ascii="Times New Roman" w:hAnsi="Times New Roman" w:eastAsia="宋体" w:cs="Times New Roman"/>
                      <w:b/>
                      <w:bCs/>
                      <w:i w:val="0"/>
                      <w:iCs w:val="0"/>
                      <w:color w:val="auto"/>
                      <w:kern w:val="0"/>
                      <w:sz w:val="21"/>
                      <w:szCs w:val="21"/>
                      <w:u w:val="none"/>
                      <w:lang w:val="en-US" w:eastAsia="zh-CN" w:bidi="ar"/>
                    </w:rPr>
                    <w:t>m</w:t>
                  </w:r>
                </w:p>
              </w:tc>
            </w:tr>
            <w:tr w14:paraId="7B3EFA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922" w:type="pct"/>
                  <w:vAlign w:val="center"/>
                </w:tcPr>
                <w:p w14:paraId="5F9AD6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起重机</w:t>
                  </w:r>
                </w:p>
              </w:tc>
              <w:tc>
                <w:tcPr>
                  <w:tcW w:w="414" w:type="pct"/>
                  <w:vAlign w:val="center"/>
                </w:tcPr>
                <w:p w14:paraId="55880A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402" w:type="pct"/>
                  <w:vAlign w:val="center"/>
                </w:tcPr>
                <w:p w14:paraId="7EE18F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95</w:t>
                  </w:r>
                </w:p>
              </w:tc>
              <w:tc>
                <w:tcPr>
                  <w:tcW w:w="420" w:type="pct"/>
                  <w:vAlign w:val="center"/>
                </w:tcPr>
                <w:p w14:paraId="3AE701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89</w:t>
                  </w:r>
                </w:p>
              </w:tc>
              <w:tc>
                <w:tcPr>
                  <w:tcW w:w="420" w:type="pct"/>
                  <w:vAlign w:val="center"/>
                </w:tcPr>
                <w:p w14:paraId="74A698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79</w:t>
                  </w:r>
                </w:p>
              </w:tc>
              <w:tc>
                <w:tcPr>
                  <w:tcW w:w="420" w:type="pct"/>
                  <w:vAlign w:val="center"/>
                </w:tcPr>
                <w:p w14:paraId="530BF1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499" w:type="pct"/>
                  <w:vAlign w:val="center"/>
                </w:tcPr>
                <w:p w14:paraId="37F4F4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73</w:t>
                  </w:r>
                </w:p>
              </w:tc>
              <w:tc>
                <w:tcPr>
                  <w:tcW w:w="492" w:type="pct"/>
                  <w:vAlign w:val="center"/>
                </w:tcPr>
                <w:p w14:paraId="6AD211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92" w:type="pct"/>
                  <w:vAlign w:val="center"/>
                </w:tcPr>
                <w:p w14:paraId="537C49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13" w:type="pct"/>
                  <w:vAlign w:val="center"/>
                </w:tcPr>
                <w:p w14:paraId="05FA3B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r>
            <w:tr w14:paraId="3952D0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922" w:type="pct"/>
                  <w:vAlign w:val="center"/>
                </w:tcPr>
                <w:p w14:paraId="5D2C53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反铲挖掘机</w:t>
                  </w:r>
                </w:p>
              </w:tc>
              <w:tc>
                <w:tcPr>
                  <w:tcW w:w="414" w:type="pct"/>
                  <w:shd w:val="clear" w:color="auto" w:fill="auto"/>
                  <w:vAlign w:val="center"/>
                </w:tcPr>
                <w:p w14:paraId="4D0CC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96</w:t>
                  </w:r>
                </w:p>
              </w:tc>
              <w:tc>
                <w:tcPr>
                  <w:tcW w:w="402" w:type="pct"/>
                  <w:shd w:val="clear" w:color="auto" w:fill="auto"/>
                  <w:vAlign w:val="center"/>
                </w:tcPr>
                <w:p w14:paraId="6BA50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82</w:t>
                  </w:r>
                </w:p>
              </w:tc>
              <w:tc>
                <w:tcPr>
                  <w:tcW w:w="420" w:type="pct"/>
                  <w:vAlign w:val="center"/>
                </w:tcPr>
                <w:p w14:paraId="0C224B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c>
                <w:tcPr>
                  <w:tcW w:w="420" w:type="pct"/>
                  <w:vAlign w:val="center"/>
                </w:tcPr>
                <w:p w14:paraId="3DB71C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w:t>
                  </w:r>
                </w:p>
              </w:tc>
              <w:tc>
                <w:tcPr>
                  <w:tcW w:w="420" w:type="pct"/>
                  <w:vAlign w:val="center"/>
                </w:tcPr>
                <w:p w14:paraId="1F592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w:t>
                  </w:r>
                </w:p>
              </w:tc>
              <w:tc>
                <w:tcPr>
                  <w:tcW w:w="499" w:type="pct"/>
                  <w:vAlign w:val="center"/>
                </w:tcPr>
                <w:p w14:paraId="64DC46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492" w:type="pct"/>
                  <w:vAlign w:val="center"/>
                </w:tcPr>
                <w:p w14:paraId="790DE2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w:t>
                  </w:r>
                </w:p>
              </w:tc>
              <w:tc>
                <w:tcPr>
                  <w:tcW w:w="492" w:type="pct"/>
                  <w:vAlign w:val="center"/>
                </w:tcPr>
                <w:p w14:paraId="4CD3F5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w:t>
                  </w:r>
                </w:p>
              </w:tc>
              <w:tc>
                <w:tcPr>
                  <w:tcW w:w="513" w:type="pct"/>
                  <w:vAlign w:val="center"/>
                </w:tcPr>
                <w:p w14:paraId="212772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50</w:t>
                  </w:r>
                </w:p>
              </w:tc>
            </w:tr>
            <w:tr w14:paraId="0FFC04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922" w:type="pct"/>
                  <w:vAlign w:val="center"/>
                </w:tcPr>
                <w:p w14:paraId="5CC396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pacing w:val="8"/>
                      <w:sz w:val="21"/>
                      <w:szCs w:val="21"/>
                    </w:rPr>
                    <w:t>混凝土搅拌运输车</w:t>
                  </w:r>
                </w:p>
              </w:tc>
              <w:tc>
                <w:tcPr>
                  <w:tcW w:w="414" w:type="pct"/>
                  <w:shd w:val="clear" w:color="auto" w:fill="auto"/>
                  <w:vAlign w:val="center"/>
                </w:tcPr>
                <w:p w14:paraId="2BBD2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spacing w:val="-3"/>
                      <w:kern w:val="2"/>
                      <w:sz w:val="21"/>
                      <w:szCs w:val="21"/>
                      <w:lang w:val="en-US" w:eastAsia="zh-CN" w:bidi="ar-SA"/>
                    </w:rPr>
                  </w:pPr>
                  <w:r>
                    <w:rPr>
                      <w:rFonts w:hint="eastAsia" w:ascii="Times New Roman" w:hAnsi="Times New Roman" w:eastAsia="宋体" w:cs="Times New Roman"/>
                      <w:color w:val="auto"/>
                      <w:spacing w:val="-3"/>
                      <w:sz w:val="21"/>
                      <w:szCs w:val="21"/>
                      <w:lang w:val="en-US" w:eastAsia="zh-CN"/>
                    </w:rPr>
                    <w:t>86</w:t>
                  </w:r>
                </w:p>
              </w:tc>
              <w:tc>
                <w:tcPr>
                  <w:tcW w:w="402" w:type="pct"/>
                  <w:shd w:val="clear" w:color="auto" w:fill="auto"/>
                  <w:vAlign w:val="center"/>
                </w:tcPr>
                <w:p w14:paraId="3BF1B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spacing w:val="-3"/>
                      <w:kern w:val="2"/>
                      <w:sz w:val="21"/>
                      <w:szCs w:val="21"/>
                      <w:lang w:val="en-US" w:eastAsia="zh-CN" w:bidi="ar-SA"/>
                    </w:rPr>
                  </w:pPr>
                  <w:r>
                    <w:rPr>
                      <w:rFonts w:hint="eastAsia" w:ascii="Times New Roman" w:hAnsi="Times New Roman" w:eastAsia="宋体" w:cs="Times New Roman"/>
                      <w:color w:val="auto"/>
                      <w:spacing w:val="-3"/>
                      <w:sz w:val="21"/>
                      <w:szCs w:val="21"/>
                      <w:lang w:val="en-US" w:eastAsia="zh-CN"/>
                    </w:rPr>
                    <w:t>72</w:t>
                  </w:r>
                </w:p>
              </w:tc>
              <w:tc>
                <w:tcPr>
                  <w:tcW w:w="420" w:type="pct"/>
                  <w:vAlign w:val="center"/>
                </w:tcPr>
                <w:p w14:paraId="55539BC5">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68</w:t>
                  </w:r>
                </w:p>
              </w:tc>
              <w:tc>
                <w:tcPr>
                  <w:tcW w:w="420" w:type="pct"/>
                  <w:vAlign w:val="center"/>
                </w:tcPr>
                <w:p w14:paraId="63C03D67">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58</w:t>
                  </w:r>
                </w:p>
              </w:tc>
              <w:tc>
                <w:tcPr>
                  <w:tcW w:w="420" w:type="pct"/>
                  <w:vAlign w:val="center"/>
                </w:tcPr>
                <w:p w14:paraId="228C72B3">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54</w:t>
                  </w:r>
                </w:p>
              </w:tc>
              <w:tc>
                <w:tcPr>
                  <w:tcW w:w="499" w:type="pct"/>
                  <w:vAlign w:val="center"/>
                </w:tcPr>
                <w:p w14:paraId="619793E1">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52</w:t>
                  </w:r>
                </w:p>
              </w:tc>
              <w:tc>
                <w:tcPr>
                  <w:tcW w:w="492" w:type="pct"/>
                  <w:vAlign w:val="center"/>
                </w:tcPr>
                <w:p w14:paraId="76C08F5C">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48</w:t>
                  </w:r>
                </w:p>
              </w:tc>
              <w:tc>
                <w:tcPr>
                  <w:tcW w:w="492" w:type="pct"/>
                  <w:vAlign w:val="center"/>
                </w:tcPr>
                <w:p w14:paraId="6F14975C">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44</w:t>
                  </w:r>
                </w:p>
              </w:tc>
              <w:tc>
                <w:tcPr>
                  <w:tcW w:w="513" w:type="pct"/>
                  <w:vAlign w:val="center"/>
                </w:tcPr>
                <w:p w14:paraId="35C84350">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42</w:t>
                  </w:r>
                </w:p>
              </w:tc>
            </w:tr>
            <w:tr w14:paraId="24CF61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7" w:hRule="atLeast"/>
                <w:jc w:val="center"/>
              </w:trPr>
              <w:tc>
                <w:tcPr>
                  <w:tcW w:w="922" w:type="pct"/>
                  <w:shd w:val="clear" w:color="auto" w:fill="auto"/>
                  <w:vAlign w:val="center"/>
                </w:tcPr>
                <w:p w14:paraId="42A5D7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电焊机</w:t>
                  </w:r>
                </w:p>
              </w:tc>
              <w:tc>
                <w:tcPr>
                  <w:tcW w:w="414" w:type="pct"/>
                  <w:shd w:val="clear" w:color="auto" w:fill="auto"/>
                  <w:vAlign w:val="center"/>
                </w:tcPr>
                <w:p w14:paraId="2B4BEB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402" w:type="pct"/>
                  <w:shd w:val="clear" w:color="auto" w:fill="auto"/>
                  <w:vAlign w:val="center"/>
                </w:tcPr>
                <w:p w14:paraId="35FD55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420" w:type="pct"/>
                  <w:shd w:val="clear" w:color="auto" w:fill="auto"/>
                  <w:vAlign w:val="center"/>
                </w:tcPr>
                <w:p w14:paraId="2B2D03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84</w:t>
                  </w:r>
                </w:p>
              </w:tc>
              <w:tc>
                <w:tcPr>
                  <w:tcW w:w="420" w:type="pct"/>
                  <w:shd w:val="clear" w:color="auto" w:fill="auto"/>
                  <w:vAlign w:val="center"/>
                </w:tcPr>
                <w:p w14:paraId="739B0D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74</w:t>
                  </w:r>
                </w:p>
              </w:tc>
              <w:tc>
                <w:tcPr>
                  <w:tcW w:w="420" w:type="pct"/>
                  <w:shd w:val="clear" w:color="auto" w:fill="auto"/>
                  <w:vAlign w:val="center"/>
                </w:tcPr>
                <w:p w14:paraId="2FAC8A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499" w:type="pct"/>
                  <w:shd w:val="clear" w:color="auto" w:fill="auto"/>
                  <w:vAlign w:val="center"/>
                </w:tcPr>
                <w:p w14:paraId="0C3F77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92" w:type="pct"/>
                  <w:shd w:val="clear" w:color="auto" w:fill="auto"/>
                  <w:vAlign w:val="center"/>
                </w:tcPr>
                <w:p w14:paraId="0B42B4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492" w:type="pct"/>
                  <w:shd w:val="clear" w:color="auto" w:fill="auto"/>
                  <w:vAlign w:val="center"/>
                </w:tcPr>
                <w:p w14:paraId="73A958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13" w:type="pct"/>
                  <w:shd w:val="clear" w:color="auto" w:fill="auto"/>
                  <w:vAlign w:val="center"/>
                </w:tcPr>
                <w:p w14:paraId="3C7EE7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w:t>
                  </w:r>
                </w:p>
              </w:tc>
            </w:tr>
            <w:tr w14:paraId="48B49B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922" w:type="pct"/>
                  <w:vAlign w:val="center"/>
                </w:tcPr>
                <w:p w14:paraId="43ABA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钎入式振捣器</w:t>
                  </w:r>
                </w:p>
              </w:tc>
              <w:tc>
                <w:tcPr>
                  <w:tcW w:w="414" w:type="pct"/>
                  <w:shd w:val="clear" w:color="auto" w:fill="auto"/>
                  <w:vAlign w:val="center"/>
                </w:tcPr>
                <w:p w14:paraId="010B4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98</w:t>
                  </w:r>
                </w:p>
              </w:tc>
              <w:tc>
                <w:tcPr>
                  <w:tcW w:w="402" w:type="pct"/>
                  <w:shd w:val="clear" w:color="auto" w:fill="auto"/>
                  <w:vAlign w:val="center"/>
                </w:tcPr>
                <w:p w14:paraId="2E3C7B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84</w:t>
                  </w:r>
                </w:p>
              </w:tc>
              <w:tc>
                <w:tcPr>
                  <w:tcW w:w="420" w:type="pct"/>
                  <w:vAlign w:val="center"/>
                </w:tcPr>
                <w:p w14:paraId="17B726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w:t>
                  </w:r>
                </w:p>
              </w:tc>
              <w:tc>
                <w:tcPr>
                  <w:tcW w:w="420" w:type="pct"/>
                  <w:vAlign w:val="center"/>
                </w:tcPr>
                <w:p w14:paraId="13D99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68</w:t>
                  </w:r>
                </w:p>
              </w:tc>
              <w:tc>
                <w:tcPr>
                  <w:tcW w:w="420" w:type="pct"/>
                  <w:vAlign w:val="center"/>
                </w:tcPr>
                <w:p w14:paraId="2D6B93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64</w:t>
                  </w:r>
                </w:p>
              </w:tc>
              <w:tc>
                <w:tcPr>
                  <w:tcW w:w="499" w:type="pct"/>
                  <w:vAlign w:val="center"/>
                </w:tcPr>
                <w:p w14:paraId="2A371F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w:t>
                  </w:r>
                </w:p>
              </w:tc>
              <w:tc>
                <w:tcPr>
                  <w:tcW w:w="492" w:type="pct"/>
                  <w:vAlign w:val="center"/>
                </w:tcPr>
                <w:p w14:paraId="719613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w:t>
                  </w:r>
                </w:p>
              </w:tc>
              <w:tc>
                <w:tcPr>
                  <w:tcW w:w="492" w:type="pct"/>
                  <w:vAlign w:val="center"/>
                </w:tcPr>
                <w:p w14:paraId="740308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w:t>
                  </w:r>
                </w:p>
              </w:tc>
              <w:tc>
                <w:tcPr>
                  <w:tcW w:w="513" w:type="pct"/>
                  <w:vAlign w:val="center"/>
                </w:tcPr>
                <w:p w14:paraId="455738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52</w:t>
                  </w:r>
                </w:p>
              </w:tc>
            </w:tr>
            <w:tr w14:paraId="7802CB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922" w:type="pct"/>
                  <w:vAlign w:val="center"/>
                </w:tcPr>
                <w:p w14:paraId="0741C1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宋体" w:hAnsi="宋体" w:eastAsia="宋体" w:cs="宋体"/>
                      <w:color w:val="auto"/>
                      <w:kern w:val="0"/>
                      <w:sz w:val="21"/>
                      <w:szCs w:val="21"/>
                      <w:lang w:val="en-US" w:eastAsia="zh-CN" w:bidi="ar"/>
                    </w:rPr>
                    <w:t>钻孔</w:t>
                  </w:r>
                  <w:r>
                    <w:rPr>
                      <w:rFonts w:hint="eastAsia"/>
                      <w:color w:val="auto"/>
                      <w:sz w:val="21"/>
                      <w:szCs w:val="21"/>
                      <w:highlight w:val="none"/>
                      <w:shd w:val="clear" w:color="auto" w:fill="auto"/>
                      <w:lang w:val="en-US" w:eastAsia="zh-CN"/>
                    </w:rPr>
                    <w:t>机</w:t>
                  </w:r>
                </w:p>
              </w:tc>
              <w:tc>
                <w:tcPr>
                  <w:tcW w:w="414" w:type="pct"/>
                  <w:shd w:val="clear" w:color="auto" w:fill="auto"/>
                  <w:vAlign w:val="center"/>
                </w:tcPr>
                <w:p w14:paraId="67DE5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109</w:t>
                  </w:r>
                </w:p>
              </w:tc>
              <w:tc>
                <w:tcPr>
                  <w:tcW w:w="402" w:type="pct"/>
                  <w:shd w:val="clear" w:color="auto" w:fill="auto"/>
                  <w:vAlign w:val="center"/>
                </w:tcPr>
                <w:p w14:paraId="129DE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95</w:t>
                  </w:r>
                </w:p>
              </w:tc>
              <w:tc>
                <w:tcPr>
                  <w:tcW w:w="420" w:type="pct"/>
                  <w:shd w:val="clear" w:color="auto" w:fill="auto"/>
                  <w:vAlign w:val="center"/>
                </w:tcPr>
                <w:p w14:paraId="143E7D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89</w:t>
                  </w:r>
                </w:p>
              </w:tc>
              <w:tc>
                <w:tcPr>
                  <w:tcW w:w="420" w:type="pct"/>
                  <w:shd w:val="clear" w:color="auto" w:fill="auto"/>
                  <w:vAlign w:val="center"/>
                </w:tcPr>
                <w:p w14:paraId="442337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79</w:t>
                  </w:r>
                </w:p>
              </w:tc>
              <w:tc>
                <w:tcPr>
                  <w:tcW w:w="420" w:type="pct"/>
                  <w:shd w:val="clear" w:color="auto" w:fill="auto"/>
                  <w:vAlign w:val="center"/>
                </w:tcPr>
                <w:p w14:paraId="6094DF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w:t>
                  </w:r>
                </w:p>
              </w:tc>
              <w:tc>
                <w:tcPr>
                  <w:tcW w:w="499" w:type="pct"/>
                  <w:shd w:val="clear" w:color="auto" w:fill="auto"/>
                  <w:vAlign w:val="center"/>
                </w:tcPr>
                <w:p w14:paraId="4D694D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w:t>
                  </w:r>
                </w:p>
              </w:tc>
              <w:tc>
                <w:tcPr>
                  <w:tcW w:w="492" w:type="pct"/>
                  <w:shd w:val="clear" w:color="auto" w:fill="auto"/>
                  <w:vAlign w:val="center"/>
                </w:tcPr>
                <w:p w14:paraId="257584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92" w:type="pct"/>
                  <w:shd w:val="clear" w:color="auto" w:fill="auto"/>
                  <w:vAlign w:val="center"/>
                </w:tcPr>
                <w:p w14:paraId="3D40DC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13" w:type="pct"/>
                  <w:shd w:val="clear" w:color="auto" w:fill="auto"/>
                  <w:vAlign w:val="center"/>
                </w:tcPr>
                <w:p w14:paraId="5984EC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r>
          </w:tbl>
          <w:p w14:paraId="39AB14C6">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eastAsia"/>
                <w:color w:val="auto"/>
                <w:sz w:val="24"/>
                <w:szCs w:val="24"/>
                <w:highlight w:val="none"/>
                <w:shd w:val="clear" w:color="auto" w:fill="auto"/>
              </w:rPr>
              <w:t>根据预测结果，</w:t>
            </w:r>
            <w:r>
              <w:rPr>
                <w:rFonts w:hint="eastAsia"/>
                <w:color w:val="auto"/>
                <w:sz w:val="24"/>
                <w:szCs w:val="24"/>
                <w:highlight w:val="none"/>
                <w:shd w:val="clear" w:color="auto" w:fill="auto"/>
                <w:lang w:val="en-US" w:eastAsia="zh-CN"/>
              </w:rPr>
              <w:t>施工机械中噪声影响较大的设备是</w:t>
            </w:r>
            <w:r>
              <w:rPr>
                <w:rFonts w:hint="eastAsia" w:ascii="宋体" w:hAnsi="宋体" w:eastAsia="宋体" w:cs="宋体"/>
                <w:color w:val="auto"/>
                <w:kern w:val="0"/>
                <w:sz w:val="24"/>
                <w:szCs w:val="24"/>
                <w:lang w:val="en-US" w:eastAsia="zh-CN" w:bidi="ar"/>
              </w:rPr>
              <w:t>钻孔</w:t>
            </w:r>
            <w:r>
              <w:rPr>
                <w:rFonts w:hint="eastAsia"/>
                <w:color w:val="auto"/>
                <w:sz w:val="24"/>
                <w:szCs w:val="24"/>
                <w:highlight w:val="none"/>
                <w:shd w:val="clear" w:color="auto" w:fill="auto"/>
                <w:lang w:val="en-US" w:eastAsia="zh-CN"/>
              </w:rPr>
              <w:t>机、电焊机等。</w:t>
            </w:r>
            <w:r>
              <w:rPr>
                <w:rFonts w:hint="eastAsia"/>
                <w:color w:val="auto"/>
                <w:sz w:val="24"/>
                <w:szCs w:val="24"/>
                <w:highlight w:val="none"/>
                <w:shd w:val="clear" w:color="auto" w:fill="auto"/>
              </w:rPr>
              <w:t>在不考虑噪声叠加影响的情况下，</w:t>
            </w:r>
            <w:r>
              <w:rPr>
                <w:rFonts w:hint="eastAsia"/>
                <w:color w:val="auto"/>
                <w:sz w:val="24"/>
                <w:szCs w:val="24"/>
                <w:highlight w:val="none"/>
                <w:shd w:val="clear" w:color="auto" w:fill="auto"/>
                <w:lang w:val="en-US" w:eastAsia="zh-CN"/>
              </w:rPr>
              <w:t>单</w:t>
            </w:r>
            <w:r>
              <w:rPr>
                <w:rFonts w:hint="default"/>
                <w:color w:val="auto"/>
                <w:sz w:val="24"/>
                <w:szCs w:val="24"/>
                <w:highlight w:val="none"/>
                <w:shd w:val="clear" w:color="auto" w:fill="auto"/>
              </w:rPr>
              <w:t>台设备运行时，距施工点</w:t>
            </w:r>
            <w:r>
              <w:rPr>
                <w:rFonts w:hint="eastAsia"/>
                <w:color w:val="auto"/>
                <w:sz w:val="24"/>
                <w:szCs w:val="24"/>
                <w:highlight w:val="none"/>
                <w:shd w:val="clear" w:color="auto" w:fill="auto"/>
                <w:lang w:val="en-US" w:eastAsia="zh-CN"/>
              </w:rPr>
              <w:t>100</w:t>
            </w:r>
            <w:r>
              <w:rPr>
                <w:rFonts w:hint="default"/>
                <w:color w:val="auto"/>
                <w:sz w:val="24"/>
                <w:szCs w:val="24"/>
                <w:highlight w:val="none"/>
                <w:shd w:val="clear" w:color="auto" w:fill="auto"/>
              </w:rPr>
              <w:t>m外昼间可达《建筑施工场界环境噪声排放限值》</w:t>
            </w:r>
            <w:r>
              <w:rPr>
                <w:rFonts w:hint="eastAsia"/>
                <w:color w:val="auto"/>
                <w:sz w:val="24"/>
                <w:szCs w:val="24"/>
                <w:highlight w:val="none"/>
                <w:shd w:val="clear" w:color="auto" w:fill="auto"/>
              </w:rPr>
              <w:t>（</w:t>
            </w:r>
            <w:r>
              <w:rPr>
                <w:rFonts w:hint="default"/>
                <w:color w:val="auto"/>
                <w:sz w:val="24"/>
                <w:szCs w:val="24"/>
                <w:highlight w:val="none"/>
                <w:shd w:val="clear" w:color="auto" w:fill="auto"/>
              </w:rPr>
              <w:t>GB12523-2011</w:t>
            </w:r>
            <w:r>
              <w:rPr>
                <w:rFonts w:hint="eastAsia"/>
                <w:color w:val="auto"/>
                <w:sz w:val="24"/>
                <w:szCs w:val="24"/>
                <w:highlight w:val="none"/>
                <w:shd w:val="clear" w:color="auto" w:fill="auto"/>
              </w:rPr>
              <w:t>）</w:t>
            </w:r>
            <w:r>
              <w:rPr>
                <w:rFonts w:hint="default"/>
                <w:color w:val="auto"/>
                <w:sz w:val="24"/>
                <w:szCs w:val="24"/>
                <w:highlight w:val="none"/>
                <w:shd w:val="clear" w:color="auto" w:fill="auto"/>
              </w:rPr>
              <w:t>70dB</w:t>
            </w: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A</w:t>
            </w: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的要求，</w:t>
            </w:r>
            <w:r>
              <w:rPr>
                <w:rFonts w:hint="eastAsia"/>
                <w:color w:val="auto"/>
                <w:sz w:val="24"/>
                <w:szCs w:val="24"/>
                <w:highlight w:val="none"/>
                <w:shd w:val="clear" w:color="auto" w:fill="auto"/>
                <w:lang w:val="en-US" w:eastAsia="zh-CN"/>
              </w:rPr>
              <w:t>项目夜间不施工</w:t>
            </w:r>
            <w:r>
              <w:rPr>
                <w:rFonts w:hint="default"/>
                <w:color w:val="auto"/>
                <w:sz w:val="24"/>
                <w:highlight w:val="none"/>
                <w:shd w:val="clear" w:color="auto" w:fill="auto"/>
              </w:rPr>
              <w:t>。</w:t>
            </w:r>
            <w:r>
              <w:rPr>
                <w:rFonts w:hint="default" w:ascii="Times New Roman" w:hAnsi="Times New Roman" w:cs="Times New Roman"/>
                <w:bCs/>
                <w:color w:val="auto"/>
                <w:sz w:val="24"/>
                <w:szCs w:val="24"/>
              </w:rPr>
              <w:t>项目施工边界</w:t>
            </w:r>
            <w:r>
              <w:rPr>
                <w:rFonts w:hint="eastAsia" w:cs="Times New Roman"/>
                <w:bCs/>
                <w:color w:val="auto"/>
                <w:sz w:val="24"/>
                <w:szCs w:val="24"/>
                <w:lang w:val="en-US" w:eastAsia="zh-CN"/>
              </w:rPr>
              <w:t>10</w:t>
            </w:r>
            <w:r>
              <w:rPr>
                <w:rFonts w:hint="default" w:ascii="Times New Roman" w:hAnsi="Times New Roman" w:cs="Times New Roman"/>
                <w:bCs/>
                <w:color w:val="auto"/>
                <w:sz w:val="24"/>
                <w:szCs w:val="24"/>
              </w:rPr>
              <w:t>0m范围内</w:t>
            </w:r>
            <w:r>
              <w:rPr>
                <w:rFonts w:hint="eastAsia" w:cs="Times New Roman"/>
                <w:bCs/>
                <w:color w:val="auto"/>
                <w:sz w:val="24"/>
                <w:szCs w:val="24"/>
                <w:lang w:val="en-US" w:eastAsia="zh-CN"/>
              </w:rPr>
              <w:t>无敏感点，对周边环境影响小</w:t>
            </w:r>
            <w:r>
              <w:rPr>
                <w:rFonts w:hint="default" w:ascii="Times New Roman" w:hAnsi="Times New Roman" w:cs="Times New Roman"/>
                <w:bCs/>
                <w:color w:val="auto"/>
                <w:sz w:val="24"/>
                <w:szCs w:val="24"/>
              </w:rPr>
              <w:t>。</w:t>
            </w:r>
          </w:p>
          <w:p w14:paraId="0AA18007">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kern w:val="0"/>
                <w:szCs w:val="21"/>
              </w:rPr>
            </w:pPr>
            <w:r>
              <w:rPr>
                <w:rFonts w:hint="default"/>
                <w:b/>
                <w:color w:val="auto"/>
                <w:kern w:val="0"/>
                <w:szCs w:val="21"/>
              </w:rPr>
              <w:t>表4-</w:t>
            </w:r>
            <w:r>
              <w:rPr>
                <w:rFonts w:hint="eastAsia"/>
                <w:b/>
                <w:color w:val="auto"/>
                <w:kern w:val="0"/>
                <w:szCs w:val="21"/>
                <w:lang w:val="en-US" w:eastAsia="zh-CN"/>
              </w:rPr>
              <w:t>7</w:t>
            </w:r>
            <w:r>
              <w:rPr>
                <w:rFonts w:hint="default"/>
                <w:b/>
                <w:color w:val="auto"/>
                <w:kern w:val="0"/>
                <w:szCs w:val="21"/>
              </w:rPr>
              <w:t xml:space="preserve"> </w:t>
            </w:r>
            <w:r>
              <w:rPr>
                <w:rFonts w:hint="eastAsia"/>
                <w:b/>
                <w:color w:val="auto"/>
                <w:kern w:val="0"/>
                <w:szCs w:val="21"/>
                <w:lang w:val="en-US" w:eastAsia="zh-CN"/>
              </w:rPr>
              <w:t xml:space="preserve"> </w:t>
            </w:r>
            <w:r>
              <w:rPr>
                <w:rFonts w:hint="default"/>
                <w:b/>
                <w:color w:val="auto"/>
                <w:kern w:val="0"/>
                <w:szCs w:val="21"/>
              </w:rPr>
              <w:t>距声源不同距离处</w:t>
            </w:r>
            <w:r>
              <w:rPr>
                <w:rFonts w:hint="eastAsia"/>
                <w:b/>
                <w:color w:val="auto"/>
                <w:kern w:val="0"/>
                <w:szCs w:val="21"/>
                <w:lang w:val="en-US" w:eastAsia="zh-CN"/>
              </w:rPr>
              <w:t>多台设备</w:t>
            </w:r>
            <w:r>
              <w:rPr>
                <w:rFonts w:hint="default"/>
                <w:b/>
                <w:color w:val="auto"/>
                <w:kern w:val="0"/>
                <w:szCs w:val="21"/>
              </w:rPr>
              <w:t>的</w:t>
            </w:r>
            <w:r>
              <w:rPr>
                <w:rFonts w:hint="eastAsia"/>
                <w:b/>
                <w:color w:val="auto"/>
                <w:kern w:val="0"/>
                <w:szCs w:val="21"/>
                <w:lang w:val="en-US" w:eastAsia="zh-CN"/>
              </w:rPr>
              <w:t>叠加</w:t>
            </w:r>
            <w:r>
              <w:rPr>
                <w:rFonts w:hint="default"/>
                <w:b/>
                <w:color w:val="auto"/>
                <w:kern w:val="0"/>
                <w:szCs w:val="21"/>
              </w:rPr>
              <w:t>噪声值</w:t>
            </w:r>
            <w:r>
              <w:rPr>
                <w:rFonts w:hint="eastAsia"/>
                <w:b/>
                <w:color w:val="auto"/>
                <w:kern w:val="0"/>
                <w:szCs w:val="21"/>
              </w:rPr>
              <w:t xml:space="preserve">   单位：</w:t>
            </w:r>
            <w:r>
              <w:rPr>
                <w:rFonts w:hint="default"/>
                <w:b/>
                <w:color w:val="auto"/>
                <w:kern w:val="0"/>
                <w:szCs w:val="21"/>
              </w:rPr>
              <w:t>dB（A）</w:t>
            </w:r>
          </w:p>
          <w:tbl>
            <w:tblPr>
              <w:tblStyle w:val="42"/>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10"/>
              <w:gridCol w:w="540"/>
              <w:gridCol w:w="604"/>
              <w:gridCol w:w="699"/>
              <w:gridCol w:w="699"/>
              <w:gridCol w:w="602"/>
              <w:gridCol w:w="647"/>
              <w:gridCol w:w="707"/>
              <w:gridCol w:w="707"/>
              <w:gridCol w:w="709"/>
              <w:gridCol w:w="709"/>
            </w:tblGrid>
            <w:tr w14:paraId="6B8F80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825" w:type="pct"/>
                  <w:noWrap w:val="0"/>
                  <w:vAlign w:val="center"/>
                </w:tcPr>
                <w:p w14:paraId="46FE19F2">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设备名称</w:t>
                  </w:r>
                </w:p>
              </w:tc>
              <w:tc>
                <w:tcPr>
                  <w:tcW w:w="340" w:type="pct"/>
                  <w:noWrap w:val="0"/>
                  <w:vAlign w:val="center"/>
                </w:tcPr>
                <w:p w14:paraId="3EB7A2C8">
                  <w:pPr>
                    <w:keepNext w:val="0"/>
                    <w:keepLines w:val="0"/>
                    <w:suppressLineNumbers w:val="0"/>
                    <w:spacing w:before="0" w:beforeAutospacing="0" w:after="0" w:afterAutospacing="0"/>
                    <w:ind w:left="0" w:right="0"/>
                    <w:jc w:val="center"/>
                    <w:rPr>
                      <w:rFonts w:hint="default"/>
                      <w:b/>
                      <w:color w:val="auto"/>
                      <w:sz w:val="21"/>
                      <w:szCs w:val="21"/>
                    </w:rPr>
                  </w:pPr>
                  <w:r>
                    <w:rPr>
                      <w:rFonts w:hint="eastAsia"/>
                      <w:b/>
                      <w:color w:val="auto"/>
                      <w:sz w:val="21"/>
                      <w:szCs w:val="21"/>
                      <w:lang w:val="en-US" w:eastAsia="zh-CN"/>
                    </w:rPr>
                    <w:t>1</w:t>
                  </w:r>
                  <w:r>
                    <w:rPr>
                      <w:rFonts w:hint="eastAsia"/>
                      <w:b/>
                      <w:color w:val="auto"/>
                      <w:sz w:val="21"/>
                      <w:szCs w:val="21"/>
                    </w:rPr>
                    <w:t>m</w:t>
                  </w:r>
                </w:p>
              </w:tc>
              <w:tc>
                <w:tcPr>
                  <w:tcW w:w="380" w:type="pct"/>
                  <w:noWrap w:val="0"/>
                  <w:vAlign w:val="center"/>
                </w:tcPr>
                <w:p w14:paraId="54BB4C53">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10m</w:t>
                  </w:r>
                </w:p>
              </w:tc>
              <w:tc>
                <w:tcPr>
                  <w:tcW w:w="440" w:type="pct"/>
                  <w:noWrap w:val="0"/>
                  <w:vAlign w:val="center"/>
                </w:tcPr>
                <w:p w14:paraId="0C927397">
                  <w:pPr>
                    <w:keepNext w:val="0"/>
                    <w:keepLines w:val="0"/>
                    <w:suppressLineNumbers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20m</w:t>
                  </w:r>
                </w:p>
              </w:tc>
              <w:tc>
                <w:tcPr>
                  <w:tcW w:w="440" w:type="pct"/>
                  <w:noWrap w:val="0"/>
                  <w:vAlign w:val="center"/>
                </w:tcPr>
                <w:p w14:paraId="35AD83F1">
                  <w:pPr>
                    <w:keepNext w:val="0"/>
                    <w:keepLines w:val="0"/>
                    <w:suppressLineNumbers w:val="0"/>
                    <w:spacing w:before="0" w:beforeAutospacing="0" w:after="0" w:afterAutospacing="0"/>
                    <w:ind w:left="0" w:right="0"/>
                    <w:jc w:val="center"/>
                    <w:rPr>
                      <w:rFonts w:hint="default"/>
                      <w:b/>
                      <w:color w:val="auto"/>
                      <w:sz w:val="21"/>
                      <w:szCs w:val="21"/>
                    </w:rPr>
                  </w:pPr>
                  <w:r>
                    <w:rPr>
                      <w:rFonts w:hint="eastAsia"/>
                      <w:b/>
                      <w:color w:val="auto"/>
                      <w:sz w:val="21"/>
                      <w:szCs w:val="21"/>
                      <w:lang w:val="en-US" w:eastAsia="zh-CN"/>
                    </w:rPr>
                    <w:t>3</w:t>
                  </w:r>
                  <w:r>
                    <w:rPr>
                      <w:rFonts w:hint="default"/>
                      <w:b/>
                      <w:color w:val="auto"/>
                      <w:sz w:val="21"/>
                      <w:szCs w:val="21"/>
                    </w:rPr>
                    <w:t>0m</w:t>
                  </w:r>
                </w:p>
              </w:tc>
              <w:tc>
                <w:tcPr>
                  <w:tcW w:w="379" w:type="pct"/>
                  <w:noWrap w:val="0"/>
                  <w:vAlign w:val="center"/>
                </w:tcPr>
                <w:p w14:paraId="72430BD0">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4</w:t>
                  </w:r>
                  <w:r>
                    <w:rPr>
                      <w:rFonts w:hint="eastAsia"/>
                      <w:b/>
                      <w:color w:val="auto"/>
                      <w:sz w:val="21"/>
                      <w:szCs w:val="21"/>
                      <w:lang w:val="en-US" w:eastAsia="zh-CN"/>
                    </w:rPr>
                    <w:t>5</w:t>
                  </w:r>
                  <w:r>
                    <w:rPr>
                      <w:rFonts w:hint="default"/>
                      <w:b/>
                      <w:color w:val="auto"/>
                      <w:sz w:val="21"/>
                      <w:szCs w:val="21"/>
                    </w:rPr>
                    <w:t>m</w:t>
                  </w:r>
                </w:p>
              </w:tc>
              <w:tc>
                <w:tcPr>
                  <w:tcW w:w="407" w:type="pct"/>
                  <w:noWrap w:val="0"/>
                  <w:vAlign w:val="center"/>
                </w:tcPr>
                <w:p w14:paraId="7B4B2CAF">
                  <w:pPr>
                    <w:keepNext w:val="0"/>
                    <w:keepLines w:val="0"/>
                    <w:suppressLineNumbers w:val="0"/>
                    <w:spacing w:before="0" w:beforeAutospacing="0" w:after="0" w:afterAutospacing="0"/>
                    <w:ind w:left="0" w:right="0"/>
                    <w:jc w:val="center"/>
                    <w:rPr>
                      <w:rFonts w:hint="default"/>
                      <w:b/>
                      <w:color w:val="auto"/>
                      <w:sz w:val="21"/>
                      <w:szCs w:val="21"/>
                    </w:rPr>
                  </w:pPr>
                  <w:r>
                    <w:rPr>
                      <w:rFonts w:hint="eastAsia"/>
                      <w:b/>
                      <w:color w:val="auto"/>
                      <w:sz w:val="21"/>
                      <w:szCs w:val="21"/>
                      <w:lang w:val="en-US" w:eastAsia="zh-CN"/>
                    </w:rPr>
                    <w:t>85</w:t>
                  </w:r>
                  <w:r>
                    <w:rPr>
                      <w:rFonts w:hint="default"/>
                      <w:b/>
                      <w:color w:val="auto"/>
                      <w:sz w:val="21"/>
                      <w:szCs w:val="21"/>
                    </w:rPr>
                    <w:t>m</w:t>
                  </w:r>
                </w:p>
              </w:tc>
              <w:tc>
                <w:tcPr>
                  <w:tcW w:w="445" w:type="pct"/>
                  <w:noWrap w:val="0"/>
                  <w:vAlign w:val="center"/>
                </w:tcPr>
                <w:p w14:paraId="47779F56">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100m</w:t>
                  </w:r>
                </w:p>
              </w:tc>
              <w:tc>
                <w:tcPr>
                  <w:tcW w:w="445" w:type="pct"/>
                  <w:noWrap w:val="0"/>
                  <w:vAlign w:val="center"/>
                </w:tcPr>
                <w:p w14:paraId="50258DD3">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1</w:t>
                  </w:r>
                  <w:r>
                    <w:rPr>
                      <w:rFonts w:hint="eastAsia"/>
                      <w:b/>
                      <w:color w:val="auto"/>
                      <w:sz w:val="21"/>
                      <w:szCs w:val="21"/>
                      <w:lang w:val="en-US" w:eastAsia="zh-CN"/>
                    </w:rPr>
                    <w:t>2</w:t>
                  </w:r>
                  <w:r>
                    <w:rPr>
                      <w:rFonts w:hint="default"/>
                      <w:b/>
                      <w:color w:val="auto"/>
                      <w:sz w:val="21"/>
                      <w:szCs w:val="21"/>
                    </w:rPr>
                    <w:t>0m</w:t>
                  </w:r>
                </w:p>
              </w:tc>
              <w:tc>
                <w:tcPr>
                  <w:tcW w:w="446" w:type="pct"/>
                  <w:noWrap w:val="0"/>
                  <w:vAlign w:val="center"/>
                </w:tcPr>
                <w:p w14:paraId="095168D0">
                  <w:pPr>
                    <w:keepNext w:val="0"/>
                    <w:keepLines w:val="0"/>
                    <w:suppressLineNumbers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170m</w:t>
                  </w:r>
                </w:p>
              </w:tc>
              <w:tc>
                <w:tcPr>
                  <w:tcW w:w="446" w:type="pct"/>
                  <w:noWrap w:val="0"/>
                  <w:vAlign w:val="center"/>
                </w:tcPr>
                <w:p w14:paraId="2C23E9AF">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200m</w:t>
                  </w:r>
                </w:p>
              </w:tc>
            </w:tr>
            <w:tr w14:paraId="2DAA9F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25" w:type="pct"/>
                  <w:noWrap w:val="0"/>
                  <w:vAlign w:val="center"/>
                </w:tcPr>
                <w:p w14:paraId="5FFD3FAE">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lang w:val="en-US" w:eastAsia="zh-CN" w:bidi="ar-SA"/>
                    </w:rPr>
                  </w:pPr>
                  <w:r>
                    <w:rPr>
                      <w:rFonts w:hint="eastAsia"/>
                      <w:color w:val="auto"/>
                      <w:sz w:val="21"/>
                      <w:szCs w:val="21"/>
                      <w:lang w:val="en-US" w:eastAsia="zh-CN"/>
                    </w:rPr>
                    <w:t>钢筋调直机</w:t>
                  </w:r>
                </w:p>
              </w:tc>
              <w:tc>
                <w:tcPr>
                  <w:tcW w:w="340" w:type="pct"/>
                  <w:noWrap w:val="0"/>
                  <w:vAlign w:val="center"/>
                </w:tcPr>
                <w:p w14:paraId="0647A741">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89</w:t>
                  </w:r>
                </w:p>
              </w:tc>
              <w:tc>
                <w:tcPr>
                  <w:tcW w:w="380" w:type="pct"/>
                  <w:noWrap w:val="0"/>
                  <w:vAlign w:val="center"/>
                </w:tcPr>
                <w:p w14:paraId="71B48F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40" w:type="pct"/>
                  <w:noWrap w:val="0"/>
                  <w:vAlign w:val="center"/>
                </w:tcPr>
                <w:p w14:paraId="762AD3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63</w:t>
                  </w:r>
                </w:p>
              </w:tc>
              <w:tc>
                <w:tcPr>
                  <w:tcW w:w="440" w:type="pct"/>
                  <w:noWrap w:val="0"/>
                  <w:vAlign w:val="center"/>
                </w:tcPr>
                <w:p w14:paraId="14E509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59.5</w:t>
                  </w:r>
                </w:p>
              </w:tc>
              <w:tc>
                <w:tcPr>
                  <w:tcW w:w="379" w:type="pct"/>
                  <w:noWrap w:val="0"/>
                  <w:vAlign w:val="center"/>
                </w:tcPr>
                <w:p w14:paraId="469AD8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07" w:type="pct"/>
                  <w:noWrap w:val="0"/>
                  <w:vAlign w:val="center"/>
                </w:tcPr>
                <w:p w14:paraId="196098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45" w:type="pct"/>
                  <w:noWrap w:val="0"/>
                  <w:vAlign w:val="center"/>
                </w:tcPr>
                <w:p w14:paraId="26F2E0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45" w:type="pct"/>
                  <w:noWrap w:val="0"/>
                  <w:vAlign w:val="center"/>
                </w:tcPr>
                <w:p w14:paraId="315EDB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46" w:type="pct"/>
                  <w:noWrap w:val="0"/>
                  <w:vAlign w:val="center"/>
                </w:tcPr>
                <w:p w14:paraId="45B99A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46" w:type="pct"/>
                  <w:noWrap w:val="0"/>
                  <w:vAlign w:val="center"/>
                </w:tcPr>
                <w:p w14:paraId="4BD884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w:t>
                  </w:r>
                </w:p>
              </w:tc>
            </w:tr>
            <w:tr w14:paraId="5774E2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25" w:type="pct"/>
                  <w:noWrap w:val="0"/>
                  <w:vAlign w:val="center"/>
                </w:tcPr>
                <w:p w14:paraId="3619BF1C">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lang w:val="en-US" w:eastAsia="zh-CN" w:bidi="ar-SA"/>
                    </w:rPr>
                  </w:pPr>
                  <w:r>
                    <w:rPr>
                      <w:rFonts w:hint="eastAsia"/>
                      <w:color w:val="auto"/>
                      <w:sz w:val="21"/>
                      <w:szCs w:val="21"/>
                      <w:lang w:val="en-US" w:eastAsia="zh-CN"/>
                    </w:rPr>
                    <w:t>钢筋切断机</w:t>
                  </w:r>
                </w:p>
              </w:tc>
              <w:tc>
                <w:tcPr>
                  <w:tcW w:w="340" w:type="pct"/>
                  <w:noWrap w:val="0"/>
                  <w:vAlign w:val="center"/>
                </w:tcPr>
                <w:p w14:paraId="2146811C">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94</w:t>
                  </w:r>
                </w:p>
              </w:tc>
              <w:tc>
                <w:tcPr>
                  <w:tcW w:w="380" w:type="pct"/>
                  <w:noWrap w:val="0"/>
                  <w:vAlign w:val="center"/>
                </w:tcPr>
                <w:p w14:paraId="7B2792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w:t>
                  </w:r>
                </w:p>
              </w:tc>
              <w:tc>
                <w:tcPr>
                  <w:tcW w:w="440" w:type="pct"/>
                  <w:noWrap w:val="0"/>
                  <w:vAlign w:val="center"/>
                </w:tcPr>
                <w:p w14:paraId="7A870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w:t>
                  </w:r>
                </w:p>
              </w:tc>
              <w:tc>
                <w:tcPr>
                  <w:tcW w:w="440" w:type="pct"/>
                  <w:noWrap w:val="0"/>
                  <w:vAlign w:val="center"/>
                </w:tcPr>
                <w:p w14:paraId="0BAB46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64.5</w:t>
                  </w:r>
                </w:p>
              </w:tc>
              <w:tc>
                <w:tcPr>
                  <w:tcW w:w="379" w:type="pct"/>
                  <w:noWrap w:val="0"/>
                  <w:vAlign w:val="center"/>
                </w:tcPr>
                <w:p w14:paraId="410542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61</w:t>
                  </w:r>
                </w:p>
              </w:tc>
              <w:tc>
                <w:tcPr>
                  <w:tcW w:w="407" w:type="pct"/>
                  <w:noWrap w:val="0"/>
                  <w:vAlign w:val="center"/>
                </w:tcPr>
                <w:p w14:paraId="19BE12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45" w:type="pct"/>
                  <w:noWrap w:val="0"/>
                  <w:vAlign w:val="center"/>
                </w:tcPr>
                <w:p w14:paraId="351310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45" w:type="pct"/>
                  <w:noWrap w:val="0"/>
                  <w:vAlign w:val="center"/>
                </w:tcPr>
                <w:p w14:paraId="44D3AC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46" w:type="pct"/>
                  <w:noWrap w:val="0"/>
                  <w:vAlign w:val="center"/>
                </w:tcPr>
                <w:p w14:paraId="511A8C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46" w:type="pct"/>
                  <w:noWrap w:val="0"/>
                  <w:vAlign w:val="center"/>
                </w:tcPr>
                <w:p w14:paraId="138C81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w:t>
                  </w:r>
                </w:p>
              </w:tc>
            </w:tr>
            <w:tr w14:paraId="0EA633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25" w:type="pct"/>
                  <w:noWrap w:val="0"/>
                  <w:vAlign w:val="center"/>
                </w:tcPr>
                <w:p w14:paraId="67FFECE7">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lang w:val="en-US" w:eastAsia="zh-CN" w:bidi="ar-SA"/>
                    </w:rPr>
                  </w:pPr>
                  <w:r>
                    <w:rPr>
                      <w:rFonts w:hint="eastAsia"/>
                      <w:color w:val="auto"/>
                      <w:sz w:val="21"/>
                      <w:szCs w:val="21"/>
                      <w:lang w:val="en-US" w:eastAsia="zh-CN"/>
                    </w:rPr>
                    <w:t>钢筋弯曲机</w:t>
                  </w:r>
                </w:p>
              </w:tc>
              <w:tc>
                <w:tcPr>
                  <w:tcW w:w="340" w:type="pct"/>
                  <w:noWrap w:val="0"/>
                  <w:vAlign w:val="center"/>
                </w:tcPr>
                <w:p w14:paraId="49747F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89</w:t>
                  </w:r>
                </w:p>
              </w:tc>
              <w:tc>
                <w:tcPr>
                  <w:tcW w:w="380" w:type="pct"/>
                  <w:noWrap w:val="0"/>
                  <w:vAlign w:val="center"/>
                </w:tcPr>
                <w:p w14:paraId="6C0C2F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40" w:type="pct"/>
                  <w:noWrap w:val="0"/>
                  <w:vAlign w:val="center"/>
                </w:tcPr>
                <w:p w14:paraId="6023E1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63</w:t>
                  </w:r>
                </w:p>
              </w:tc>
              <w:tc>
                <w:tcPr>
                  <w:tcW w:w="440" w:type="pct"/>
                  <w:noWrap w:val="0"/>
                  <w:vAlign w:val="center"/>
                </w:tcPr>
                <w:p w14:paraId="7B8E16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59.5</w:t>
                  </w:r>
                </w:p>
              </w:tc>
              <w:tc>
                <w:tcPr>
                  <w:tcW w:w="379" w:type="pct"/>
                  <w:noWrap w:val="0"/>
                  <w:vAlign w:val="center"/>
                </w:tcPr>
                <w:p w14:paraId="048C94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07" w:type="pct"/>
                  <w:noWrap w:val="0"/>
                  <w:vAlign w:val="center"/>
                </w:tcPr>
                <w:p w14:paraId="6F09F5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45" w:type="pct"/>
                  <w:noWrap w:val="0"/>
                  <w:vAlign w:val="center"/>
                </w:tcPr>
                <w:p w14:paraId="65C724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45" w:type="pct"/>
                  <w:noWrap w:val="0"/>
                  <w:vAlign w:val="center"/>
                </w:tcPr>
                <w:p w14:paraId="1C2447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46" w:type="pct"/>
                  <w:noWrap w:val="0"/>
                  <w:vAlign w:val="center"/>
                </w:tcPr>
                <w:p w14:paraId="6ABA8A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46" w:type="pct"/>
                  <w:noWrap w:val="0"/>
                  <w:vAlign w:val="center"/>
                </w:tcPr>
                <w:p w14:paraId="46CBFD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w:t>
                  </w:r>
                </w:p>
              </w:tc>
            </w:tr>
            <w:tr w14:paraId="1DE6DB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25" w:type="pct"/>
                  <w:noWrap w:val="0"/>
                  <w:vAlign w:val="center"/>
                </w:tcPr>
                <w:p w14:paraId="24D3DCE1">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叠加值</w:t>
                  </w:r>
                </w:p>
              </w:tc>
              <w:tc>
                <w:tcPr>
                  <w:tcW w:w="340" w:type="pct"/>
                  <w:noWrap w:val="0"/>
                  <w:vAlign w:val="top"/>
                </w:tcPr>
                <w:p w14:paraId="2F257C47">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96</w:t>
                  </w:r>
                </w:p>
              </w:tc>
              <w:tc>
                <w:tcPr>
                  <w:tcW w:w="380" w:type="pct"/>
                  <w:noWrap w:val="0"/>
                  <w:vAlign w:val="center"/>
                </w:tcPr>
                <w:p w14:paraId="09F63DB5">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76</w:t>
                  </w:r>
                </w:p>
              </w:tc>
              <w:tc>
                <w:tcPr>
                  <w:tcW w:w="440" w:type="pct"/>
                  <w:noWrap w:val="0"/>
                  <w:vAlign w:val="center"/>
                </w:tcPr>
                <w:p w14:paraId="0F2B9AD1">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70</w:t>
                  </w:r>
                </w:p>
              </w:tc>
              <w:tc>
                <w:tcPr>
                  <w:tcW w:w="440" w:type="pct"/>
                  <w:noWrap w:val="0"/>
                  <w:vAlign w:val="center"/>
                </w:tcPr>
                <w:p w14:paraId="1846A5F0">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66.6</w:t>
                  </w:r>
                </w:p>
              </w:tc>
              <w:tc>
                <w:tcPr>
                  <w:tcW w:w="379" w:type="pct"/>
                  <w:noWrap w:val="0"/>
                  <w:vAlign w:val="center"/>
                </w:tcPr>
                <w:p w14:paraId="19C83B83">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63</w:t>
                  </w:r>
                </w:p>
              </w:tc>
              <w:tc>
                <w:tcPr>
                  <w:tcW w:w="407" w:type="pct"/>
                  <w:noWrap w:val="0"/>
                  <w:vAlign w:val="center"/>
                </w:tcPr>
                <w:p w14:paraId="620B82DA">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57</w:t>
                  </w:r>
                </w:p>
              </w:tc>
              <w:tc>
                <w:tcPr>
                  <w:tcW w:w="445" w:type="pct"/>
                  <w:noWrap w:val="0"/>
                  <w:vAlign w:val="center"/>
                </w:tcPr>
                <w:p w14:paraId="69831207">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56</w:t>
                  </w:r>
                </w:p>
              </w:tc>
              <w:tc>
                <w:tcPr>
                  <w:tcW w:w="445" w:type="pct"/>
                  <w:noWrap w:val="0"/>
                  <w:vAlign w:val="center"/>
                </w:tcPr>
                <w:p w14:paraId="43A28DDB">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54</w:t>
                  </w:r>
                </w:p>
              </w:tc>
              <w:tc>
                <w:tcPr>
                  <w:tcW w:w="446" w:type="pct"/>
                  <w:noWrap w:val="0"/>
                  <w:vAlign w:val="center"/>
                </w:tcPr>
                <w:p w14:paraId="088D36CB">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51</w:t>
                  </w:r>
                </w:p>
              </w:tc>
              <w:tc>
                <w:tcPr>
                  <w:tcW w:w="446" w:type="pct"/>
                  <w:noWrap w:val="0"/>
                  <w:vAlign w:val="center"/>
                </w:tcPr>
                <w:p w14:paraId="10735AAF">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50</w:t>
                  </w:r>
                </w:p>
              </w:tc>
            </w:tr>
          </w:tbl>
          <w:p w14:paraId="23182148">
            <w:pPr>
              <w:keepNext w:val="0"/>
              <w:keepLines w:val="0"/>
              <w:suppressLineNumbers w:val="0"/>
              <w:shd w:val="clear"/>
              <w:spacing w:before="0" w:beforeAutospacing="0" w:after="0" w:afterAutospacing="0" w:line="360" w:lineRule="auto"/>
              <w:ind w:left="0" w:right="0" w:firstLine="480" w:firstLineChars="200"/>
              <w:rPr>
                <w:rFonts w:hint="eastAsia" w:eastAsia="宋体"/>
                <w:color w:val="auto"/>
                <w:sz w:val="24"/>
                <w:highlight w:val="none"/>
                <w:shd w:val="clear" w:color="auto" w:fill="auto"/>
                <w:lang w:eastAsia="zh-CN"/>
              </w:rPr>
            </w:pPr>
            <w:r>
              <w:rPr>
                <w:rFonts w:hint="default" w:ascii="Times New Roman" w:hAnsi="Times New Roman" w:cs="Times New Roman"/>
                <w:bCs/>
                <w:color w:val="auto"/>
                <w:sz w:val="24"/>
                <w:szCs w:val="24"/>
                <w:highlight w:val="none"/>
              </w:rPr>
              <w:t>项目施工</w:t>
            </w:r>
            <w:r>
              <w:rPr>
                <w:rFonts w:hint="eastAsia" w:cs="Times New Roman"/>
                <w:bCs/>
                <w:color w:val="auto"/>
                <w:sz w:val="24"/>
                <w:szCs w:val="24"/>
                <w:highlight w:val="none"/>
                <w:lang w:val="en-US" w:eastAsia="zh-CN"/>
              </w:rPr>
              <w:t>场地</w:t>
            </w:r>
            <w:r>
              <w:rPr>
                <w:rFonts w:hint="default" w:ascii="Times New Roman" w:hAnsi="Times New Roman" w:cs="Times New Roman"/>
                <w:color w:val="auto"/>
                <w:kern w:val="0"/>
                <w:sz w:val="24"/>
                <w:szCs w:val="24"/>
              </w:rPr>
              <w:t>多台机械设备同时作业时，产生的噪声会叠加</w:t>
            </w:r>
            <w:r>
              <w:rPr>
                <w:rFonts w:hint="eastAsia"/>
                <w:color w:val="auto"/>
                <w:sz w:val="24"/>
                <w:szCs w:val="24"/>
                <w:lang w:eastAsia="zh-CN"/>
              </w:rPr>
              <w:t>。</w:t>
            </w:r>
            <w:r>
              <w:rPr>
                <w:rFonts w:hint="default" w:ascii="Times New Roman" w:hAnsi="Times New Roman" w:cs="Times New Roman"/>
                <w:color w:val="auto"/>
                <w:kern w:val="0"/>
                <w:sz w:val="24"/>
                <w:szCs w:val="24"/>
              </w:rPr>
              <w:t>根据预测结果，在考虑噪声叠加影响的情况下，昼间在距施工机械</w:t>
            </w:r>
            <w:r>
              <w:rPr>
                <w:rFonts w:hint="eastAsia"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0m以外的区域可达到《建筑施工场界环境噪声</w:t>
            </w:r>
            <w:r>
              <w:rPr>
                <w:rFonts w:hint="default" w:ascii="Times New Roman" w:hAnsi="Times New Roman" w:cs="Times New Roman"/>
                <w:bCs/>
                <w:color w:val="auto"/>
                <w:sz w:val="24"/>
                <w:szCs w:val="24"/>
                <w:highlight w:val="none"/>
              </w:rPr>
              <w:t>排放标准》（GB12523-2011）的要求。项目施工</w:t>
            </w:r>
            <w:r>
              <w:rPr>
                <w:rFonts w:hint="eastAsia" w:ascii="Times New Roman" w:hAnsi="Times New Roman" w:cs="Times New Roman"/>
                <w:bCs/>
                <w:color w:val="auto"/>
                <w:sz w:val="24"/>
                <w:szCs w:val="24"/>
                <w:highlight w:val="none"/>
                <w:lang w:val="en-US" w:eastAsia="zh-CN"/>
              </w:rPr>
              <w:t>场</w:t>
            </w:r>
            <w:r>
              <w:rPr>
                <w:rFonts w:hint="eastAsia" w:cs="Times New Roman"/>
                <w:bCs/>
                <w:color w:val="auto"/>
                <w:sz w:val="24"/>
                <w:szCs w:val="24"/>
                <w:highlight w:val="none"/>
                <w:lang w:val="en-US" w:eastAsia="zh-CN"/>
              </w:rPr>
              <w:t>地</w:t>
            </w:r>
            <w:r>
              <w:rPr>
                <w:rFonts w:hint="eastAsia" w:ascii="Times New Roman" w:hAnsi="Times New Roman" w:cs="Times New Roman"/>
                <w:bCs/>
                <w:color w:val="auto"/>
                <w:sz w:val="24"/>
                <w:szCs w:val="24"/>
                <w:highlight w:val="none"/>
                <w:lang w:val="en-US" w:eastAsia="zh-CN"/>
              </w:rPr>
              <w:t>最近的保护目标在</w:t>
            </w:r>
            <w:r>
              <w:rPr>
                <w:rFonts w:hint="eastAsia" w:cs="Times New Roman"/>
                <w:bCs/>
                <w:color w:val="auto"/>
                <w:sz w:val="24"/>
                <w:szCs w:val="24"/>
                <w:highlight w:val="none"/>
                <w:lang w:val="en-US" w:eastAsia="zh-CN"/>
              </w:rPr>
              <w:t>615</w:t>
            </w:r>
            <w:r>
              <w:rPr>
                <w:rFonts w:hint="eastAsia" w:ascii="Times New Roman" w:hAnsi="Times New Roman" w:cs="Times New Roman"/>
                <w:bCs/>
                <w:color w:val="auto"/>
                <w:sz w:val="24"/>
                <w:szCs w:val="24"/>
                <w:highlight w:val="none"/>
                <w:lang w:val="en-US" w:eastAsia="zh-CN"/>
              </w:rPr>
              <w:t>m</w:t>
            </w:r>
            <w:r>
              <w:rPr>
                <w:rFonts w:hint="eastAsia" w:cs="Times New Roman"/>
                <w:bCs/>
                <w:color w:val="auto"/>
                <w:sz w:val="24"/>
                <w:szCs w:val="24"/>
                <w:highlight w:val="none"/>
                <w:lang w:val="en-US" w:eastAsia="zh-CN"/>
              </w:rPr>
              <w:t>以外</w:t>
            </w:r>
            <w:r>
              <w:rPr>
                <w:rFonts w:hint="eastAsia" w:ascii="Times New Roman" w:hAnsi="Times New Roman" w:cs="Times New Roman"/>
                <w:bCs/>
                <w:color w:val="auto"/>
                <w:sz w:val="24"/>
                <w:szCs w:val="24"/>
                <w:highlight w:val="none"/>
                <w:lang w:val="en-US" w:eastAsia="zh-CN"/>
              </w:rPr>
              <w:t>，施工场地的</w:t>
            </w:r>
            <w:r>
              <w:rPr>
                <w:rFonts w:hint="eastAsia"/>
                <w:color w:val="auto"/>
                <w:sz w:val="24"/>
                <w:szCs w:val="24"/>
                <w:highlight w:val="none"/>
                <w:shd w:val="clear" w:color="auto" w:fill="auto"/>
                <w:lang w:eastAsia="zh-CN"/>
              </w:rPr>
              <w:t>施工噪声对周围敏感点的影响较小</w:t>
            </w:r>
            <w:r>
              <w:rPr>
                <w:rFonts w:hint="default" w:ascii="Times New Roman" w:hAnsi="Times New Roman" w:cs="Times New Roman"/>
                <w:bCs/>
                <w:color w:val="auto"/>
                <w:sz w:val="24"/>
                <w:szCs w:val="24"/>
                <w:highlight w:val="none"/>
              </w:rPr>
              <w:t>。</w:t>
            </w:r>
          </w:p>
          <w:p w14:paraId="22243F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b w:val="0"/>
                <w:bCs w:val="0"/>
                <w:color w:val="auto"/>
                <w:sz w:val="24"/>
              </w:rPr>
            </w:pPr>
            <w:r>
              <w:rPr>
                <w:rFonts w:hint="eastAsia"/>
                <w:color w:val="auto"/>
                <w:sz w:val="24"/>
                <w:lang w:val="en-US" w:eastAsia="zh-CN"/>
              </w:rPr>
              <w:t>②</w:t>
            </w:r>
            <w:r>
              <w:rPr>
                <w:rFonts w:hint="eastAsia"/>
                <w:b w:val="0"/>
                <w:bCs w:val="0"/>
                <w:color w:val="auto"/>
                <w:sz w:val="24"/>
              </w:rPr>
              <w:t>运输噪声影响分析</w:t>
            </w:r>
          </w:p>
          <w:p w14:paraId="3A99631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rPr>
            </w:pPr>
            <w:r>
              <w:rPr>
                <w:rFonts w:hint="eastAsia"/>
                <w:b w:val="0"/>
                <w:bCs w:val="0"/>
                <w:color w:val="auto"/>
                <w:sz w:val="24"/>
              </w:rPr>
              <w:t>本</w:t>
            </w:r>
            <w:r>
              <w:rPr>
                <w:rFonts w:hint="eastAsia"/>
                <w:b w:val="0"/>
                <w:bCs w:val="0"/>
                <w:color w:val="auto"/>
                <w:sz w:val="24"/>
                <w:lang w:val="en-US" w:eastAsia="zh-CN"/>
              </w:rPr>
              <w:t>项目</w:t>
            </w:r>
            <w:r>
              <w:rPr>
                <w:rFonts w:hint="eastAsia"/>
                <w:b w:val="0"/>
                <w:bCs w:val="0"/>
                <w:color w:val="auto"/>
                <w:sz w:val="24"/>
              </w:rPr>
              <w:t>主要运输光伏组件以及</w:t>
            </w:r>
            <w:r>
              <w:rPr>
                <w:rFonts w:hint="eastAsia"/>
                <w:b w:val="0"/>
                <w:bCs w:val="0"/>
                <w:color w:val="auto"/>
                <w:sz w:val="24"/>
                <w:lang w:val="en-US" w:eastAsia="zh-CN"/>
              </w:rPr>
              <w:t>混凝土、</w:t>
            </w:r>
            <w:r>
              <w:rPr>
                <w:rFonts w:hint="eastAsia"/>
                <w:b w:val="0"/>
                <w:bCs w:val="0"/>
                <w:color w:val="auto"/>
                <w:sz w:val="24"/>
              </w:rPr>
              <w:t>水泥、钢筋、砂石料等施工材料，运输车辆多为大、中型车，设备、材料运输车辆行驶过程中产生交通噪声，对道路沿线敏感点产生一定的影响。</w:t>
            </w:r>
          </w:p>
          <w:p w14:paraId="5437D35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rPr>
            </w:pPr>
            <w:r>
              <w:rPr>
                <w:rFonts w:hint="eastAsia"/>
                <w:b w:val="0"/>
                <w:bCs w:val="0"/>
                <w:color w:val="auto"/>
                <w:sz w:val="24"/>
              </w:rPr>
              <w:t>本项目物料运输需利用当地村道，从声环境保护目标的分布情况来看，</w:t>
            </w:r>
            <w:r>
              <w:rPr>
                <w:rFonts w:hint="eastAsia"/>
                <w:b w:val="0"/>
                <w:bCs w:val="0"/>
                <w:color w:val="auto"/>
                <w:sz w:val="24"/>
                <w:highlight w:val="none"/>
                <w:lang w:val="en-US" w:eastAsia="zh-CN"/>
              </w:rPr>
              <w:t>白石岩村</w:t>
            </w:r>
            <w:r>
              <w:rPr>
                <w:rFonts w:hint="eastAsia"/>
                <w:b w:val="0"/>
                <w:bCs w:val="0"/>
                <w:color w:val="auto"/>
                <w:sz w:val="24"/>
                <w:lang w:val="en-US" w:eastAsia="zh-CN"/>
              </w:rPr>
              <w:t>紧邻</w:t>
            </w:r>
            <w:r>
              <w:rPr>
                <w:rFonts w:hint="eastAsia"/>
                <w:b w:val="0"/>
                <w:bCs w:val="0"/>
                <w:color w:val="auto"/>
                <w:sz w:val="24"/>
              </w:rPr>
              <w:t>运输道路一侧，夜间容易受到交通噪声的影响。由于本工程施工运输交通量</w:t>
            </w:r>
            <w:r>
              <w:rPr>
                <w:rFonts w:hint="eastAsia"/>
                <w:b w:val="0"/>
                <w:bCs w:val="0"/>
                <w:color w:val="auto"/>
                <w:sz w:val="24"/>
                <w:lang w:val="en-US" w:eastAsia="zh-CN"/>
              </w:rPr>
              <w:t>小</w:t>
            </w:r>
            <w:r>
              <w:rPr>
                <w:rFonts w:hint="eastAsia"/>
                <w:b w:val="0"/>
                <w:bCs w:val="0"/>
                <w:color w:val="auto"/>
                <w:sz w:val="24"/>
              </w:rPr>
              <w:t>，交通噪声影响是短暂、非连续的。施工单位施工时需优化运输时间，物料和设备运输应安排在昼间运输，避免夜间运输；途经沿线居民点时注意控制车速、减速慢行，并禁止鸣笛。由于工程运输车流量不大，且运输噪声为短暂影响，施工结束后影响随即消除，在采取以上防治措施后，运输噪声对沿线敏感点声环境的影响在可接受的范围内。</w:t>
            </w:r>
          </w:p>
          <w:p w14:paraId="0A28B0F8">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lang w:eastAsia="zh-CN"/>
              </w:rPr>
            </w:pPr>
            <w:r>
              <w:rPr>
                <w:rFonts w:hint="eastAsia"/>
                <w:b w:val="0"/>
                <w:bCs w:val="0"/>
                <w:color w:val="auto"/>
                <w:sz w:val="24"/>
              </w:rPr>
              <w:t>综上，在严格落实本评价所提出的各项施工期噪声污染防治措施后，项目施工期间噪声对外环境及关心点的影响将达到可以接受的程度范围，并将随施工期的结束而结束</w:t>
            </w:r>
            <w:r>
              <w:rPr>
                <w:rFonts w:hint="eastAsia"/>
                <w:b w:val="0"/>
                <w:bCs w:val="0"/>
                <w:color w:val="auto"/>
                <w:sz w:val="24"/>
                <w:lang w:eastAsia="zh-CN"/>
              </w:rPr>
              <w:t>。</w:t>
            </w:r>
          </w:p>
          <w:p w14:paraId="3B911F0A">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7</w:t>
            </w:r>
            <w:r>
              <w:rPr>
                <w:rFonts w:hint="default"/>
                <w:b/>
                <w:bCs/>
                <w:color w:val="auto"/>
                <w:sz w:val="24"/>
                <w:highlight w:val="none"/>
                <w:shd w:val="clear" w:color="auto" w:fill="auto"/>
              </w:rPr>
              <w:t>）施工期固</w:t>
            </w:r>
            <w:r>
              <w:rPr>
                <w:rFonts w:hint="eastAsia"/>
                <w:b/>
                <w:bCs/>
                <w:color w:val="auto"/>
                <w:sz w:val="24"/>
                <w:highlight w:val="none"/>
                <w:shd w:val="clear" w:color="auto" w:fill="auto"/>
              </w:rPr>
              <w:t>体</w:t>
            </w:r>
            <w:r>
              <w:rPr>
                <w:rFonts w:hint="default"/>
                <w:b/>
                <w:bCs/>
                <w:color w:val="auto"/>
                <w:sz w:val="24"/>
                <w:highlight w:val="none"/>
                <w:shd w:val="clear" w:color="auto" w:fill="auto"/>
              </w:rPr>
              <w:t>废</w:t>
            </w:r>
            <w:r>
              <w:rPr>
                <w:rFonts w:hint="eastAsia"/>
                <w:b/>
                <w:bCs/>
                <w:color w:val="auto"/>
                <w:sz w:val="24"/>
                <w:highlight w:val="none"/>
                <w:shd w:val="clear" w:color="auto" w:fill="auto"/>
              </w:rPr>
              <w:t>物</w:t>
            </w:r>
          </w:p>
          <w:p w14:paraId="0F5E499D">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rPr>
              <w:t>项目施工期固体废物主要为土石方</w:t>
            </w:r>
            <w:r>
              <w:rPr>
                <w:rFonts w:hint="eastAsia"/>
                <w:color w:val="auto"/>
                <w:sz w:val="24"/>
              </w:rPr>
              <w:t>、</w:t>
            </w:r>
            <w:r>
              <w:rPr>
                <w:rFonts w:hint="default"/>
                <w:color w:val="auto"/>
                <w:sz w:val="24"/>
              </w:rPr>
              <w:t>建筑垃圾、</w:t>
            </w:r>
            <w:r>
              <w:rPr>
                <w:rFonts w:hint="eastAsia"/>
                <w:color w:val="auto"/>
                <w:sz w:val="24"/>
              </w:rPr>
              <w:t>废弃设备零件</w:t>
            </w:r>
            <w:r>
              <w:rPr>
                <w:rFonts w:hint="eastAsia"/>
                <w:color w:val="auto"/>
                <w:sz w:val="24"/>
                <w:lang w:val="en-US" w:eastAsia="zh-CN"/>
              </w:rPr>
              <w:t>和</w:t>
            </w:r>
            <w:r>
              <w:rPr>
                <w:rFonts w:hint="default"/>
                <w:color w:val="auto"/>
                <w:sz w:val="24"/>
              </w:rPr>
              <w:t>生活垃圾等。</w:t>
            </w:r>
          </w:p>
          <w:p w14:paraId="0CBD6CCC">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yellow"/>
                <w:shd w:val="clear" w:color="auto" w:fill="auto"/>
              </w:rPr>
            </w:pPr>
            <w:r>
              <w:rPr>
                <w:rFonts w:hint="eastAsia"/>
                <w:color w:val="auto"/>
                <w:sz w:val="24"/>
                <w:highlight w:val="none"/>
                <w:shd w:val="clear" w:color="auto" w:fill="auto"/>
              </w:rPr>
              <w:t>1）</w:t>
            </w:r>
            <w:r>
              <w:rPr>
                <w:rFonts w:hint="default"/>
                <w:color w:val="auto"/>
                <w:sz w:val="24"/>
                <w:highlight w:val="none"/>
                <w:shd w:val="clear" w:color="auto" w:fill="auto"/>
              </w:rPr>
              <w:t>土石方</w:t>
            </w:r>
          </w:p>
          <w:p w14:paraId="3A843244">
            <w:pPr>
              <w:pStyle w:val="140"/>
              <w:keepNext w:val="0"/>
              <w:keepLines w:val="0"/>
              <w:suppressLineNumbers w:val="0"/>
              <w:shd w:val="clear"/>
              <w:spacing w:before="0" w:beforeAutospacing="0" w:after="0" w:afterAutospacing="0" w:line="360" w:lineRule="auto"/>
              <w:ind w:left="0" w:right="0" w:firstLine="480"/>
              <w:rPr>
                <w:rFonts w:hint="default"/>
                <w:color w:val="auto"/>
                <w:sz w:val="24"/>
                <w:szCs w:val="24"/>
                <w:highlight w:val="none"/>
                <w:shd w:val="clear" w:color="auto" w:fill="auto"/>
              </w:rPr>
            </w:pPr>
            <w:r>
              <w:rPr>
                <w:rFonts w:hint="eastAsia"/>
                <w:color w:val="auto"/>
                <w:sz w:val="24"/>
                <w:szCs w:val="24"/>
                <w:highlight w:val="none"/>
                <w:shd w:val="clear" w:color="auto" w:fill="auto"/>
                <w:lang w:val="en-US" w:eastAsia="zh-CN"/>
              </w:rPr>
              <w:t>根据</w:t>
            </w:r>
            <w:r>
              <w:rPr>
                <w:rFonts w:hint="default"/>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default"/>
                <w:color w:val="auto"/>
                <w:sz w:val="24"/>
                <w:szCs w:val="24"/>
                <w:highlight w:val="none"/>
                <w:shd w:val="clear" w:color="auto" w:fill="auto"/>
              </w:rPr>
              <w:t>水土保持方案报告书》</w:t>
            </w:r>
            <w:r>
              <w:rPr>
                <w:rFonts w:hint="eastAsia"/>
                <w:color w:val="auto"/>
                <w:sz w:val="24"/>
                <w:szCs w:val="24"/>
                <w:highlight w:val="none"/>
                <w:shd w:val="clear" w:color="auto" w:fill="auto"/>
                <w:lang w:eastAsia="zh-CN"/>
              </w:rPr>
              <w:t>，</w:t>
            </w:r>
            <w:r>
              <w:rPr>
                <w:rFonts w:hint="default"/>
                <w:color w:val="auto"/>
                <w:sz w:val="24"/>
                <w:szCs w:val="24"/>
              </w:rPr>
              <w:t>项目建设过程中共产生开挖土石方1.556万m</w:t>
            </w:r>
            <w:r>
              <w:rPr>
                <w:rFonts w:hint="default"/>
                <w:color w:val="auto"/>
                <w:sz w:val="24"/>
                <w:szCs w:val="24"/>
                <w:vertAlign w:val="superscript"/>
              </w:rPr>
              <w:t>3</w:t>
            </w:r>
            <w:r>
              <w:rPr>
                <w:rFonts w:hint="default"/>
                <w:color w:val="auto"/>
                <w:sz w:val="24"/>
                <w:szCs w:val="24"/>
              </w:rPr>
              <w:t>（其中表土剥离0.086万m</w:t>
            </w:r>
            <w:r>
              <w:rPr>
                <w:rFonts w:hint="default"/>
                <w:color w:val="auto"/>
                <w:sz w:val="24"/>
                <w:szCs w:val="24"/>
                <w:vertAlign w:val="superscript"/>
              </w:rPr>
              <w:t>3</w:t>
            </w:r>
            <w:r>
              <w:rPr>
                <w:rFonts w:hint="default"/>
                <w:color w:val="auto"/>
                <w:sz w:val="24"/>
                <w:szCs w:val="24"/>
              </w:rPr>
              <w:t>、一般土石方开挖1.47万m</w:t>
            </w:r>
            <w:r>
              <w:rPr>
                <w:rFonts w:hint="default"/>
                <w:color w:val="auto"/>
                <w:sz w:val="24"/>
                <w:szCs w:val="24"/>
                <w:vertAlign w:val="superscript"/>
              </w:rPr>
              <w:t>3</w:t>
            </w:r>
            <w:r>
              <w:rPr>
                <w:rFonts w:hint="default"/>
                <w:color w:val="auto"/>
                <w:sz w:val="24"/>
                <w:szCs w:val="24"/>
              </w:rPr>
              <w:t>），土石方回填总量1.556万m</w:t>
            </w:r>
            <w:r>
              <w:rPr>
                <w:rFonts w:hint="default"/>
                <w:color w:val="auto"/>
                <w:sz w:val="24"/>
                <w:szCs w:val="24"/>
                <w:vertAlign w:val="superscript"/>
              </w:rPr>
              <w:t>3</w:t>
            </w:r>
            <w:r>
              <w:rPr>
                <w:rFonts w:hint="default"/>
                <w:color w:val="auto"/>
                <w:sz w:val="24"/>
                <w:szCs w:val="24"/>
              </w:rPr>
              <w:t>（其中绿化覆土0.086万m</w:t>
            </w:r>
            <w:r>
              <w:rPr>
                <w:rFonts w:hint="default"/>
                <w:color w:val="auto"/>
                <w:sz w:val="24"/>
                <w:szCs w:val="24"/>
                <w:vertAlign w:val="superscript"/>
              </w:rPr>
              <w:t>3</w:t>
            </w:r>
            <w:r>
              <w:rPr>
                <w:rFonts w:hint="default"/>
                <w:color w:val="auto"/>
                <w:sz w:val="24"/>
                <w:szCs w:val="24"/>
              </w:rPr>
              <w:t>、场平回填1.47万m</w:t>
            </w:r>
            <w:r>
              <w:rPr>
                <w:rFonts w:hint="default"/>
                <w:color w:val="auto"/>
                <w:sz w:val="24"/>
                <w:szCs w:val="24"/>
                <w:vertAlign w:val="superscript"/>
              </w:rPr>
              <w:t>3</w:t>
            </w:r>
            <w:r>
              <w:rPr>
                <w:rFonts w:hint="default"/>
                <w:color w:val="auto"/>
                <w:sz w:val="24"/>
                <w:szCs w:val="24"/>
              </w:rPr>
              <w:t>），工程建设无外借土石方和永久弃方。</w:t>
            </w:r>
          </w:p>
          <w:p w14:paraId="429D5CA2">
            <w:pPr>
              <w:keepNext w:val="0"/>
              <w:keepLines w:val="0"/>
              <w:suppressLineNumbers w:val="0"/>
              <w:shd w:val="clear"/>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szCs w:val="24"/>
                <w:highlight w:val="none"/>
                <w:shd w:val="clear" w:color="auto" w:fill="auto"/>
              </w:rPr>
              <w:t>土石方平衡及流向见表</w:t>
            </w:r>
            <w:r>
              <w:rPr>
                <w:rFonts w:hint="default"/>
                <w:color w:val="auto"/>
                <w:kern w:val="0"/>
                <w:sz w:val="24"/>
                <w:szCs w:val="24"/>
                <w:highlight w:val="none"/>
                <w:shd w:val="clear" w:color="auto" w:fill="auto"/>
              </w:rPr>
              <w:t>4-</w:t>
            </w:r>
            <w:r>
              <w:rPr>
                <w:rFonts w:hint="eastAsia"/>
                <w:color w:val="auto"/>
                <w:kern w:val="0"/>
                <w:sz w:val="24"/>
                <w:szCs w:val="24"/>
                <w:highlight w:val="none"/>
                <w:shd w:val="clear" w:color="auto" w:fill="auto"/>
                <w:lang w:val="en-US" w:eastAsia="zh-CN"/>
              </w:rPr>
              <w:t>8</w:t>
            </w:r>
            <w:r>
              <w:rPr>
                <w:rFonts w:hint="eastAsia"/>
                <w:color w:val="auto"/>
                <w:kern w:val="0"/>
                <w:sz w:val="24"/>
                <w:szCs w:val="24"/>
                <w:highlight w:val="none"/>
                <w:shd w:val="clear" w:color="auto" w:fill="auto"/>
              </w:rPr>
              <w:t>。</w:t>
            </w:r>
          </w:p>
          <w:p w14:paraId="2393B628">
            <w:pPr>
              <w:keepNext w:val="0"/>
              <w:keepLines w:val="0"/>
              <w:widowControl/>
              <w:suppressLineNumbers w:val="0"/>
              <w:shd w:val="clear"/>
              <w:spacing w:before="0" w:beforeAutospacing="0" w:after="0" w:afterAutospacing="0"/>
              <w:ind w:left="0" w:right="0"/>
              <w:jc w:val="center"/>
              <w:rPr>
                <w:rFonts w:hint="default"/>
                <w:color w:val="auto"/>
                <w:sz w:val="24"/>
                <w:highlight w:val="none"/>
                <w:shd w:val="clear" w:color="auto" w:fill="auto"/>
              </w:rPr>
            </w:pPr>
            <w:r>
              <w:rPr>
                <w:rFonts w:hint="eastAsia" w:ascii="宋体" w:hAnsi="宋体" w:cs="宋体"/>
                <w:b/>
                <w:bCs/>
                <w:color w:val="auto"/>
                <w:kern w:val="0"/>
                <w:szCs w:val="21"/>
                <w:highlight w:val="none"/>
                <w:shd w:val="clear" w:color="auto" w:fill="auto"/>
                <w:lang w:bidi="ar"/>
              </w:rPr>
              <w:t>表</w:t>
            </w:r>
            <w:r>
              <w:rPr>
                <w:rFonts w:hint="default"/>
                <w:b/>
                <w:bCs/>
                <w:color w:val="auto"/>
                <w:kern w:val="0"/>
                <w:szCs w:val="21"/>
                <w:highlight w:val="none"/>
                <w:shd w:val="clear" w:color="auto" w:fill="auto"/>
                <w:lang w:bidi="ar"/>
              </w:rPr>
              <w:t>4-</w:t>
            </w:r>
            <w:r>
              <w:rPr>
                <w:rFonts w:hint="eastAsia"/>
                <w:b/>
                <w:bCs/>
                <w:color w:val="auto"/>
                <w:kern w:val="0"/>
                <w:szCs w:val="21"/>
                <w:highlight w:val="none"/>
                <w:shd w:val="clear" w:color="auto" w:fill="auto"/>
                <w:lang w:val="en-US" w:eastAsia="zh-CN" w:bidi="ar"/>
              </w:rPr>
              <w:t>8</w:t>
            </w:r>
            <w:r>
              <w:rPr>
                <w:rFonts w:hint="eastAsia"/>
                <w:b/>
                <w:bCs/>
                <w:color w:val="auto"/>
                <w:kern w:val="0"/>
                <w:szCs w:val="21"/>
                <w:highlight w:val="none"/>
                <w:shd w:val="clear" w:color="auto" w:fill="auto"/>
                <w:lang w:bidi="ar"/>
              </w:rPr>
              <w:t xml:space="preserve"> </w:t>
            </w:r>
            <w:r>
              <w:rPr>
                <w:rFonts w:hint="default"/>
                <w:b/>
                <w:bCs/>
                <w:color w:val="auto"/>
                <w:kern w:val="0"/>
                <w:szCs w:val="21"/>
                <w:highlight w:val="none"/>
                <w:shd w:val="clear" w:color="auto" w:fill="auto"/>
                <w:lang w:bidi="ar"/>
              </w:rPr>
              <w:t xml:space="preserve"> </w:t>
            </w:r>
            <w:r>
              <w:rPr>
                <w:rFonts w:hint="eastAsia" w:ascii="宋体" w:hAnsi="宋体" w:cs="宋体"/>
                <w:b/>
                <w:bCs/>
                <w:color w:val="auto"/>
                <w:kern w:val="0"/>
                <w:szCs w:val="21"/>
                <w:highlight w:val="none"/>
                <w:shd w:val="clear" w:color="auto" w:fill="auto"/>
                <w:lang w:bidi="ar"/>
              </w:rPr>
              <w:t>土石方平衡及流向一览表  单位：</w:t>
            </w:r>
            <w:r>
              <w:rPr>
                <w:rFonts w:hint="default"/>
                <w:b/>
                <w:bCs/>
                <w:color w:val="auto"/>
                <w:kern w:val="0"/>
                <w:szCs w:val="21"/>
                <w:highlight w:val="none"/>
                <w:shd w:val="clear" w:color="auto" w:fill="auto"/>
                <w:lang w:bidi="ar"/>
              </w:rPr>
              <w:t>万m</w:t>
            </w:r>
            <w:r>
              <w:rPr>
                <w:rFonts w:hint="default"/>
                <w:b/>
                <w:bCs/>
                <w:color w:val="auto"/>
                <w:kern w:val="0"/>
                <w:szCs w:val="21"/>
                <w:highlight w:val="none"/>
                <w:shd w:val="clear" w:color="auto" w:fill="auto"/>
                <w:vertAlign w:val="superscript"/>
                <w:lang w:bidi="ar"/>
              </w:rPr>
              <w:t>3</w:t>
            </w:r>
          </w:p>
          <w:tbl>
            <w:tblPr>
              <w:tblStyle w:val="42"/>
              <w:tblW w:w="4993"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64"/>
              <w:gridCol w:w="862"/>
              <w:gridCol w:w="1349"/>
              <w:gridCol w:w="644"/>
              <w:gridCol w:w="862"/>
              <w:gridCol w:w="1187"/>
              <w:gridCol w:w="645"/>
            </w:tblGrid>
            <w:tr w14:paraId="12BA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restart"/>
                  <w:shd w:val="clear" w:color="auto" w:fill="auto"/>
                  <w:noWrap/>
                  <w:vAlign w:val="center"/>
                </w:tcPr>
                <w:p w14:paraId="74447D68">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项目分区</w:t>
                  </w:r>
                </w:p>
              </w:tc>
              <w:tc>
                <w:tcPr>
                  <w:tcW w:w="1050" w:type="pct"/>
                  <w:vMerge w:val="restart"/>
                  <w:shd w:val="clear" w:color="auto" w:fill="auto"/>
                  <w:noWrap/>
                  <w:vAlign w:val="center"/>
                </w:tcPr>
                <w:p w14:paraId="4F8046E8">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分类</w:t>
                  </w:r>
                </w:p>
              </w:tc>
              <w:tc>
                <w:tcPr>
                  <w:tcW w:w="1801" w:type="pct"/>
                  <w:gridSpan w:val="3"/>
                  <w:shd w:val="clear" w:color="auto" w:fill="auto"/>
                  <w:vAlign w:val="center"/>
                </w:tcPr>
                <w:p w14:paraId="193BD62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挖方</w:t>
                  </w:r>
                </w:p>
              </w:tc>
              <w:tc>
                <w:tcPr>
                  <w:tcW w:w="1700" w:type="pct"/>
                  <w:gridSpan w:val="3"/>
                  <w:shd w:val="clear" w:color="auto" w:fill="auto"/>
                  <w:noWrap/>
                  <w:vAlign w:val="center"/>
                </w:tcPr>
                <w:p w14:paraId="52CC2377">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填方</w:t>
                  </w:r>
                </w:p>
              </w:tc>
            </w:tr>
            <w:tr w14:paraId="5C80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45EBC093">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p>
              </w:tc>
              <w:tc>
                <w:tcPr>
                  <w:tcW w:w="1050" w:type="pct"/>
                  <w:vMerge w:val="continue"/>
                  <w:shd w:val="clear" w:color="auto" w:fill="auto"/>
                  <w:vAlign w:val="center"/>
                </w:tcPr>
                <w:p w14:paraId="6152F598">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p>
              </w:tc>
              <w:tc>
                <w:tcPr>
                  <w:tcW w:w="544" w:type="pct"/>
                  <w:shd w:val="clear" w:color="auto" w:fill="auto"/>
                  <w:noWrap/>
                  <w:vAlign w:val="center"/>
                </w:tcPr>
                <w:p w14:paraId="3D4EACE9">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表土剥离</w:t>
                  </w:r>
                </w:p>
              </w:tc>
              <w:tc>
                <w:tcPr>
                  <w:tcW w:w="851" w:type="pct"/>
                  <w:shd w:val="clear" w:color="auto" w:fill="auto"/>
                  <w:noWrap/>
                  <w:vAlign w:val="center"/>
                </w:tcPr>
                <w:p w14:paraId="563E0B54">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一般土石方开挖</w:t>
                  </w:r>
                </w:p>
              </w:tc>
              <w:tc>
                <w:tcPr>
                  <w:tcW w:w="405" w:type="pct"/>
                  <w:shd w:val="clear" w:color="auto" w:fill="auto"/>
                  <w:noWrap/>
                  <w:vAlign w:val="center"/>
                </w:tcPr>
                <w:p w14:paraId="162E2ED1">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小计</w:t>
                  </w:r>
                </w:p>
              </w:tc>
              <w:tc>
                <w:tcPr>
                  <w:tcW w:w="544" w:type="pct"/>
                  <w:shd w:val="clear" w:color="auto" w:fill="auto"/>
                  <w:noWrap/>
                  <w:vAlign w:val="center"/>
                </w:tcPr>
                <w:p w14:paraId="045BCC8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绿化覆土</w:t>
                  </w:r>
                </w:p>
              </w:tc>
              <w:tc>
                <w:tcPr>
                  <w:tcW w:w="749" w:type="pct"/>
                  <w:shd w:val="clear" w:color="auto" w:fill="auto"/>
                  <w:noWrap/>
                  <w:vAlign w:val="center"/>
                </w:tcPr>
                <w:p w14:paraId="7C953D34">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场平回填利用</w:t>
                  </w:r>
                </w:p>
              </w:tc>
              <w:tc>
                <w:tcPr>
                  <w:tcW w:w="405" w:type="pct"/>
                  <w:shd w:val="clear" w:color="auto" w:fill="auto"/>
                  <w:noWrap/>
                  <w:vAlign w:val="center"/>
                </w:tcPr>
                <w:p w14:paraId="560B46A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小计</w:t>
                  </w:r>
                </w:p>
              </w:tc>
            </w:tr>
            <w:tr w14:paraId="69A7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restart"/>
                  <w:shd w:val="clear" w:color="auto" w:fill="auto"/>
                  <w:noWrap/>
                  <w:vAlign w:val="center"/>
                </w:tcPr>
                <w:p w14:paraId="77234F56">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光伏发电区</w:t>
                  </w:r>
                </w:p>
              </w:tc>
              <w:tc>
                <w:tcPr>
                  <w:tcW w:w="1050" w:type="pct"/>
                  <w:shd w:val="clear" w:color="auto" w:fill="auto"/>
                  <w:noWrap/>
                  <w:vAlign w:val="center"/>
                </w:tcPr>
                <w:p w14:paraId="17BE8653">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光伏板支架基础</w:t>
                  </w:r>
                </w:p>
              </w:tc>
              <w:tc>
                <w:tcPr>
                  <w:tcW w:w="544" w:type="pct"/>
                  <w:shd w:val="clear" w:color="auto" w:fill="auto"/>
                  <w:noWrap/>
                  <w:vAlign w:val="center"/>
                </w:tcPr>
                <w:p w14:paraId="40415196">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851" w:type="pct"/>
                  <w:shd w:val="clear" w:color="auto" w:fill="auto"/>
                  <w:noWrap/>
                  <w:vAlign w:val="center"/>
                </w:tcPr>
                <w:p w14:paraId="10D1A150">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0.33</w:t>
                  </w:r>
                </w:p>
              </w:tc>
              <w:tc>
                <w:tcPr>
                  <w:tcW w:w="405" w:type="pct"/>
                  <w:shd w:val="clear" w:color="auto" w:fill="auto"/>
                  <w:noWrap/>
                  <w:vAlign w:val="center"/>
                </w:tcPr>
                <w:p w14:paraId="3A900C21">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0.33</w:t>
                  </w:r>
                </w:p>
              </w:tc>
              <w:tc>
                <w:tcPr>
                  <w:tcW w:w="544" w:type="pct"/>
                  <w:shd w:val="clear" w:color="auto" w:fill="auto"/>
                  <w:noWrap/>
                  <w:vAlign w:val="center"/>
                </w:tcPr>
                <w:p w14:paraId="302BD1C1">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749" w:type="pct"/>
                  <w:shd w:val="clear" w:color="auto" w:fill="auto"/>
                  <w:noWrap/>
                  <w:vAlign w:val="center"/>
                </w:tcPr>
                <w:p w14:paraId="5A900654">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0.33</w:t>
                  </w:r>
                </w:p>
              </w:tc>
              <w:tc>
                <w:tcPr>
                  <w:tcW w:w="405" w:type="pct"/>
                  <w:shd w:val="clear" w:color="auto" w:fill="auto"/>
                  <w:noWrap/>
                  <w:vAlign w:val="center"/>
                </w:tcPr>
                <w:p w14:paraId="2691747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0.33</w:t>
                  </w:r>
                </w:p>
              </w:tc>
            </w:tr>
            <w:tr w14:paraId="1DA2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1FEDD2D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1050" w:type="pct"/>
                  <w:shd w:val="clear" w:color="auto" w:fill="auto"/>
                  <w:noWrap/>
                  <w:vAlign w:val="center"/>
                </w:tcPr>
                <w:p w14:paraId="19FEAB6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接地工程</w:t>
                  </w:r>
                </w:p>
              </w:tc>
              <w:tc>
                <w:tcPr>
                  <w:tcW w:w="544" w:type="pct"/>
                  <w:shd w:val="clear" w:color="auto" w:fill="auto"/>
                  <w:noWrap/>
                  <w:vAlign w:val="center"/>
                </w:tcPr>
                <w:p w14:paraId="6F49EDE3">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851" w:type="pct"/>
                  <w:shd w:val="clear" w:color="auto" w:fill="auto"/>
                  <w:noWrap/>
                  <w:vAlign w:val="center"/>
                </w:tcPr>
                <w:p w14:paraId="38A5351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w:t>
                  </w:r>
                </w:p>
              </w:tc>
              <w:tc>
                <w:tcPr>
                  <w:tcW w:w="405" w:type="pct"/>
                  <w:shd w:val="clear" w:color="auto" w:fill="auto"/>
                  <w:noWrap/>
                  <w:vAlign w:val="center"/>
                </w:tcPr>
                <w:p w14:paraId="71FBE29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w:t>
                  </w:r>
                </w:p>
              </w:tc>
              <w:tc>
                <w:tcPr>
                  <w:tcW w:w="544" w:type="pct"/>
                  <w:shd w:val="clear" w:color="auto" w:fill="auto"/>
                  <w:noWrap/>
                  <w:vAlign w:val="center"/>
                </w:tcPr>
                <w:p w14:paraId="084B7FD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749" w:type="pct"/>
                  <w:shd w:val="clear" w:color="auto" w:fill="auto"/>
                  <w:noWrap/>
                  <w:vAlign w:val="center"/>
                </w:tcPr>
                <w:p w14:paraId="4127546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w:t>
                  </w:r>
                </w:p>
              </w:tc>
              <w:tc>
                <w:tcPr>
                  <w:tcW w:w="405" w:type="pct"/>
                  <w:shd w:val="clear" w:color="auto" w:fill="auto"/>
                  <w:noWrap/>
                  <w:vAlign w:val="center"/>
                </w:tcPr>
                <w:p w14:paraId="56F8004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w:t>
                  </w:r>
                </w:p>
              </w:tc>
            </w:tr>
            <w:tr w14:paraId="7AEF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4E25EA60">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1050" w:type="pct"/>
                  <w:shd w:val="clear" w:color="auto" w:fill="auto"/>
                  <w:noWrap/>
                  <w:vAlign w:val="center"/>
                </w:tcPr>
                <w:p w14:paraId="68A8A35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35k</w:t>
                  </w:r>
                  <w:r>
                    <w:rPr>
                      <w:rFonts w:hint="eastAsia" w:eastAsia="宋体" w:cs="Times New Roman"/>
                      <w:color w:val="auto"/>
                      <w:sz w:val="18"/>
                      <w:szCs w:val="18"/>
                      <w:lang w:val="en-US" w:eastAsia="zh-CN"/>
                    </w:rPr>
                    <w:t>V</w:t>
                  </w:r>
                  <w:r>
                    <w:rPr>
                      <w:rFonts w:hint="default" w:ascii="Times New Roman" w:hAnsi="Times New Roman" w:eastAsia="宋体" w:cs="Times New Roman"/>
                      <w:color w:val="auto"/>
                      <w:sz w:val="18"/>
                      <w:szCs w:val="18"/>
                    </w:rPr>
                    <w:t>箱变</w:t>
                  </w:r>
                </w:p>
              </w:tc>
              <w:tc>
                <w:tcPr>
                  <w:tcW w:w="544" w:type="pct"/>
                  <w:shd w:val="clear" w:color="auto" w:fill="auto"/>
                  <w:noWrap/>
                  <w:vAlign w:val="center"/>
                </w:tcPr>
                <w:p w14:paraId="6DF81889">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0.006</w:t>
                  </w:r>
                </w:p>
              </w:tc>
              <w:tc>
                <w:tcPr>
                  <w:tcW w:w="851" w:type="pct"/>
                  <w:shd w:val="clear" w:color="auto" w:fill="auto"/>
                  <w:noWrap/>
                  <w:vAlign w:val="center"/>
                </w:tcPr>
                <w:p w14:paraId="1479D6D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05" w:type="pct"/>
                  <w:shd w:val="clear" w:color="auto" w:fill="auto"/>
                  <w:noWrap/>
                  <w:vAlign w:val="center"/>
                </w:tcPr>
                <w:p w14:paraId="42F01EF6">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0.026</w:t>
                  </w:r>
                </w:p>
              </w:tc>
              <w:tc>
                <w:tcPr>
                  <w:tcW w:w="544" w:type="pct"/>
                  <w:shd w:val="clear" w:color="auto" w:fill="auto"/>
                  <w:noWrap/>
                  <w:vAlign w:val="center"/>
                </w:tcPr>
                <w:p w14:paraId="48728B7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0.006</w:t>
                  </w:r>
                </w:p>
              </w:tc>
              <w:tc>
                <w:tcPr>
                  <w:tcW w:w="749" w:type="pct"/>
                  <w:shd w:val="clear" w:color="auto" w:fill="auto"/>
                  <w:noWrap/>
                  <w:vAlign w:val="center"/>
                </w:tcPr>
                <w:p w14:paraId="68D7DACF">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05" w:type="pct"/>
                  <w:shd w:val="clear" w:color="auto" w:fill="auto"/>
                  <w:noWrap/>
                  <w:vAlign w:val="center"/>
                </w:tcPr>
                <w:p w14:paraId="249A6A5A">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0.026</w:t>
                  </w:r>
                </w:p>
              </w:tc>
            </w:tr>
            <w:tr w14:paraId="3AD2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14:paraId="578DF3FE">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p>
              </w:tc>
              <w:tc>
                <w:tcPr>
                  <w:tcW w:w="1050" w:type="pct"/>
                  <w:shd w:val="clear" w:color="auto" w:fill="auto"/>
                  <w:noWrap/>
                  <w:vAlign w:val="center"/>
                </w:tcPr>
                <w:p w14:paraId="7BD6481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w:t>
                  </w:r>
                  <w:r>
                    <w:rPr>
                      <w:rFonts w:hint="eastAsia" w:ascii="Times New Roman" w:hAnsi="Times New Roman" w:eastAsia="宋体" w:cs="Times New Roman"/>
                      <w:color w:val="auto"/>
                      <w:sz w:val="18"/>
                      <w:szCs w:val="18"/>
                      <w:lang w:val="en-US" w:eastAsia="zh-CN"/>
                    </w:rPr>
                    <w:t>场地</w:t>
                  </w:r>
                  <w:r>
                    <w:rPr>
                      <w:rFonts w:hint="default" w:ascii="Times New Roman" w:hAnsi="Times New Roman" w:eastAsia="宋体" w:cs="Times New Roman"/>
                      <w:color w:val="auto"/>
                      <w:sz w:val="18"/>
                      <w:szCs w:val="18"/>
                    </w:rPr>
                    <w:t>区</w:t>
                  </w:r>
                </w:p>
              </w:tc>
              <w:tc>
                <w:tcPr>
                  <w:tcW w:w="544" w:type="pct"/>
                  <w:shd w:val="clear" w:color="auto" w:fill="auto"/>
                  <w:noWrap/>
                  <w:vAlign w:val="center"/>
                </w:tcPr>
                <w:p w14:paraId="66996F80">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w:t>
                  </w:r>
                </w:p>
              </w:tc>
              <w:tc>
                <w:tcPr>
                  <w:tcW w:w="851" w:type="pct"/>
                  <w:shd w:val="clear" w:color="auto" w:fill="auto"/>
                  <w:noWrap/>
                  <w:vAlign w:val="center"/>
                </w:tcPr>
                <w:p w14:paraId="27578227">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c>
                <w:tcPr>
                  <w:tcW w:w="405" w:type="pct"/>
                  <w:shd w:val="clear" w:color="auto" w:fill="auto"/>
                  <w:noWrap/>
                  <w:vAlign w:val="center"/>
                </w:tcPr>
                <w:p w14:paraId="6328E749">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0.18</w:t>
                  </w:r>
                </w:p>
              </w:tc>
              <w:tc>
                <w:tcPr>
                  <w:tcW w:w="544" w:type="pct"/>
                  <w:shd w:val="clear" w:color="auto" w:fill="auto"/>
                  <w:noWrap/>
                  <w:vAlign w:val="center"/>
                </w:tcPr>
                <w:p w14:paraId="333DC28C">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w:t>
                  </w:r>
                </w:p>
              </w:tc>
              <w:tc>
                <w:tcPr>
                  <w:tcW w:w="749" w:type="pct"/>
                  <w:shd w:val="clear" w:color="auto" w:fill="auto"/>
                  <w:noWrap/>
                  <w:vAlign w:val="center"/>
                </w:tcPr>
                <w:p w14:paraId="635D455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c>
                <w:tcPr>
                  <w:tcW w:w="405" w:type="pct"/>
                  <w:shd w:val="clear" w:color="auto" w:fill="auto"/>
                  <w:noWrap/>
                  <w:vAlign w:val="center"/>
                </w:tcPr>
                <w:p w14:paraId="0C39AADE">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0.18</w:t>
                  </w:r>
                </w:p>
              </w:tc>
            </w:tr>
            <w:tr w14:paraId="7084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8" w:type="pct"/>
                  <w:gridSpan w:val="2"/>
                  <w:shd w:val="clear" w:color="auto" w:fill="auto"/>
                  <w:noWrap/>
                  <w:vAlign w:val="center"/>
                </w:tcPr>
                <w:p w14:paraId="3EAEDA4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合计</w:t>
                  </w:r>
                </w:p>
              </w:tc>
              <w:tc>
                <w:tcPr>
                  <w:tcW w:w="544" w:type="pct"/>
                  <w:shd w:val="clear" w:color="auto" w:fill="auto"/>
                  <w:noWrap/>
                  <w:vAlign w:val="center"/>
                </w:tcPr>
                <w:p w14:paraId="69EFEC9D">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0.086</w:t>
                  </w:r>
                </w:p>
              </w:tc>
              <w:tc>
                <w:tcPr>
                  <w:tcW w:w="851" w:type="pct"/>
                  <w:shd w:val="clear" w:color="auto" w:fill="auto"/>
                  <w:noWrap/>
                  <w:vAlign w:val="center"/>
                </w:tcPr>
                <w:p w14:paraId="0C80CC9E">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1.47</w:t>
                  </w:r>
                </w:p>
              </w:tc>
              <w:tc>
                <w:tcPr>
                  <w:tcW w:w="405" w:type="pct"/>
                  <w:shd w:val="clear" w:color="auto" w:fill="auto"/>
                  <w:noWrap/>
                  <w:vAlign w:val="center"/>
                </w:tcPr>
                <w:p w14:paraId="54E82995">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1.556</w:t>
                  </w:r>
                </w:p>
              </w:tc>
              <w:tc>
                <w:tcPr>
                  <w:tcW w:w="544" w:type="pct"/>
                  <w:shd w:val="clear" w:color="auto" w:fill="auto"/>
                  <w:noWrap/>
                  <w:vAlign w:val="center"/>
                </w:tcPr>
                <w:p w14:paraId="0F03F32C">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0.086</w:t>
                  </w:r>
                </w:p>
              </w:tc>
              <w:tc>
                <w:tcPr>
                  <w:tcW w:w="749" w:type="pct"/>
                  <w:shd w:val="clear" w:color="auto" w:fill="auto"/>
                  <w:noWrap/>
                  <w:vAlign w:val="center"/>
                </w:tcPr>
                <w:p w14:paraId="3349596B">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1.47</w:t>
                  </w:r>
                </w:p>
              </w:tc>
              <w:tc>
                <w:tcPr>
                  <w:tcW w:w="405" w:type="pct"/>
                  <w:shd w:val="clear" w:color="auto" w:fill="auto"/>
                  <w:noWrap/>
                  <w:vAlign w:val="center"/>
                </w:tcPr>
                <w:p w14:paraId="6DD86577">
                  <w:pPr>
                    <w:pStyle w:val="1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1.556</w:t>
                  </w:r>
                </w:p>
              </w:tc>
            </w:tr>
          </w:tbl>
          <w:p w14:paraId="0FE6BA5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highlight w:val="none"/>
                <w:shd w:val="clear" w:color="auto" w:fill="auto"/>
              </w:rPr>
            </w:pPr>
            <w:r>
              <w:rPr>
                <w:rFonts w:hint="eastAsia"/>
                <w:color w:val="auto"/>
                <w:sz w:val="24"/>
                <w:highlight w:val="none"/>
                <w:shd w:val="clear" w:color="auto" w:fill="auto"/>
              </w:rPr>
              <w:t>2）</w:t>
            </w:r>
            <w:r>
              <w:rPr>
                <w:rFonts w:hint="default" w:hAnsi="宋体"/>
                <w:color w:val="auto"/>
                <w:sz w:val="24"/>
                <w:highlight w:val="none"/>
                <w:shd w:val="clear" w:color="auto" w:fill="auto"/>
              </w:rPr>
              <w:t>建筑垃圾</w:t>
            </w:r>
          </w:p>
          <w:p w14:paraId="43F702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lang w:val="en-US" w:eastAsia="zh-CN"/>
              </w:rPr>
              <w:t>施工建筑垃圾包括石料、砂、包装袋等；石料、砂等集中收集，运至周边运输道路进行回填；废钢筋、包装袋等回收利用。严格执行《昆明市城市建筑垃圾管理实施办法实施细则（修订）》（</w:t>
            </w:r>
            <w:r>
              <w:rPr>
                <w:rFonts w:hint="default"/>
                <w:color w:val="auto"/>
                <w:sz w:val="24"/>
                <w:lang w:val="en-US" w:eastAsia="zh-CN"/>
              </w:rPr>
              <w:t>2018</w:t>
            </w:r>
            <w:r>
              <w:rPr>
                <w:rFonts w:hint="eastAsia"/>
                <w:color w:val="auto"/>
                <w:sz w:val="24"/>
                <w:lang w:val="en-US" w:eastAsia="zh-CN"/>
              </w:rPr>
              <w:t xml:space="preserve">年），建筑垃圾分类收集，能利用部分外售收购商进行回收利用，不可回收部分委托有资质单位清运至政府部门指定的场所进行处置，禁止乱堆乱倒。 </w:t>
            </w:r>
          </w:p>
          <w:p w14:paraId="69AE53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lang w:val="en-US" w:eastAsia="zh-CN"/>
              </w:rPr>
              <w:t>施工建筑垃圾妥善处置，对周边环境影响较小。</w:t>
            </w:r>
          </w:p>
          <w:p w14:paraId="0C1D104C">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3）</w:t>
            </w:r>
            <w:r>
              <w:rPr>
                <w:rFonts w:hint="default" w:hAnsi="宋体"/>
                <w:color w:val="auto"/>
                <w:sz w:val="24"/>
                <w:highlight w:val="none"/>
                <w:shd w:val="clear" w:color="auto" w:fill="auto"/>
              </w:rPr>
              <w:t>生活垃圾</w:t>
            </w:r>
          </w:p>
          <w:p w14:paraId="0AAEB053">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auto"/>
                <w:sz w:val="24"/>
                <w:highlight w:val="none"/>
              </w:rPr>
            </w:pPr>
            <w:r>
              <w:rPr>
                <w:rFonts w:hint="default" w:hAnsi="宋体"/>
                <w:color w:val="auto"/>
                <w:sz w:val="24"/>
                <w:highlight w:val="none"/>
              </w:rPr>
              <w:t>项目</w:t>
            </w:r>
            <w:r>
              <w:rPr>
                <w:rFonts w:hint="eastAsia" w:hAnsi="宋体"/>
                <w:color w:val="auto"/>
                <w:sz w:val="24"/>
                <w:highlight w:val="none"/>
              </w:rPr>
              <w:t>施工高峰期</w:t>
            </w:r>
            <w:r>
              <w:rPr>
                <w:rFonts w:hint="default" w:hAnsi="宋体"/>
                <w:color w:val="auto"/>
                <w:sz w:val="24"/>
                <w:highlight w:val="none"/>
              </w:rPr>
              <w:t>施工人员为</w:t>
            </w:r>
            <w:r>
              <w:rPr>
                <w:rFonts w:hint="eastAsia" w:hAnsi="宋体"/>
                <w:color w:val="auto"/>
                <w:sz w:val="24"/>
                <w:highlight w:val="none"/>
                <w:lang w:val="en-US" w:eastAsia="zh-CN"/>
              </w:rPr>
              <w:t>200</w:t>
            </w:r>
            <w:r>
              <w:rPr>
                <w:rFonts w:hint="default" w:hAnsi="宋体"/>
                <w:color w:val="auto"/>
                <w:sz w:val="24"/>
                <w:highlight w:val="none"/>
              </w:rPr>
              <w:t>人，</w:t>
            </w:r>
            <w:r>
              <w:rPr>
                <w:rFonts w:hint="eastAsia" w:hAnsi="宋体"/>
                <w:color w:val="auto"/>
                <w:sz w:val="24"/>
                <w:highlight w:val="none"/>
                <w:lang w:eastAsia="zh-CN"/>
              </w:rPr>
              <w:t>不</w:t>
            </w:r>
            <w:r>
              <w:rPr>
                <w:rFonts w:hint="default"/>
                <w:color w:val="auto"/>
                <w:sz w:val="24"/>
                <w:highlight w:val="none"/>
              </w:rPr>
              <w:t>在</w:t>
            </w:r>
            <w:r>
              <w:rPr>
                <w:rFonts w:hint="eastAsia"/>
                <w:color w:val="auto"/>
                <w:sz w:val="24"/>
                <w:highlight w:val="none"/>
                <w:lang w:val="en-US" w:eastAsia="zh-CN"/>
              </w:rPr>
              <w:t>施工区</w:t>
            </w:r>
            <w:r>
              <w:rPr>
                <w:rFonts w:hint="default"/>
                <w:color w:val="auto"/>
                <w:sz w:val="24"/>
                <w:highlight w:val="none"/>
              </w:rPr>
              <w:t>食宿</w:t>
            </w:r>
            <w:r>
              <w:rPr>
                <w:rFonts w:hint="eastAsia"/>
                <w:color w:val="auto"/>
                <w:sz w:val="24"/>
                <w:highlight w:val="none"/>
                <w:lang w:eastAsia="zh-CN"/>
              </w:rPr>
              <w:t>，</w:t>
            </w:r>
            <w:r>
              <w:rPr>
                <w:rFonts w:hint="eastAsia" w:cs="Times New Roman"/>
                <w:color w:val="auto"/>
                <w:sz w:val="24"/>
                <w:szCs w:val="24"/>
                <w:highlight w:val="none"/>
                <w:lang w:val="en-US" w:eastAsia="zh-CN"/>
              </w:rPr>
              <w:t>施工人员用餐、饮水通过周边村镇购买送入</w:t>
            </w:r>
            <w:r>
              <w:rPr>
                <w:rFonts w:hint="eastAsia"/>
                <w:color w:val="auto"/>
                <w:sz w:val="24"/>
                <w:highlight w:val="none"/>
                <w:lang w:eastAsia="zh-CN"/>
              </w:rPr>
              <w:t>，</w:t>
            </w:r>
            <w:r>
              <w:rPr>
                <w:rFonts w:hint="eastAsia" w:hAnsi="宋体"/>
                <w:color w:val="auto"/>
                <w:sz w:val="24"/>
                <w:highlight w:val="none"/>
                <w:lang w:val="en-US" w:eastAsia="zh-CN"/>
              </w:rPr>
              <w:t>生活垃圾</w:t>
            </w:r>
            <w:r>
              <w:rPr>
                <w:rFonts w:hint="eastAsia" w:hAnsi="宋体"/>
                <w:color w:val="auto"/>
                <w:sz w:val="24"/>
                <w:highlight w:val="none"/>
              </w:rPr>
              <w:t>按</w:t>
            </w:r>
            <w:r>
              <w:rPr>
                <w:rFonts w:hint="default" w:hAnsi="宋体"/>
                <w:color w:val="auto"/>
                <w:sz w:val="24"/>
                <w:highlight w:val="none"/>
              </w:rPr>
              <w:t>0.5kg/人·d估算，则项目施工期生活垃圾产生</w:t>
            </w:r>
            <w:r>
              <w:rPr>
                <w:rFonts w:hint="eastAsia" w:hAnsi="宋体"/>
                <w:color w:val="auto"/>
                <w:sz w:val="24"/>
                <w:highlight w:val="none"/>
              </w:rPr>
              <w:t>量</w:t>
            </w:r>
            <w:r>
              <w:rPr>
                <w:rFonts w:hint="default" w:hAnsi="宋体"/>
                <w:color w:val="auto"/>
                <w:sz w:val="24"/>
                <w:highlight w:val="none"/>
              </w:rPr>
              <w:t>为</w:t>
            </w:r>
            <w:r>
              <w:rPr>
                <w:rFonts w:hint="eastAsia" w:hAnsi="宋体"/>
                <w:color w:val="auto"/>
                <w:sz w:val="24"/>
                <w:highlight w:val="none"/>
                <w:lang w:val="en-US" w:eastAsia="zh-CN"/>
              </w:rPr>
              <w:t>100kg</w:t>
            </w:r>
            <w:r>
              <w:rPr>
                <w:rFonts w:hint="default" w:hAnsi="宋体"/>
                <w:color w:val="auto"/>
                <w:sz w:val="24"/>
                <w:highlight w:val="none"/>
              </w:rPr>
              <w:t>/d。</w:t>
            </w:r>
            <w:r>
              <w:rPr>
                <w:rFonts w:hint="default" w:ascii="Times New Roman" w:hAnsi="Times New Roman" w:eastAsia="宋体" w:cs="Times New Roman"/>
                <w:color w:val="auto"/>
                <w:sz w:val="24"/>
                <w:szCs w:val="24"/>
                <w:highlight w:val="none"/>
                <w:shd w:val="clear" w:color="auto" w:fill="auto"/>
              </w:rPr>
              <w:t>该部分垃圾</w:t>
            </w:r>
            <w:r>
              <w:rPr>
                <w:rFonts w:hint="default" w:ascii="Times New Roman" w:hAnsi="Times New Roman" w:eastAsia="宋体" w:cs="Times New Roman"/>
                <w:color w:val="auto"/>
                <w:sz w:val="24"/>
                <w:szCs w:val="24"/>
                <w:highlight w:val="none"/>
                <w:lang w:val="en-US" w:eastAsia="zh-CN"/>
              </w:rPr>
              <w:t>分类收集后</w:t>
            </w:r>
            <w:r>
              <w:rPr>
                <w:rFonts w:hint="eastAsia" w:ascii="宋体" w:hAnsi="宋体" w:eastAsia="宋体" w:cs="宋体"/>
                <w:color w:val="auto"/>
                <w:sz w:val="24"/>
                <w:szCs w:val="24"/>
                <w:highlight w:val="none"/>
                <w:shd w:val="clear" w:color="auto" w:fill="auto"/>
              </w:rPr>
              <w:t>实行“日产日清”，</w:t>
            </w:r>
            <w:r>
              <w:rPr>
                <w:rFonts w:hint="default" w:ascii="Times New Roman" w:hAnsi="Times New Roman" w:eastAsia="宋体" w:cs="Times New Roman"/>
                <w:color w:val="auto"/>
                <w:sz w:val="24"/>
                <w:szCs w:val="24"/>
                <w:highlight w:val="none"/>
                <w:shd w:val="clear" w:color="auto" w:fill="auto"/>
                <w:lang w:val="en-US" w:eastAsia="zh-CN"/>
              </w:rPr>
              <w:t>自行</w:t>
            </w:r>
            <w:r>
              <w:rPr>
                <w:rFonts w:hint="default" w:ascii="Times New Roman" w:hAnsi="Times New Roman" w:eastAsia="宋体" w:cs="Times New Roman"/>
                <w:color w:val="auto"/>
                <w:sz w:val="24"/>
                <w:szCs w:val="24"/>
                <w:highlight w:val="none"/>
                <w:shd w:val="clear" w:color="auto" w:fill="auto"/>
              </w:rPr>
              <w:t>转运至</w:t>
            </w:r>
            <w:r>
              <w:rPr>
                <w:rFonts w:hint="eastAsia" w:cs="Times New Roman"/>
                <w:color w:val="auto"/>
                <w:sz w:val="24"/>
                <w:szCs w:val="24"/>
                <w:highlight w:val="none"/>
                <w:shd w:val="clear" w:color="auto" w:fill="auto"/>
                <w:lang w:val="en-US" w:eastAsia="zh-CN"/>
              </w:rPr>
              <w:t>附近</w:t>
            </w:r>
            <w:r>
              <w:rPr>
                <w:rFonts w:hint="eastAsia" w:hAnsi="宋体"/>
                <w:color w:val="auto"/>
                <w:sz w:val="24"/>
                <w:highlight w:val="none"/>
                <w:shd w:val="clear" w:color="auto" w:fill="auto"/>
                <w:lang w:val="en-US" w:eastAsia="zh-CN"/>
              </w:rPr>
              <w:t>乡镇</w:t>
            </w:r>
            <w:r>
              <w:rPr>
                <w:rFonts w:hint="eastAsia"/>
                <w:color w:val="auto"/>
                <w:sz w:val="24"/>
                <w:highlight w:val="none"/>
              </w:rPr>
              <w:t>垃圾收集点统一处置</w:t>
            </w:r>
            <w:r>
              <w:rPr>
                <w:rFonts w:hint="eastAsia" w:hAnsi="宋体"/>
                <w:color w:val="auto"/>
                <w:sz w:val="24"/>
                <w:highlight w:val="none"/>
              </w:rPr>
              <w:t>。</w:t>
            </w:r>
          </w:p>
          <w:p w14:paraId="398F97A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highlight w:val="none"/>
                <w:shd w:val="clear" w:color="auto" w:fill="auto"/>
              </w:rPr>
              <w:t>4）</w:t>
            </w:r>
            <w:r>
              <w:rPr>
                <w:rFonts w:hint="eastAsia"/>
                <w:color w:val="auto"/>
                <w:sz w:val="24"/>
              </w:rPr>
              <w:t>废弃设备零件</w:t>
            </w:r>
          </w:p>
          <w:p w14:paraId="0E24C8B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yellow"/>
                <w:lang w:val="en-US" w:eastAsia="zh-CN"/>
              </w:rPr>
            </w:pPr>
            <w:r>
              <w:rPr>
                <w:rFonts w:hint="eastAsia"/>
                <w:color w:val="auto"/>
                <w:sz w:val="24"/>
              </w:rPr>
              <w:t>项目在光伏组件安装、电气设备安装过程中，会产生少量废弃设备零件，该部分废弃设备零件经收集后，可回收利用。</w:t>
            </w:r>
          </w:p>
          <w:p w14:paraId="5EAA36D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eastAsia"/>
                <w:color w:val="auto"/>
                <w:sz w:val="24"/>
                <w:highlight w:val="none"/>
                <w:shd w:val="clear" w:color="auto" w:fill="auto"/>
              </w:rPr>
              <w:t>综上，建设单位按环评要求管理处置施工期固废后，施工期产生的固体废物能得到妥善处置，本项目施工期产生的固体废物对外环境影响较小。</w:t>
            </w:r>
          </w:p>
        </w:tc>
      </w:tr>
      <w:tr w14:paraId="3890E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 w:type="pct"/>
            <w:tcMar>
              <w:left w:w="28" w:type="dxa"/>
              <w:right w:w="28" w:type="dxa"/>
            </w:tcMar>
            <w:vAlign w:val="center"/>
          </w:tcPr>
          <w:p w14:paraId="0292996E">
            <w:pPr>
              <w:pStyle w:val="40"/>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r>
              <w:rPr>
                <w:rFonts w:hint="default" w:ascii="Times New Roman" w:hAnsi="Times New Roman"/>
                <w:bCs/>
                <w:color w:val="auto"/>
                <w:spacing w:val="10"/>
                <w:kern w:val="2"/>
                <w:highlight w:val="none"/>
                <w:shd w:val="clear" w:color="auto" w:fill="auto"/>
              </w:rPr>
              <w:t>运营期生态环境影响分析</w:t>
            </w:r>
          </w:p>
        </w:tc>
        <w:tc>
          <w:tcPr>
            <w:tcW w:w="4833" w:type="pct"/>
          </w:tcPr>
          <w:p w14:paraId="256E14DF">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1、运营期工艺流程</w:t>
            </w:r>
            <w:r>
              <w:rPr>
                <w:rFonts w:hint="eastAsia"/>
                <w:b/>
                <w:bCs/>
                <w:color w:val="auto"/>
                <w:sz w:val="24"/>
                <w:highlight w:val="none"/>
                <w:shd w:val="clear" w:color="auto" w:fill="auto"/>
              </w:rPr>
              <w:t>和</w:t>
            </w:r>
            <w:r>
              <w:rPr>
                <w:rFonts w:hint="default"/>
                <w:b/>
                <w:bCs/>
                <w:color w:val="auto"/>
                <w:sz w:val="24"/>
                <w:highlight w:val="none"/>
                <w:shd w:val="clear" w:color="auto" w:fill="auto"/>
              </w:rPr>
              <w:t>产污环节</w:t>
            </w:r>
          </w:p>
          <w:p w14:paraId="1F070269">
            <w:pPr>
              <w:keepNext w:val="0"/>
              <w:keepLines w:val="0"/>
              <w:suppressLineNumbers w:val="0"/>
              <w:shd w:val="clear"/>
              <w:spacing w:before="0" w:beforeAutospacing="0" w:after="0" w:afterAutospacing="0" w:line="360" w:lineRule="auto"/>
              <w:ind w:left="0" w:right="0" w:firstLine="480" w:firstLineChars="200"/>
              <w:rPr>
                <w:rFonts w:hint="eastAsia"/>
                <w:b/>
                <w:color w:val="auto"/>
                <w:szCs w:val="21"/>
              </w:rPr>
            </w:pPr>
            <w:r>
              <w:rPr>
                <w:rFonts w:hint="default"/>
                <w:color w:val="auto"/>
                <w:sz w:val="24"/>
                <w:highlight w:val="none"/>
                <w:shd w:val="clear" w:color="auto" w:fill="auto"/>
              </w:rPr>
              <w:t>本项目属清洁能源，运营期</w:t>
            </w:r>
            <w:r>
              <w:rPr>
                <w:rFonts w:hint="eastAsia"/>
                <w:color w:val="auto"/>
                <w:sz w:val="24"/>
                <w:highlight w:val="none"/>
                <w:shd w:val="clear" w:color="auto" w:fill="auto"/>
                <w:lang w:val="en-US" w:eastAsia="zh-CN"/>
              </w:rPr>
              <w:t>光伏电站</w:t>
            </w:r>
            <w:r>
              <w:rPr>
                <w:rFonts w:hint="default"/>
                <w:color w:val="auto"/>
                <w:sz w:val="24"/>
                <w:highlight w:val="none"/>
                <w:shd w:val="clear" w:color="auto" w:fill="auto"/>
              </w:rPr>
              <w:t>主要污染物如下图所示。</w:t>
            </w:r>
          </w:p>
          <w:p w14:paraId="3351B7E1">
            <w:pPr>
              <w:keepNext w:val="0"/>
              <w:keepLines w:val="0"/>
              <w:suppressLineNumbers w:val="0"/>
              <w:shd w:val="clear"/>
              <w:spacing w:before="0" w:beforeAutospacing="0" w:after="0" w:afterAutospacing="0" w:line="360" w:lineRule="auto"/>
              <w:ind w:left="0" w:right="0"/>
              <w:jc w:val="center"/>
              <w:rPr>
                <w:rFonts w:hint="default"/>
                <w:color w:val="auto"/>
                <w:szCs w:val="21"/>
                <w:highlight w:val="none"/>
                <w:shd w:val="clear" w:color="auto" w:fill="auto"/>
              </w:rPr>
            </w:pPr>
            <w:r>
              <w:rPr>
                <w:rFonts w:hint="eastAsia"/>
                <w:b/>
                <w:color w:val="auto"/>
                <w:szCs w:val="21"/>
                <w:highlight w:val="none"/>
                <w:shd w:val="clear" w:color="auto" w:fill="auto"/>
              </w:rPr>
              <w:object>
                <v:shape id="_x0000_i1029" o:spt="75" type="#_x0000_t75" style="height:132.75pt;width:395.25pt;" o:ole="t" filled="f" o:preferrelative="t" stroked="f" coordsize="21600,21600">
                  <v:path/>
                  <v:fill on="f" focussize="0,0"/>
                  <v:stroke on="f"/>
                  <v:imagedata r:id="rId24" o:title=""/>
                  <o:lock v:ext="edit" aspectratio="f"/>
                  <w10:wrap type="none"/>
                  <w10:anchorlock/>
                </v:shape>
                <o:OLEObject Type="Embed" ProgID="Visio.Drawing.15" ShapeID="_x0000_i1029" DrawAspect="Content" ObjectID="_1468075729" r:id="rId23">
                  <o:LockedField>false</o:LockedField>
                </o:OLEObject>
              </w:object>
            </w:r>
            <w:r>
              <w:rPr>
                <w:rFonts w:hint="eastAsia"/>
                <w:b/>
                <w:color w:val="auto"/>
                <w:szCs w:val="21"/>
                <w:highlight w:val="none"/>
                <w:shd w:val="clear" w:color="auto" w:fill="auto"/>
              </w:rPr>
              <w:t>图4-</w:t>
            </w:r>
            <w:r>
              <w:rPr>
                <w:rFonts w:hint="eastAsia"/>
                <w:b/>
                <w:color w:val="auto"/>
                <w:szCs w:val="21"/>
                <w:highlight w:val="none"/>
                <w:shd w:val="clear" w:color="auto" w:fill="auto"/>
                <w:lang w:val="en-US" w:eastAsia="zh-CN"/>
              </w:rPr>
              <w:t xml:space="preserve">3 </w:t>
            </w:r>
            <w:r>
              <w:rPr>
                <w:rFonts w:hint="eastAsia"/>
                <w:b/>
                <w:color w:val="auto"/>
                <w:szCs w:val="21"/>
                <w:highlight w:val="none"/>
                <w:shd w:val="clear" w:color="auto" w:fill="auto"/>
              </w:rPr>
              <w:t xml:space="preserve"> 运营期产污环节示意图</w:t>
            </w:r>
          </w:p>
          <w:p w14:paraId="29A18957">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工艺流程简述：</w:t>
            </w:r>
          </w:p>
          <w:p w14:paraId="35595F78">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 w:val="0"/>
                <w:bCs/>
                <w:color w:val="auto"/>
                <w:sz w:val="24"/>
                <w:highlight w:val="none"/>
                <w:shd w:val="clear" w:color="auto" w:fill="auto"/>
              </w:rPr>
            </w:pPr>
            <w:r>
              <w:rPr>
                <w:rFonts w:hint="eastAsia"/>
                <w:color w:val="auto"/>
                <w:kern w:val="0"/>
                <w:sz w:val="24"/>
                <w:highlight w:val="none"/>
                <w:shd w:val="clear" w:color="auto" w:fill="auto"/>
              </w:rPr>
              <w:t>在集中式并网光伏电站中，使太阳能通过电池组成的光伏阵列转换成直流电，经过逆变器转换成电压较低的交流电，再通过升压变压器转换成符合公共电网电压要求的交流电，并直接接入公共电网，供公共电网用电设备使用和远程调配。逆变器、升压变压器均设有数据采集系统，数据通过监控显示系统输出数据，可实现值班人员抄录数据和远程监控系统同步运行。</w:t>
            </w:r>
          </w:p>
          <w:p w14:paraId="3AC67075">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2、运营期</w:t>
            </w:r>
            <w:r>
              <w:rPr>
                <w:rFonts w:hint="eastAsia"/>
                <w:b/>
                <w:color w:val="auto"/>
                <w:sz w:val="24"/>
                <w:highlight w:val="none"/>
                <w:shd w:val="clear" w:color="auto" w:fill="auto"/>
              </w:rPr>
              <w:t>环境影响分析</w:t>
            </w:r>
          </w:p>
          <w:p w14:paraId="6B637E58">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1</w:t>
            </w:r>
            <w:r>
              <w:rPr>
                <w:rFonts w:hint="default"/>
                <w:b/>
                <w:color w:val="auto"/>
                <w:sz w:val="24"/>
                <w:highlight w:val="none"/>
                <w:shd w:val="clear" w:color="auto" w:fill="auto"/>
              </w:rPr>
              <w:t>）生态环境</w:t>
            </w:r>
          </w:p>
          <w:p w14:paraId="1BA6D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对地表植被的影响分析</w:t>
            </w:r>
          </w:p>
          <w:p w14:paraId="32B583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项目运营期对植被的影响主要体现在光伏板架设后在地面产生阴影，阴影影响区域内的植被受到的日照减少，将对植物的生长产生一定程度的影响。</w:t>
            </w:r>
          </w:p>
          <w:p w14:paraId="0FD4E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eastAsia" w:cs="Times New Roman"/>
                <w:color w:val="auto"/>
                <w:kern w:val="0"/>
                <w:sz w:val="24"/>
                <w:szCs w:val="24"/>
                <w:highlight w:val="none"/>
                <w:lang w:val="en-US" w:eastAsia="zh-CN"/>
              </w:rPr>
              <w:t>项目</w:t>
            </w:r>
            <w:r>
              <w:rPr>
                <w:rFonts w:hint="eastAsia"/>
                <w:color w:val="auto"/>
                <w:spacing w:val="0"/>
                <w:sz w:val="24"/>
                <w:szCs w:val="24"/>
                <w:highlight w:val="none"/>
                <w:shd w:val="clear" w:color="auto" w:fill="auto"/>
              </w:rPr>
              <w:t>光伏组件按最低离地2.5m、桩基间列间距大于4m、行间距大于6.5m</w:t>
            </w:r>
            <w:r>
              <w:rPr>
                <w:rFonts w:hint="eastAsia"/>
                <w:color w:val="auto"/>
                <w:spacing w:val="0"/>
                <w:sz w:val="24"/>
                <w:szCs w:val="24"/>
                <w:highlight w:val="none"/>
                <w:shd w:val="clear" w:color="auto" w:fill="auto"/>
                <w:lang w:eastAsia="zh-CN"/>
              </w:rPr>
              <w:t>，</w:t>
            </w:r>
            <w:r>
              <w:rPr>
                <w:rFonts w:hint="eastAsia"/>
                <w:color w:val="auto"/>
                <w:spacing w:val="0"/>
                <w:sz w:val="24"/>
                <w:szCs w:val="24"/>
                <w:highlight w:val="none"/>
                <w:shd w:val="clear" w:color="auto" w:fill="auto"/>
                <w:lang w:val="en-US" w:eastAsia="zh-CN"/>
              </w:rPr>
              <w:t>且</w:t>
            </w:r>
            <w:r>
              <w:rPr>
                <w:rFonts w:hint="default"/>
                <w:color w:val="auto"/>
                <w:spacing w:val="0"/>
                <w:sz w:val="24"/>
                <w:szCs w:val="24"/>
                <w:highlight w:val="none"/>
                <w:shd w:val="clear" w:color="auto" w:fill="auto"/>
              </w:rPr>
              <w:t>光伏支架最低点应高于灌木高度1米以上，</w:t>
            </w:r>
            <w:r>
              <w:rPr>
                <w:rFonts w:hint="default" w:ascii="Times New Roman" w:hAnsi="Times New Roman" w:eastAsia="宋体" w:cs="Times New Roman"/>
                <w:color w:val="auto"/>
                <w:sz w:val="24"/>
                <w:szCs w:val="24"/>
                <w:lang w:val="en-US" w:eastAsia="zh-CN"/>
              </w:rPr>
              <w:t>支架结构较高，基本满足植物的生长需要。对于喜阳植物而言，该光照度可能不足以满足植物个体的健康生长需要、造成其无法繁殖甚至死亡；但对于耐阴植物来说，其影响不是很大，甚至适宜于喜阴作物的生长。</w:t>
            </w:r>
          </w:p>
          <w:p w14:paraId="46ECB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项目光伏场区现状主要植被是受强烈的人为活动干扰后形成的次生植被类型</w:t>
            </w:r>
            <w:r>
              <w:rPr>
                <w:rFonts w:hint="eastAsia" w:cs="Times New Roman"/>
                <w:color w:val="auto"/>
                <w:sz w:val="24"/>
                <w:szCs w:val="24"/>
                <w:lang w:val="en-US" w:eastAsia="zh-CN"/>
              </w:rPr>
              <w:t>和区域内原有灌木林</w:t>
            </w:r>
            <w:r>
              <w:rPr>
                <w:rFonts w:hint="default" w:ascii="Times New Roman" w:hAnsi="Times New Roman" w:eastAsia="宋体" w:cs="Times New Roman"/>
                <w:color w:val="auto"/>
                <w:sz w:val="24"/>
                <w:szCs w:val="24"/>
                <w:lang w:val="en-US" w:eastAsia="zh-CN"/>
              </w:rPr>
              <w:t>，且在地区广泛分布。项目建设后</w:t>
            </w:r>
            <w:r>
              <w:rPr>
                <w:rFonts w:hint="eastAsia" w:cs="Times New Roman"/>
                <w:color w:val="auto"/>
                <w:sz w:val="24"/>
                <w:szCs w:val="24"/>
                <w:lang w:val="en-US" w:eastAsia="zh-CN"/>
              </w:rPr>
              <w:t>占用林地部分</w:t>
            </w:r>
            <w:r>
              <w:rPr>
                <w:rFonts w:hint="default" w:ascii="Times New Roman" w:hAnsi="Times New Roman" w:eastAsia="宋体" w:cs="Times New Roman"/>
                <w:color w:val="auto"/>
                <w:sz w:val="24"/>
                <w:szCs w:val="24"/>
                <w:lang w:val="en-US" w:eastAsia="zh-CN"/>
              </w:rPr>
              <w:t>将实施</w:t>
            </w:r>
            <w:r>
              <w:rPr>
                <w:rFonts w:hint="eastAsia" w:cs="Times New Roman"/>
                <w:color w:val="auto"/>
                <w:sz w:val="24"/>
                <w:szCs w:val="24"/>
                <w:lang w:val="en-US" w:eastAsia="zh-CN"/>
              </w:rPr>
              <w:t>林光互补</w:t>
            </w:r>
            <w:r>
              <w:rPr>
                <w:rFonts w:hint="default" w:ascii="Times New Roman" w:hAnsi="Times New Roman" w:eastAsia="宋体" w:cs="Times New Roman"/>
                <w:color w:val="auto"/>
                <w:sz w:val="24"/>
                <w:szCs w:val="24"/>
                <w:lang w:val="en-US" w:eastAsia="zh-CN"/>
              </w:rPr>
              <w:t>工程，选取适宜的林草植被进行播种，重新种植的植物将选取喜阴作物，可充分适应板下环境特征，辅以人工养护后，可健康生长。通过林光互补工程，在一定程度上，项目实施后地区的植被覆盖度及生物多样性要优于现状。</w:t>
            </w:r>
          </w:p>
          <w:p w14:paraId="2CCC9A3D">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2</w:t>
            </w:r>
            <w:r>
              <w:rPr>
                <w:rFonts w:hint="eastAsia" w:ascii="宋体" w:hAnsi="宋体"/>
                <w:bCs/>
                <w:color w:val="auto"/>
                <w:sz w:val="24"/>
              </w:rPr>
              <w:t>）</w:t>
            </w:r>
            <w:r>
              <w:rPr>
                <w:rFonts w:hint="default"/>
                <w:bCs/>
                <w:color w:val="auto"/>
                <w:sz w:val="24"/>
              </w:rPr>
              <w:t>对当地动物的影响</w:t>
            </w:r>
          </w:p>
          <w:p w14:paraId="5DEBD2BE">
            <w:pPr>
              <w:keepNext w:val="0"/>
              <w:keepLines w:val="0"/>
              <w:suppressLineNumbers w:val="0"/>
              <w:adjustRightInd w:val="0"/>
              <w:snapToGrid w:val="0"/>
              <w:spacing w:before="0" w:beforeAutospacing="0" w:after="0" w:afterAutospacing="0" w:line="360" w:lineRule="auto"/>
              <w:ind w:left="0" w:right="0" w:firstLine="480"/>
              <w:rPr>
                <w:rFonts w:hint="eastAsia"/>
                <w:bCs/>
                <w:color w:val="auto"/>
                <w:sz w:val="24"/>
              </w:rPr>
            </w:pPr>
            <w:r>
              <w:rPr>
                <w:rFonts w:hint="eastAsia"/>
                <w:bCs/>
                <w:color w:val="auto"/>
                <w:sz w:val="24"/>
              </w:rPr>
              <w:t>本项目建设用地区域周边有村庄分布，现状人为活动频繁，原有生境一般，不属于野生动物活动集中的地带。本项目运行后，对动物的影响主要为项目光伏片区占地</w:t>
            </w:r>
            <w:r>
              <w:rPr>
                <w:rFonts w:hint="eastAsia"/>
                <w:bCs/>
                <w:color w:val="auto"/>
                <w:sz w:val="24"/>
                <w:highlight w:val="none"/>
              </w:rPr>
              <w:t>（主要为</w:t>
            </w:r>
            <w:r>
              <w:rPr>
                <w:rFonts w:hint="eastAsia"/>
                <w:bCs/>
                <w:color w:val="auto"/>
                <w:sz w:val="24"/>
                <w:highlight w:val="none"/>
                <w:lang w:val="en-US" w:eastAsia="zh-CN"/>
              </w:rPr>
              <w:t>其他草地、</w:t>
            </w:r>
            <w:r>
              <w:rPr>
                <w:rFonts w:hint="eastAsia"/>
                <w:bCs/>
                <w:color w:val="auto"/>
                <w:sz w:val="24"/>
                <w:highlight w:val="none"/>
              </w:rPr>
              <w:t>林地</w:t>
            </w:r>
            <w:r>
              <w:rPr>
                <w:rFonts w:hint="eastAsia"/>
                <w:bCs/>
                <w:color w:val="auto"/>
                <w:sz w:val="24"/>
                <w:highlight w:val="none"/>
                <w:lang w:val="en-US" w:eastAsia="zh-CN"/>
              </w:rPr>
              <w:t>和交通运输用地</w:t>
            </w:r>
            <w:r>
              <w:rPr>
                <w:rFonts w:hint="eastAsia"/>
                <w:bCs/>
                <w:color w:val="auto"/>
                <w:sz w:val="24"/>
                <w:highlight w:val="none"/>
              </w:rPr>
              <w:t>）</w:t>
            </w:r>
            <w:r>
              <w:rPr>
                <w:rFonts w:hint="eastAsia"/>
                <w:bCs/>
                <w:color w:val="auto"/>
                <w:sz w:val="24"/>
              </w:rPr>
              <w:t>，将减少地面动物的活动区域。在这些生境中生活的野生动物种类相对匮乏，以常见的一般鸟类和小型啮齿类动物为主，各种群数量也相对较少，且该类动物普遍对环境的要求不高、</w:t>
            </w:r>
            <w:r>
              <w:rPr>
                <w:rFonts w:hint="eastAsia"/>
                <w:bCs/>
                <w:color w:val="auto"/>
                <w:sz w:val="24"/>
                <w:lang w:eastAsia="zh-CN"/>
              </w:rPr>
              <w:t>适应</w:t>
            </w:r>
            <w:r>
              <w:rPr>
                <w:rFonts w:hint="eastAsia"/>
                <w:bCs/>
                <w:color w:val="auto"/>
                <w:sz w:val="24"/>
              </w:rPr>
              <w:t>人居生活。且这些小型啮齿类动物因活动能力较强，受到影响后会远离项目区至其他山体进行觅食；而鸟类具有较强的趋避能力，活动范围广，会飞离项目区迁移到周边新的适宜生境内。根据现场调查情况，项目区周边类似生境分布较广，项目区动物在受到干扰后，一般可迁移到周边适宜的生境内。同时项目在设计时充分考虑了反射光的影响，即太阳能电池板组件产品中采用的晶体硅是经过刻槽处理的，同时加了ZVA材料，最大限度的起到了吸收太阳光的作用，防止反射的同时充分吸收太阳光，即阳光照射后的反光强度大大减弱，对可能通过项目区域上空的鸟类影响</w:t>
            </w:r>
            <w:r>
              <w:rPr>
                <w:rFonts w:hint="eastAsia"/>
                <w:bCs/>
                <w:color w:val="auto"/>
                <w:sz w:val="24"/>
                <w:lang w:val="en-US" w:eastAsia="zh-CN"/>
              </w:rPr>
              <w:t>小</w:t>
            </w:r>
            <w:r>
              <w:rPr>
                <w:rFonts w:hint="eastAsia"/>
                <w:bCs/>
                <w:color w:val="auto"/>
                <w:sz w:val="24"/>
              </w:rPr>
              <w:t>。</w:t>
            </w:r>
          </w:p>
          <w:p w14:paraId="297E0B72">
            <w:pPr>
              <w:keepNext w:val="0"/>
              <w:keepLines w:val="0"/>
              <w:suppressLineNumbers w:val="0"/>
              <w:adjustRightInd w:val="0"/>
              <w:snapToGrid w:val="0"/>
              <w:spacing w:before="0" w:beforeAutospacing="0" w:after="0" w:afterAutospacing="0" w:line="360" w:lineRule="auto"/>
              <w:ind w:left="0" w:right="0" w:firstLine="480"/>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本项目建成后，项目区域设置围栏，以及光伏列阵的支架占用部分地面，将减少地面动物的活动区域，但围栏遮挡以及支架使用的面积较小，影响范围小；本项目声源少，噪声值较低，噪声源产生的噪声经光伏组件隔声和距离衰减后，不会对地面上动物的日常迁徙及鸟类正常活动造成影响。</w:t>
            </w:r>
          </w:p>
          <w:p w14:paraId="17596741">
            <w:pPr>
              <w:keepNext w:val="0"/>
              <w:keepLines w:val="0"/>
              <w:suppressLineNumbers w:val="0"/>
              <w:spacing w:before="0" w:beforeAutospacing="0" w:after="0" w:afterAutospacing="0" w:line="360" w:lineRule="auto"/>
              <w:ind w:left="0" w:right="0" w:firstLine="360" w:firstLineChars="150"/>
              <w:rPr>
                <w:rFonts w:hint="eastAsia" w:ascii="宋体" w:hAnsi="宋体" w:cs="宋体"/>
                <w:color w:val="auto"/>
                <w:sz w:val="24"/>
                <w:shd w:val="clear" w:color="auto" w:fill="FFFFFF"/>
                <w:lang w:val="en-US" w:eastAsia="zh-CN"/>
              </w:rPr>
            </w:pPr>
            <w:r>
              <w:rPr>
                <w:rFonts w:hint="default" w:ascii="Times New Roman" w:hAnsi="Times New Roman" w:eastAsia="宋体" w:cs="Times New Roman"/>
                <w:color w:val="auto"/>
                <w:sz w:val="24"/>
                <w:szCs w:val="24"/>
                <w:lang w:val="en-US" w:eastAsia="zh-CN"/>
              </w:rPr>
              <w:t>根据查阅相关资料和对当地林业部门的走访，项目评价范围内</w:t>
            </w:r>
            <w:r>
              <w:rPr>
                <w:rFonts w:hint="eastAsia" w:cs="Times New Roman"/>
                <w:color w:val="auto"/>
                <w:sz w:val="24"/>
                <w:szCs w:val="24"/>
                <w:lang w:val="en-US" w:eastAsia="zh-CN"/>
              </w:rPr>
              <w:t>不涉及</w:t>
            </w:r>
            <w:r>
              <w:rPr>
                <w:rFonts w:hint="default" w:ascii="Times New Roman" w:hAnsi="Times New Roman" w:cs="Times New Roman"/>
                <w:color w:val="auto"/>
                <w:sz w:val="24"/>
                <w:szCs w:val="24"/>
              </w:rPr>
              <w:t>野生动物重要栖息地，珍稀濒危和极小种群野生植物重要原生境</w:t>
            </w:r>
            <w:r>
              <w:rPr>
                <w:rFonts w:hint="eastAsia" w:ascii="Times New Roman" w:hAnsi="Times New Roman" w:cs="Times New Roman"/>
                <w:color w:val="auto"/>
                <w:sz w:val="24"/>
                <w:szCs w:val="24"/>
                <w:lang w:eastAsia="zh-CN"/>
              </w:rPr>
              <w:t>，</w:t>
            </w:r>
            <w:r>
              <w:rPr>
                <w:rFonts w:hint="eastAsia" w:ascii="宋体" w:hAnsi="宋体" w:cs="宋体"/>
                <w:color w:val="auto"/>
                <w:sz w:val="24"/>
                <w:shd w:val="clear" w:color="auto" w:fill="FFFFFF"/>
                <w:lang w:val="en-US" w:eastAsia="zh-CN"/>
              </w:rPr>
              <w:t>工程区附近栖息的动物种类有限，人类生产生活对生态环境干扰比较明显。工程运营期间，应加强对场区的巡视工作，密切关注评价区内的鸟类死亡情况，一旦发现异常应及时与林业主管部门联系，将受伤鸟类交由其妥善处理，</w:t>
            </w:r>
            <w:r>
              <w:rPr>
                <w:rFonts w:hint="default" w:ascii="宋体" w:hAnsi="宋体" w:eastAsia="宋体" w:cs="宋体"/>
                <w:color w:val="auto"/>
                <w:sz w:val="24"/>
                <w:szCs w:val="24"/>
              </w:rPr>
              <w:t>必要时采取驱赶措施，降低光伏板对鸟类的影响</w:t>
            </w:r>
            <w:r>
              <w:rPr>
                <w:rFonts w:hint="eastAsia" w:ascii="宋体" w:hAnsi="宋体" w:cs="宋体"/>
                <w:color w:val="auto"/>
                <w:sz w:val="24"/>
                <w:shd w:val="clear" w:color="auto" w:fill="FFFFFF"/>
                <w:lang w:val="en-US" w:eastAsia="zh-CN"/>
              </w:rPr>
              <w:t>。</w:t>
            </w:r>
          </w:p>
          <w:p w14:paraId="69F60D89">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eastAsia" w:cs="Times New Roman"/>
                <w:bCs/>
                <w:color w:val="auto"/>
                <w:sz w:val="24"/>
                <w:lang w:val="en-US" w:eastAsia="zh-CN"/>
              </w:rPr>
              <w:t>3</w:t>
            </w:r>
            <w:r>
              <w:rPr>
                <w:rFonts w:hint="eastAsia" w:ascii="Times New Roman" w:hAnsi="Times New Roman" w:eastAsia="宋体" w:cs="Times New Roman"/>
                <w:bCs/>
                <w:color w:val="auto"/>
                <w:sz w:val="24"/>
                <w:lang w:val="en-US" w:eastAsia="zh-CN"/>
              </w:rPr>
              <w:t>）对</w:t>
            </w:r>
            <w:r>
              <w:rPr>
                <w:rFonts w:hint="eastAsia"/>
                <w:bCs/>
                <w:color w:val="auto"/>
                <w:sz w:val="24"/>
              </w:rPr>
              <w:t>区域景观的影响分析</w:t>
            </w:r>
          </w:p>
          <w:p w14:paraId="1B51C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napToGrid w:val="0"/>
                <w:color w:val="auto"/>
                <w:kern w:val="0"/>
                <w:sz w:val="24"/>
                <w:szCs w:val="24"/>
                <w:lang w:val="en-US" w:eastAsia="zh-CN" w:bidi="ar-SA"/>
              </w:rPr>
            </w:pPr>
            <w:r>
              <w:rPr>
                <w:rFonts w:hint="eastAsia"/>
                <w:color w:val="auto"/>
                <w:sz w:val="24"/>
                <w:szCs w:val="24"/>
              </w:rPr>
              <w:t>项目实施</w:t>
            </w:r>
            <w:r>
              <w:rPr>
                <w:rFonts w:hint="default"/>
                <w:color w:val="auto"/>
                <w:sz w:val="24"/>
                <w:szCs w:val="24"/>
              </w:rPr>
              <w:t>后，</w:t>
            </w:r>
            <w:r>
              <w:rPr>
                <w:rFonts w:hint="eastAsia"/>
                <w:color w:val="auto"/>
                <w:sz w:val="24"/>
                <w:szCs w:val="24"/>
              </w:rPr>
              <w:t>将</w:t>
            </w:r>
            <w:r>
              <w:rPr>
                <w:rFonts w:hint="default"/>
                <w:color w:val="auto"/>
                <w:sz w:val="24"/>
                <w:szCs w:val="24"/>
              </w:rPr>
              <w:t>安装大量的太阳能电池组件，占地面积较大</w:t>
            </w:r>
            <w:r>
              <w:rPr>
                <w:rFonts w:hint="eastAsia"/>
                <w:color w:val="auto"/>
                <w:sz w:val="24"/>
                <w:szCs w:val="24"/>
              </w:rPr>
              <w:t>，且颜色、样式单一，</w:t>
            </w:r>
            <w:r>
              <w:rPr>
                <w:rFonts w:hint="default"/>
                <w:color w:val="auto"/>
                <w:sz w:val="24"/>
                <w:szCs w:val="24"/>
              </w:rPr>
              <w:t>改变了原有的生态景观，</w:t>
            </w:r>
            <w:r>
              <w:rPr>
                <w:rFonts w:hint="eastAsia"/>
                <w:color w:val="auto"/>
                <w:sz w:val="24"/>
                <w:szCs w:val="24"/>
              </w:rPr>
              <w:t>将造成区域视觉景观单一化</w:t>
            </w:r>
            <w:r>
              <w:rPr>
                <w:rFonts w:hint="default"/>
                <w:color w:val="auto"/>
                <w:sz w:val="24"/>
                <w:szCs w:val="24"/>
              </w:rPr>
              <w:t>。</w:t>
            </w:r>
            <w:r>
              <w:rPr>
                <w:rFonts w:hint="eastAsia"/>
                <w:color w:val="auto"/>
                <w:sz w:val="24"/>
                <w:szCs w:val="24"/>
              </w:rPr>
              <w:t>本</w:t>
            </w:r>
            <w:r>
              <w:rPr>
                <w:rFonts w:hint="eastAsia"/>
                <w:color w:val="auto"/>
                <w:sz w:val="24"/>
                <w:szCs w:val="24"/>
                <w:lang w:eastAsia="zh-CN"/>
              </w:rPr>
              <w:t>项目</w:t>
            </w:r>
            <w:r>
              <w:rPr>
                <w:rFonts w:hint="eastAsia"/>
                <w:color w:val="auto"/>
                <w:sz w:val="24"/>
                <w:szCs w:val="24"/>
              </w:rPr>
              <w:t>在设计</w:t>
            </w:r>
            <w:r>
              <w:rPr>
                <w:rFonts w:hint="default"/>
                <w:color w:val="auto"/>
                <w:sz w:val="24"/>
                <w:szCs w:val="24"/>
              </w:rPr>
              <w:t>光伏组件的布局</w:t>
            </w:r>
            <w:r>
              <w:rPr>
                <w:rFonts w:hint="eastAsia"/>
                <w:color w:val="auto"/>
                <w:sz w:val="24"/>
                <w:szCs w:val="24"/>
              </w:rPr>
              <w:t>时，</w:t>
            </w:r>
            <w:r>
              <w:rPr>
                <w:rFonts w:hint="default"/>
                <w:color w:val="auto"/>
                <w:sz w:val="24"/>
                <w:szCs w:val="24"/>
              </w:rPr>
              <w:t>在满足设计要求的同时，</w:t>
            </w:r>
            <w:r>
              <w:rPr>
                <w:rFonts w:hint="eastAsia"/>
                <w:color w:val="auto"/>
                <w:sz w:val="24"/>
                <w:szCs w:val="24"/>
              </w:rPr>
              <w:t>将</w:t>
            </w:r>
            <w:r>
              <w:rPr>
                <w:rFonts w:hint="default"/>
                <w:color w:val="auto"/>
                <w:sz w:val="24"/>
                <w:szCs w:val="24"/>
              </w:rPr>
              <w:t>尽量依山势布置，</w:t>
            </w:r>
            <w:r>
              <w:rPr>
                <w:rFonts w:hint="eastAsia"/>
                <w:color w:val="auto"/>
                <w:sz w:val="24"/>
                <w:szCs w:val="24"/>
                <w:highlight w:val="none"/>
              </w:rPr>
              <w:t>加上太阳能光伏板朝向天空，安装倾角不面向地面，</w:t>
            </w:r>
            <w:r>
              <w:rPr>
                <w:rFonts w:hint="eastAsia"/>
                <w:color w:val="auto"/>
                <w:sz w:val="24"/>
                <w:szCs w:val="24"/>
                <w:highlight w:val="none"/>
                <w:lang w:val="en-US" w:eastAsia="zh-CN"/>
              </w:rPr>
              <w:t>光伏板不会发光</w:t>
            </w:r>
            <w:r>
              <w:rPr>
                <w:rFonts w:hint="eastAsia"/>
                <w:color w:val="auto"/>
                <w:sz w:val="24"/>
                <w:szCs w:val="24"/>
                <w:highlight w:val="none"/>
              </w:rPr>
              <w:t>，</w:t>
            </w:r>
            <w:r>
              <w:rPr>
                <w:rFonts w:hint="eastAsia"/>
                <w:color w:val="auto"/>
                <w:sz w:val="24"/>
                <w:szCs w:val="24"/>
                <w:highlight w:val="none"/>
                <w:lang w:val="en-US" w:eastAsia="zh-CN"/>
              </w:rPr>
              <w:t>且项目</w:t>
            </w:r>
            <w:r>
              <w:rPr>
                <w:rFonts w:hint="eastAsia" w:ascii="Times New Roman" w:hAnsi="Times New Roman" w:eastAsia="宋体" w:cs="Times New Roman"/>
                <w:snapToGrid w:val="0"/>
                <w:color w:val="auto"/>
                <w:kern w:val="0"/>
                <w:sz w:val="24"/>
                <w:szCs w:val="24"/>
                <w:lang w:val="en-US" w:eastAsia="zh-CN" w:bidi="ar-SA"/>
              </w:rPr>
              <w:t>周边没有风景名胜区和特殊景点，因此，运营期对区域景观影响较小。</w:t>
            </w:r>
          </w:p>
          <w:p w14:paraId="0BB34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napToGrid w:val="0"/>
                <w:color w:val="auto"/>
                <w:kern w:val="0"/>
                <w:sz w:val="24"/>
                <w:szCs w:val="28"/>
                <w:lang w:val="en-US" w:eastAsia="zh-CN" w:bidi="ar-SA"/>
              </w:rPr>
            </w:pPr>
            <w:r>
              <w:rPr>
                <w:rFonts w:hint="eastAsia" w:ascii="Times New Roman" w:hAnsi="Times New Roman" w:eastAsia="宋体" w:cs="Times New Roman"/>
                <w:snapToGrid w:val="0"/>
                <w:color w:val="auto"/>
                <w:kern w:val="0"/>
                <w:sz w:val="24"/>
                <w:szCs w:val="28"/>
                <w:lang w:val="en-US" w:eastAsia="zh-CN" w:bidi="ar-SA"/>
              </w:rPr>
              <w:t>由于本工程位于山区，远离城镇，低海拔处有较多林地，从山脚公路处不易看见光伏板。因此，光伏建设对区域景观影响较小。</w:t>
            </w:r>
          </w:p>
          <w:p w14:paraId="13FF4B8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snapToGrid w:val="0"/>
                <w:color w:val="auto"/>
                <w:kern w:val="0"/>
                <w:sz w:val="24"/>
                <w:szCs w:val="28"/>
                <w:lang w:val="en-US" w:eastAsia="zh-CN" w:bidi="ar-SA"/>
              </w:rPr>
            </w:pPr>
            <w:r>
              <w:rPr>
                <w:rFonts w:hint="eastAsia" w:cs="Times New Roman"/>
                <w:snapToGrid w:val="0"/>
                <w:color w:val="auto"/>
                <w:kern w:val="0"/>
                <w:sz w:val="24"/>
                <w:szCs w:val="28"/>
                <w:lang w:val="en-US" w:eastAsia="zh-CN" w:bidi="ar-SA"/>
              </w:rPr>
              <w:t>4）对社会效益的影响分析</w:t>
            </w:r>
          </w:p>
          <w:p w14:paraId="76D9A9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光伏电站的建设可以带动当地的经济增长和就业。光伏电站项目的开发和建设，可促进地区相关产业，如建材、交通运输业的大力发展，对扩大就业和发展第三产业将起到显著作用，从而带动和促进地区国民经济的全面发展和社会进步。随着光伏电厂的相继开发、建设和运营，光伏发电将成为地区又一大产业，为地方经济开辟新的增长点，拉动地方经济的发展。</w:t>
            </w:r>
          </w:p>
          <w:p w14:paraId="48F979E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光伏产业的发展让未来世界变得更清洁、更安全，能源利用更丰富。太阳能是一种取之不尽，用之不竭的清洁可再生能源，具有独特的优势和巨大的发展潜力。充分利用太阳能对节能减排、保护环境和地方经济有着重大的意义，同时为全球能源的可持续发展</w:t>
            </w:r>
            <w:r>
              <w:rPr>
                <w:rFonts w:hint="eastAsia" w:cs="Times New Roman"/>
                <w:color w:val="auto"/>
                <w:sz w:val="24"/>
                <w:szCs w:val="24"/>
                <w:lang w:val="en-US" w:eastAsia="zh-CN"/>
              </w:rPr>
              <w:t>作出</w:t>
            </w:r>
            <w:r>
              <w:rPr>
                <w:rFonts w:hint="default" w:ascii="Times New Roman" w:hAnsi="Times New Roman" w:eastAsia="宋体" w:cs="Times New Roman"/>
                <w:color w:val="auto"/>
                <w:sz w:val="24"/>
                <w:szCs w:val="24"/>
                <w:lang w:val="en-US" w:eastAsia="zh-CN"/>
              </w:rPr>
              <w:t>贡献。</w:t>
            </w:r>
          </w:p>
          <w:p w14:paraId="0E03308F">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2</w:t>
            </w:r>
            <w:r>
              <w:rPr>
                <w:rFonts w:hint="default"/>
                <w:b/>
                <w:color w:val="auto"/>
                <w:sz w:val="24"/>
                <w:highlight w:val="none"/>
                <w:shd w:val="clear" w:color="auto" w:fill="auto"/>
              </w:rPr>
              <w:t>）</w:t>
            </w:r>
            <w:r>
              <w:rPr>
                <w:rFonts w:hint="eastAsia"/>
                <w:b/>
                <w:color w:val="auto"/>
                <w:sz w:val="24"/>
                <w:highlight w:val="none"/>
                <w:shd w:val="clear" w:color="auto" w:fill="auto"/>
              </w:rPr>
              <w:t>废气</w:t>
            </w:r>
          </w:p>
          <w:p w14:paraId="5C15256F">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eastAsia"/>
                <w:color w:val="auto"/>
                <w:sz w:val="24"/>
                <w:highlight w:val="none"/>
                <w:shd w:val="clear" w:color="auto" w:fill="auto"/>
              </w:rPr>
              <w:t>项目发电过程不产生工业废气，产生的废气主要是车辆进入厂区产生的尾气、路边扬尘。</w:t>
            </w:r>
          </w:p>
          <w:p w14:paraId="705DF9AC">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sz w:val="24"/>
                <w:highlight w:val="none"/>
                <w:shd w:val="clear" w:color="auto" w:fill="auto"/>
              </w:rPr>
              <w:t>车辆进入</w:t>
            </w:r>
            <w:r>
              <w:rPr>
                <w:rFonts w:hint="eastAsia"/>
                <w:color w:val="auto"/>
                <w:sz w:val="24"/>
                <w:highlight w:val="none"/>
                <w:shd w:val="clear" w:color="auto" w:fill="auto"/>
                <w:lang w:eastAsia="zh-CN"/>
              </w:rPr>
              <w:t>厂区内</w:t>
            </w:r>
            <w:r>
              <w:rPr>
                <w:rFonts w:hint="eastAsia"/>
                <w:color w:val="auto"/>
                <w:sz w:val="24"/>
                <w:highlight w:val="none"/>
                <w:shd w:val="clear" w:color="auto" w:fill="auto"/>
              </w:rPr>
              <w:t>产生的尾气和路边扬尘为无组织间歇性排放，</w:t>
            </w:r>
            <w:r>
              <w:rPr>
                <w:rFonts w:hint="eastAsia" w:ascii="宋体" w:hAnsi="宋体" w:cs="宋体"/>
                <w:color w:val="auto"/>
                <w:kern w:val="0"/>
                <w:sz w:val="24"/>
                <w:highlight w:val="none"/>
                <w:shd w:val="clear" w:color="auto" w:fill="auto"/>
                <w:lang w:bidi="ar"/>
              </w:rPr>
              <w:t>由于项目内车辆排放尾气的时间短，而且国家对汽车尾气排放有严格的规定，加上停车多为自备车辆，车型偏小，因此，汽车尾气不会形成较大的集中污染源，对环境影响较小。</w:t>
            </w:r>
          </w:p>
          <w:p w14:paraId="11436269">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rPr>
              <w:t>3</w:t>
            </w:r>
            <w:r>
              <w:rPr>
                <w:rFonts w:hint="default"/>
                <w:b/>
                <w:bCs/>
                <w:color w:val="auto"/>
                <w:sz w:val="24"/>
                <w:highlight w:val="none"/>
                <w:shd w:val="clear" w:color="auto" w:fill="auto"/>
              </w:rPr>
              <w:t>）废水</w:t>
            </w:r>
          </w:p>
          <w:p w14:paraId="07DAC954">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项目运营期</w:t>
            </w:r>
            <w:r>
              <w:rPr>
                <w:rFonts w:hint="eastAsia"/>
                <w:color w:val="auto"/>
                <w:sz w:val="24"/>
                <w:lang w:val="en-US" w:eastAsia="zh-CN"/>
              </w:rPr>
              <w:t>依托</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sz w:val="24"/>
                <w:szCs w:val="24"/>
                <w:highlight w:val="none"/>
                <w:shd w:val="clear" w:color="auto" w:fill="auto"/>
                <w:lang w:val="en-US" w:eastAsia="zh-CN"/>
              </w:rPr>
              <w:t>人员进行管理，</w:t>
            </w:r>
            <w:r>
              <w:rPr>
                <w:rFonts w:hint="eastAsia"/>
                <w:color w:val="auto"/>
                <w:sz w:val="24"/>
                <w:lang w:val="en-US" w:eastAsia="zh-CN"/>
              </w:rPr>
              <w:t>未新增劳动定员。</w:t>
            </w:r>
            <w:r>
              <w:rPr>
                <w:rFonts w:hint="default"/>
                <w:color w:val="auto"/>
                <w:sz w:val="24"/>
              </w:rPr>
              <w:t>废水主要是少量的</w:t>
            </w:r>
            <w:r>
              <w:rPr>
                <w:rFonts w:hint="eastAsia"/>
                <w:bCs/>
                <w:color w:val="auto"/>
                <w:sz w:val="24"/>
                <w:lang w:val="en-US" w:eastAsia="zh-CN"/>
              </w:rPr>
              <w:t>太阳能</w:t>
            </w:r>
            <w:r>
              <w:rPr>
                <w:rFonts w:hint="default"/>
                <w:color w:val="auto"/>
                <w:sz w:val="24"/>
              </w:rPr>
              <w:t>电池板清</w:t>
            </w:r>
            <w:r>
              <w:rPr>
                <w:rFonts w:hint="eastAsia"/>
                <w:color w:val="auto"/>
                <w:sz w:val="24"/>
                <w:lang w:val="en-US" w:eastAsia="zh-CN"/>
              </w:rPr>
              <w:t>洁</w:t>
            </w:r>
            <w:r>
              <w:rPr>
                <w:rFonts w:hint="default"/>
                <w:color w:val="auto"/>
                <w:sz w:val="24"/>
              </w:rPr>
              <w:t>废水</w:t>
            </w:r>
            <w:r>
              <w:rPr>
                <w:rFonts w:hint="eastAsia"/>
                <w:color w:val="auto"/>
                <w:sz w:val="24"/>
                <w:lang w:eastAsia="zh-CN"/>
              </w:rPr>
              <w:t>，</w:t>
            </w:r>
            <w:r>
              <w:rPr>
                <w:rFonts w:hint="eastAsia"/>
                <w:bCs/>
                <w:color w:val="auto"/>
                <w:sz w:val="24"/>
                <w:lang w:val="en-US" w:eastAsia="zh-CN"/>
              </w:rPr>
              <w:t>太阳能</w:t>
            </w:r>
            <w:r>
              <w:rPr>
                <w:rFonts w:hint="default"/>
                <w:color w:val="auto"/>
                <w:sz w:val="24"/>
              </w:rPr>
              <w:t>电池板安装均为螺栓固定式，各逆变器</w:t>
            </w:r>
            <w:r>
              <w:rPr>
                <w:rFonts w:hint="eastAsia"/>
                <w:color w:val="auto"/>
                <w:sz w:val="24"/>
                <w:lang w:eastAsia="zh-CN"/>
              </w:rPr>
              <w:t>电气设备</w:t>
            </w:r>
            <w:r>
              <w:rPr>
                <w:rFonts w:hint="default"/>
                <w:color w:val="auto"/>
                <w:sz w:val="24"/>
              </w:rPr>
              <w:t>在维修时，不会产生维修废水。</w:t>
            </w:r>
          </w:p>
          <w:p w14:paraId="24A420E9">
            <w:pPr>
              <w:keepNext w:val="0"/>
              <w:keepLines w:val="0"/>
              <w:suppressLineNumbers w:val="0"/>
              <w:spacing w:before="0" w:beforeAutospacing="0" w:after="0" w:afterAutospacing="0" w:line="360" w:lineRule="auto"/>
              <w:ind w:left="0" w:right="0" w:firstLine="480"/>
              <w:rPr>
                <w:rFonts w:hint="default"/>
                <w:color w:val="auto"/>
                <w:sz w:val="24"/>
                <w:highlight w:val="yellow"/>
              </w:rPr>
            </w:pPr>
            <w:r>
              <w:rPr>
                <w:rFonts w:hint="default"/>
                <w:color w:val="auto"/>
                <w:sz w:val="24"/>
              </w:rPr>
              <w:t>太阳</w:t>
            </w:r>
            <w:r>
              <w:rPr>
                <w:rFonts w:hint="eastAsia"/>
                <w:color w:val="auto"/>
                <w:sz w:val="24"/>
                <w:lang w:val="en-US" w:eastAsia="zh-CN"/>
              </w:rPr>
              <w:t>能</w:t>
            </w:r>
            <w:r>
              <w:rPr>
                <w:rFonts w:hint="default"/>
                <w:color w:val="auto"/>
                <w:sz w:val="24"/>
              </w:rPr>
              <w:t>电池组件周围环境所产生的灰尘及杂物随着空气的流动，会附着在电池组件的表面，影响其光电的转换效率，降低其使用性能。如果树叶、鸟粪粘在其表面还会引起太阳电池局部发热而烧坏组件。据相关文献报道，该项因素会对光伏组件的输出功率产生约7%的影响。</w:t>
            </w:r>
            <w:r>
              <w:rPr>
                <w:rFonts w:hint="eastAsia"/>
                <w:color w:val="auto"/>
                <w:sz w:val="24"/>
              </w:rPr>
              <w:t>为保证太阳能电池的发电效率，电站运行期间平均</w:t>
            </w:r>
            <w:r>
              <w:rPr>
                <w:rFonts w:hint="eastAsia"/>
                <w:color w:val="auto"/>
                <w:sz w:val="24"/>
                <w:lang w:val="en-US" w:eastAsia="zh-CN"/>
              </w:rPr>
              <w:t>每半年</w:t>
            </w:r>
            <w:r>
              <w:rPr>
                <w:rFonts w:hint="eastAsia"/>
                <w:color w:val="auto"/>
                <w:sz w:val="24"/>
              </w:rPr>
              <w:t>对组件进行一次清</w:t>
            </w:r>
            <w:r>
              <w:rPr>
                <w:rFonts w:hint="eastAsia"/>
                <w:color w:val="auto"/>
                <w:sz w:val="24"/>
                <w:lang w:val="en-US" w:eastAsia="zh-CN"/>
              </w:rPr>
              <w:t>洁</w:t>
            </w:r>
            <w:r>
              <w:rPr>
                <w:rFonts w:hint="eastAsia"/>
                <w:color w:val="auto"/>
                <w:sz w:val="24"/>
              </w:rPr>
              <w:t>。清</w:t>
            </w:r>
            <w:r>
              <w:rPr>
                <w:rFonts w:hint="eastAsia"/>
                <w:color w:val="auto"/>
                <w:sz w:val="24"/>
                <w:lang w:val="en-US" w:eastAsia="zh-CN"/>
              </w:rPr>
              <w:t>洁</w:t>
            </w:r>
            <w:r>
              <w:rPr>
                <w:rFonts w:hint="eastAsia"/>
                <w:color w:val="auto"/>
                <w:sz w:val="24"/>
              </w:rPr>
              <w:t>用水采用</w:t>
            </w:r>
            <w:r>
              <w:rPr>
                <w:rFonts w:hint="eastAsia" w:ascii="Times New Roman" w:hAnsi="Times New Roman" w:eastAsia="宋体" w:cs="Times New Roman"/>
                <w:color w:val="auto"/>
                <w:kern w:val="0"/>
                <w:sz w:val="24"/>
                <w:szCs w:val="24"/>
                <w:lang w:eastAsia="zh-CN"/>
              </w:rPr>
              <w:t>运水车运送至各电池组件处</w:t>
            </w:r>
            <w:r>
              <w:rPr>
                <w:rFonts w:hint="eastAsia"/>
                <w:color w:val="auto"/>
                <w:sz w:val="24"/>
              </w:rPr>
              <w:t>。</w:t>
            </w:r>
          </w:p>
          <w:p w14:paraId="68B03DD1">
            <w:pPr>
              <w:keepNext w:val="0"/>
              <w:keepLines w:val="0"/>
              <w:suppressLineNumbers w:val="0"/>
              <w:spacing w:before="0" w:beforeAutospacing="0" w:after="0" w:afterAutospacing="0" w:line="360" w:lineRule="auto"/>
              <w:ind w:left="0" w:right="0" w:firstLine="480"/>
              <w:rPr>
                <w:rFonts w:hint="default"/>
                <w:color w:val="auto"/>
                <w:sz w:val="24"/>
                <w:szCs w:val="24"/>
              </w:rPr>
            </w:pPr>
            <w:r>
              <w:rPr>
                <w:rFonts w:hint="eastAsia"/>
                <w:color w:val="auto"/>
                <w:sz w:val="24"/>
                <w:szCs w:val="24"/>
              </w:rPr>
              <w:t>本项目共有太阳能电池组件</w:t>
            </w:r>
            <w:r>
              <w:rPr>
                <w:rFonts w:hint="default" w:ascii="Times New Roman" w:hAnsi="Times New Roman" w:eastAsia="宋体" w:cs="Times New Roman"/>
                <w:color w:val="auto"/>
                <w:sz w:val="24"/>
                <w:szCs w:val="24"/>
                <w:lang w:val="en-US" w:eastAsia="zh-CN"/>
              </w:rPr>
              <w:t>97838</w:t>
            </w:r>
            <w:r>
              <w:rPr>
                <w:rFonts w:hint="eastAsia"/>
                <w:color w:val="auto"/>
                <w:sz w:val="24"/>
                <w:szCs w:val="24"/>
              </w:rPr>
              <w:t>块，组件尺寸为</w:t>
            </w:r>
            <w:r>
              <w:rPr>
                <w:rFonts w:hint="eastAsia" w:ascii="Times New Roman" w:hAnsi="Times New Roman" w:eastAsia="宋体" w:cs="Times New Roman"/>
                <w:color w:val="auto"/>
                <w:kern w:val="2"/>
                <w:sz w:val="24"/>
                <w:szCs w:val="24"/>
                <w:lang w:val="en-US" w:eastAsia="zh-CN" w:bidi="ar-SA"/>
              </w:rPr>
              <w:t>2</w:t>
            </w:r>
            <w:r>
              <w:rPr>
                <w:rFonts w:hint="eastAsia" w:cs="Times New Roman"/>
                <w:color w:val="auto"/>
                <w:kern w:val="2"/>
                <w:sz w:val="24"/>
                <w:szCs w:val="24"/>
                <w:lang w:val="en-US" w:eastAsia="zh-CN" w:bidi="ar-SA"/>
              </w:rPr>
              <w:t>278</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1134</w:t>
            </w:r>
            <w:r>
              <w:rPr>
                <w:rFonts w:hint="eastAsia" w:ascii="Times New Roman" w:hAnsi="Times New Roman" w:eastAsia="宋体" w:cs="Times New Roman"/>
                <w:color w:val="auto"/>
                <w:kern w:val="2"/>
                <w:sz w:val="24"/>
                <w:szCs w:val="24"/>
                <w:lang w:val="en-US" w:eastAsia="zh-CN" w:bidi="ar-SA"/>
              </w:rPr>
              <w:t>×3</w:t>
            </w:r>
            <w:r>
              <w:rPr>
                <w:rFonts w:hint="eastAsia" w:cs="Times New Roman"/>
                <w:color w:val="auto"/>
                <w:kern w:val="2"/>
                <w:sz w:val="24"/>
                <w:szCs w:val="24"/>
                <w:lang w:val="en-US" w:eastAsia="zh-CN" w:bidi="ar-SA"/>
              </w:rPr>
              <w:t>0</w:t>
            </w:r>
            <w:r>
              <w:rPr>
                <w:rFonts w:hint="eastAsia" w:ascii="Times New Roman" w:hAnsi="Times New Roman" w:eastAsia="宋体" w:cs="Times New Roman"/>
                <w:color w:val="auto"/>
                <w:kern w:val="2"/>
                <w:sz w:val="24"/>
                <w:szCs w:val="24"/>
                <w:lang w:val="en-US" w:eastAsia="zh-CN" w:bidi="ar-SA"/>
              </w:rPr>
              <w:t>mm</w:t>
            </w:r>
            <w:r>
              <w:rPr>
                <w:rFonts w:hint="eastAsia"/>
                <w:color w:val="auto"/>
                <w:sz w:val="24"/>
                <w:szCs w:val="24"/>
              </w:rPr>
              <w:t>即每块组件面积为</w:t>
            </w:r>
            <w:r>
              <w:rPr>
                <w:rFonts w:hint="eastAsia"/>
                <w:color w:val="auto"/>
                <w:sz w:val="24"/>
                <w:szCs w:val="24"/>
                <w:highlight w:val="none"/>
                <w:lang w:val="en-US" w:eastAsia="zh-CN"/>
              </w:rPr>
              <w:t>2.583</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。组件清</w:t>
            </w:r>
            <w:r>
              <w:rPr>
                <w:rFonts w:hint="eastAsia"/>
                <w:color w:val="auto"/>
                <w:sz w:val="24"/>
                <w:szCs w:val="24"/>
                <w:highlight w:val="none"/>
                <w:lang w:val="en-US" w:eastAsia="zh-CN"/>
              </w:rPr>
              <w:t>洁</w:t>
            </w:r>
            <w:r>
              <w:rPr>
                <w:rFonts w:hint="eastAsia"/>
                <w:color w:val="auto"/>
                <w:sz w:val="24"/>
                <w:szCs w:val="24"/>
                <w:highlight w:val="none"/>
              </w:rPr>
              <w:t>用水量以经验数据</w:t>
            </w:r>
            <w:r>
              <w:rPr>
                <w:rFonts w:hint="eastAsia"/>
                <w:color w:val="auto"/>
                <w:sz w:val="24"/>
                <w:szCs w:val="24"/>
                <w:highlight w:val="none"/>
                <w:lang w:val="en-US" w:eastAsia="zh-CN"/>
              </w:rPr>
              <w:t>0.5</w:t>
            </w:r>
            <w:r>
              <w:rPr>
                <w:rFonts w:hint="eastAsia"/>
                <w:color w:val="auto"/>
                <w:sz w:val="24"/>
                <w:szCs w:val="24"/>
                <w:highlight w:val="none"/>
              </w:rPr>
              <w:t>L/</w:t>
            </w:r>
            <w:r>
              <w:rPr>
                <w:rFonts w:hint="eastAsia"/>
                <w:color w:val="auto"/>
                <w:sz w:val="24"/>
                <w:szCs w:val="24"/>
                <w:highlight w:val="none"/>
                <w:lang w:eastAsia="zh-CN"/>
              </w:rPr>
              <w:t>（</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·次</w:t>
            </w:r>
            <w:r>
              <w:rPr>
                <w:rFonts w:hint="eastAsia"/>
                <w:color w:val="auto"/>
                <w:sz w:val="24"/>
                <w:szCs w:val="24"/>
                <w:highlight w:val="none"/>
                <w:lang w:eastAsia="zh-CN"/>
              </w:rPr>
              <w:t>）</w:t>
            </w:r>
            <w:r>
              <w:rPr>
                <w:rFonts w:hint="eastAsia"/>
                <w:color w:val="auto"/>
                <w:sz w:val="24"/>
                <w:szCs w:val="24"/>
                <w:highlight w:val="none"/>
              </w:rPr>
              <w:t>计，则每块电池组件清</w:t>
            </w:r>
            <w:r>
              <w:rPr>
                <w:rFonts w:hint="eastAsia"/>
                <w:color w:val="auto"/>
                <w:sz w:val="24"/>
                <w:highlight w:val="none"/>
                <w:lang w:val="en-US" w:eastAsia="zh-CN"/>
              </w:rPr>
              <w:t>洁</w:t>
            </w:r>
            <w:r>
              <w:rPr>
                <w:rFonts w:hint="eastAsia"/>
                <w:color w:val="auto"/>
                <w:sz w:val="24"/>
                <w:szCs w:val="24"/>
                <w:highlight w:val="none"/>
              </w:rPr>
              <w:t>用水量约</w:t>
            </w:r>
            <w:r>
              <w:rPr>
                <w:rFonts w:hint="eastAsia"/>
                <w:color w:val="auto"/>
                <w:sz w:val="24"/>
                <w:szCs w:val="24"/>
                <w:highlight w:val="none"/>
                <w:lang w:val="en-US" w:eastAsia="zh-CN"/>
              </w:rPr>
              <w:t>1.29</w:t>
            </w:r>
            <w:r>
              <w:rPr>
                <w:rFonts w:hint="eastAsia"/>
                <w:color w:val="auto"/>
                <w:sz w:val="24"/>
                <w:szCs w:val="24"/>
                <w:highlight w:val="none"/>
              </w:rPr>
              <w:t>L/次，全场所有电池组件</w:t>
            </w:r>
            <w:r>
              <w:rPr>
                <w:rFonts w:hint="eastAsia"/>
                <w:color w:val="auto"/>
                <w:sz w:val="24"/>
                <w:highlight w:val="none"/>
              </w:rPr>
              <w:t>清</w:t>
            </w:r>
            <w:r>
              <w:rPr>
                <w:rFonts w:hint="eastAsia"/>
                <w:color w:val="auto"/>
                <w:sz w:val="24"/>
                <w:highlight w:val="none"/>
                <w:lang w:val="en-US" w:eastAsia="zh-CN"/>
              </w:rPr>
              <w:t>洁</w:t>
            </w:r>
            <w:r>
              <w:rPr>
                <w:rFonts w:hint="eastAsia"/>
                <w:color w:val="auto"/>
                <w:sz w:val="24"/>
                <w:szCs w:val="24"/>
                <w:highlight w:val="none"/>
              </w:rPr>
              <w:t>一次总用水量约为</w:t>
            </w:r>
            <w:r>
              <w:rPr>
                <w:rFonts w:hint="eastAsia"/>
                <w:color w:val="auto"/>
                <w:sz w:val="24"/>
                <w:szCs w:val="24"/>
                <w:highlight w:val="none"/>
                <w:lang w:val="en-US" w:eastAsia="zh-CN"/>
              </w:rPr>
              <w:t>126.211</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color w:val="auto"/>
                <w:sz w:val="24"/>
                <w:szCs w:val="24"/>
                <w:highlight w:val="none"/>
              </w:rPr>
              <w:t>，年</w:t>
            </w:r>
            <w:r>
              <w:rPr>
                <w:rFonts w:hint="eastAsia"/>
                <w:color w:val="auto"/>
                <w:sz w:val="24"/>
                <w:highlight w:val="none"/>
              </w:rPr>
              <w:t>清</w:t>
            </w:r>
            <w:r>
              <w:rPr>
                <w:rFonts w:hint="eastAsia"/>
                <w:color w:val="auto"/>
                <w:sz w:val="24"/>
                <w:highlight w:val="none"/>
                <w:lang w:val="en-US" w:eastAsia="zh-CN"/>
              </w:rPr>
              <w:t>洁</w:t>
            </w:r>
            <w:r>
              <w:rPr>
                <w:rFonts w:hint="eastAsia"/>
                <w:color w:val="auto"/>
                <w:sz w:val="24"/>
                <w:szCs w:val="24"/>
                <w:highlight w:val="none"/>
              </w:rPr>
              <w:t>用水量</w:t>
            </w:r>
            <w:r>
              <w:rPr>
                <w:rFonts w:hint="eastAsia"/>
                <w:color w:val="auto"/>
                <w:sz w:val="24"/>
                <w:szCs w:val="24"/>
                <w:highlight w:val="none"/>
                <w:lang w:val="en-US" w:eastAsia="zh-CN"/>
              </w:rPr>
              <w:t>252.422</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color w:val="auto"/>
                <w:sz w:val="24"/>
                <w:szCs w:val="24"/>
                <w:highlight w:val="none"/>
              </w:rPr>
              <w:t>/a。</w:t>
            </w:r>
          </w:p>
          <w:p w14:paraId="2C0A0DCA">
            <w:pPr>
              <w:keepNext w:val="0"/>
              <w:keepLines w:val="0"/>
              <w:suppressLineNumbers w:val="0"/>
              <w:spacing w:before="0" w:beforeAutospacing="0" w:after="0" w:afterAutospacing="0" w:line="360" w:lineRule="auto"/>
              <w:ind w:left="0" w:right="0" w:firstLine="480"/>
              <w:rPr>
                <w:rFonts w:hint="eastAsia"/>
                <w:color w:val="auto"/>
                <w:sz w:val="24"/>
                <w:szCs w:val="24"/>
                <w:highlight w:val="none"/>
                <w:shd w:val="clear" w:color="auto" w:fill="auto"/>
              </w:rPr>
            </w:pPr>
            <w:r>
              <w:rPr>
                <w:rFonts w:hint="eastAsia"/>
                <w:color w:val="auto"/>
                <w:sz w:val="24"/>
              </w:rPr>
              <w:t>组件清</w:t>
            </w:r>
            <w:r>
              <w:rPr>
                <w:rFonts w:hint="eastAsia"/>
                <w:color w:val="auto"/>
                <w:sz w:val="24"/>
                <w:lang w:val="en-US" w:eastAsia="zh-CN"/>
              </w:rPr>
              <w:t>洁</w:t>
            </w:r>
            <w:r>
              <w:rPr>
                <w:rFonts w:hint="eastAsia"/>
                <w:color w:val="auto"/>
                <w:sz w:val="24"/>
              </w:rPr>
              <w:t>过程中，部分水分蒸发进入大气，废水产生系数按0.9计，则废水产生量约为</w:t>
            </w:r>
            <w:r>
              <w:rPr>
                <w:rFonts w:hint="eastAsia"/>
                <w:color w:val="auto"/>
                <w:sz w:val="24"/>
                <w:lang w:val="en-US" w:eastAsia="zh-CN"/>
              </w:rPr>
              <w:t>113.59</w:t>
            </w:r>
            <w:r>
              <w:rPr>
                <w:rFonts w:hint="eastAsia"/>
                <w:color w:val="auto"/>
                <w:sz w:val="24"/>
              </w:rPr>
              <w:t>m</w:t>
            </w:r>
            <w:r>
              <w:rPr>
                <w:rFonts w:hint="eastAsia"/>
                <w:color w:val="auto"/>
                <w:sz w:val="24"/>
                <w:vertAlign w:val="superscript"/>
                <w:lang w:val="en-US" w:eastAsia="zh-CN"/>
              </w:rPr>
              <w:t>3</w:t>
            </w:r>
            <w:r>
              <w:rPr>
                <w:rFonts w:hint="eastAsia"/>
                <w:color w:val="auto"/>
                <w:sz w:val="24"/>
              </w:rPr>
              <w:t>/次，</w:t>
            </w:r>
            <w:r>
              <w:rPr>
                <w:rFonts w:hint="eastAsia"/>
                <w:color w:val="auto"/>
                <w:sz w:val="24"/>
                <w:lang w:val="en-US" w:eastAsia="zh-CN"/>
              </w:rPr>
              <w:t>227.18</w:t>
            </w:r>
            <w:r>
              <w:rPr>
                <w:rFonts w:hint="eastAsia"/>
                <w:color w:val="auto"/>
                <w:sz w:val="24"/>
              </w:rPr>
              <w:t>m</w:t>
            </w:r>
            <w:r>
              <w:rPr>
                <w:rFonts w:hint="eastAsia"/>
                <w:color w:val="auto"/>
                <w:sz w:val="24"/>
                <w:vertAlign w:val="superscript"/>
                <w:lang w:val="en-US" w:eastAsia="zh-CN"/>
              </w:rPr>
              <w:t>3</w:t>
            </w:r>
            <w:r>
              <w:rPr>
                <w:rFonts w:hint="eastAsia"/>
                <w:color w:val="auto"/>
                <w:sz w:val="24"/>
              </w:rPr>
              <w:t>/a。产生的废水顺电池组件倾斜角度直接淋洒于下方林草植被上，用于植被生长。从水质情况看，由于组件清</w:t>
            </w:r>
            <w:r>
              <w:rPr>
                <w:rFonts w:hint="eastAsia"/>
                <w:color w:val="auto"/>
                <w:sz w:val="24"/>
                <w:lang w:val="en-US" w:eastAsia="zh-CN"/>
              </w:rPr>
              <w:t>洁</w:t>
            </w:r>
            <w:r>
              <w:rPr>
                <w:rFonts w:hint="eastAsia"/>
                <w:color w:val="auto"/>
                <w:sz w:val="24"/>
              </w:rPr>
              <w:t>过程中不添加清</w:t>
            </w:r>
            <w:r>
              <w:rPr>
                <w:rFonts w:hint="eastAsia"/>
                <w:color w:val="auto"/>
                <w:sz w:val="24"/>
                <w:lang w:val="en-US" w:eastAsia="zh-CN"/>
              </w:rPr>
              <w:t>洁</w:t>
            </w:r>
            <w:r>
              <w:rPr>
                <w:rFonts w:hint="eastAsia"/>
                <w:color w:val="auto"/>
                <w:sz w:val="24"/>
              </w:rPr>
              <w:t>剂，产生的废水无特殊污染物，主要为SS，用于植被浇洒不会对植物生长造成不良影响。从废水产生量的角度，由于组件</w:t>
            </w:r>
            <w:r>
              <w:rPr>
                <w:rFonts w:hint="default"/>
                <w:color w:val="auto"/>
                <w:sz w:val="24"/>
              </w:rPr>
              <w:t>清</w:t>
            </w:r>
            <w:r>
              <w:rPr>
                <w:rFonts w:hint="eastAsia"/>
                <w:color w:val="auto"/>
                <w:sz w:val="24"/>
                <w:lang w:val="en-US" w:eastAsia="zh-CN"/>
              </w:rPr>
              <w:t>洁</w:t>
            </w:r>
            <w:r>
              <w:rPr>
                <w:rFonts w:hint="eastAsia"/>
                <w:color w:val="auto"/>
                <w:sz w:val="24"/>
              </w:rPr>
              <w:t>废水是分散产生的，每平方米组件清</w:t>
            </w:r>
            <w:r>
              <w:rPr>
                <w:rFonts w:hint="eastAsia"/>
                <w:color w:val="auto"/>
                <w:sz w:val="24"/>
                <w:lang w:val="en-US" w:eastAsia="zh-CN"/>
              </w:rPr>
              <w:t>洁</w:t>
            </w:r>
            <w:r>
              <w:rPr>
                <w:rFonts w:hint="eastAsia"/>
                <w:color w:val="auto"/>
                <w:sz w:val="24"/>
              </w:rPr>
              <w:t>用水量仅</w:t>
            </w:r>
            <w:r>
              <w:rPr>
                <w:rFonts w:hint="eastAsia"/>
                <w:color w:val="auto"/>
                <w:sz w:val="24"/>
                <w:lang w:val="en-US" w:eastAsia="zh-CN"/>
              </w:rPr>
              <w:t>0.5</w:t>
            </w:r>
            <w:r>
              <w:rPr>
                <w:rFonts w:hint="eastAsia"/>
                <w:color w:val="auto"/>
                <w:sz w:val="24"/>
              </w:rPr>
              <w:t>L/次，而参照《云南省地方标准用水定额》</w:t>
            </w:r>
            <w:r>
              <w:rPr>
                <w:rFonts w:hint="eastAsia"/>
                <w:color w:val="auto"/>
                <w:sz w:val="24"/>
                <w:lang w:eastAsia="zh-CN"/>
              </w:rPr>
              <w:t>（</w:t>
            </w:r>
            <w:r>
              <w:rPr>
                <w:rFonts w:hint="eastAsia"/>
                <w:color w:val="auto"/>
                <w:sz w:val="24"/>
              </w:rPr>
              <w:t>DB53/T168-2019</w:t>
            </w:r>
            <w:r>
              <w:rPr>
                <w:rFonts w:hint="eastAsia"/>
                <w:color w:val="auto"/>
                <w:sz w:val="24"/>
                <w:lang w:eastAsia="zh-CN"/>
              </w:rPr>
              <w:t>）</w:t>
            </w:r>
            <w:r>
              <w:rPr>
                <w:rFonts w:hint="eastAsia"/>
                <w:color w:val="auto"/>
                <w:sz w:val="24"/>
              </w:rPr>
              <w:t>，绿化灌溉用水量定额为3</w:t>
            </w:r>
            <w:r>
              <w:rPr>
                <w:rFonts w:hint="default"/>
                <w:bCs/>
                <w:color w:val="auto"/>
                <w:sz w:val="24"/>
              </w:rPr>
              <w:t>L/</w:t>
            </w:r>
            <w:r>
              <w:rPr>
                <w:rFonts w:hint="eastAsia"/>
                <w:color w:val="auto"/>
                <w:sz w:val="24"/>
                <w:lang w:eastAsia="zh-CN"/>
              </w:rPr>
              <w:t>（</w:t>
            </w:r>
            <w:r>
              <w:rPr>
                <w:rFonts w:hint="default"/>
                <w:bCs/>
                <w:color w:val="auto"/>
                <w:sz w:val="24"/>
              </w:rPr>
              <w:t>m</w:t>
            </w:r>
            <w:r>
              <w:rPr>
                <w:rFonts w:hint="default"/>
                <w:bCs/>
                <w:color w:val="auto"/>
                <w:sz w:val="24"/>
                <w:vertAlign w:val="superscript"/>
              </w:rPr>
              <w:t>2</w:t>
            </w:r>
            <w:r>
              <w:rPr>
                <w:rFonts w:hint="default"/>
                <w:bCs/>
                <w:color w:val="auto"/>
                <w:sz w:val="24"/>
              </w:rPr>
              <w:t>·次</w:t>
            </w:r>
            <w:r>
              <w:rPr>
                <w:rFonts w:hint="eastAsia"/>
                <w:color w:val="auto"/>
                <w:sz w:val="24"/>
                <w:lang w:eastAsia="zh-CN"/>
              </w:rPr>
              <w:t>）</w:t>
            </w:r>
            <w:r>
              <w:rPr>
                <w:rFonts w:hint="eastAsia"/>
                <w:color w:val="auto"/>
                <w:sz w:val="24"/>
              </w:rPr>
              <w:t>，光伏组件清</w:t>
            </w:r>
            <w:r>
              <w:rPr>
                <w:rFonts w:hint="eastAsia"/>
                <w:color w:val="auto"/>
                <w:sz w:val="24"/>
                <w:lang w:val="en-US" w:eastAsia="zh-CN"/>
              </w:rPr>
              <w:t>洁</w:t>
            </w:r>
            <w:r>
              <w:rPr>
                <w:rFonts w:hint="eastAsia"/>
                <w:color w:val="auto"/>
                <w:sz w:val="24"/>
              </w:rPr>
              <w:t>仅在非雨天进行，故清</w:t>
            </w:r>
            <w:r>
              <w:rPr>
                <w:rFonts w:hint="eastAsia"/>
                <w:color w:val="auto"/>
                <w:sz w:val="24"/>
                <w:lang w:val="en-US" w:eastAsia="zh-CN"/>
              </w:rPr>
              <w:t>洁</w:t>
            </w:r>
            <w:r>
              <w:rPr>
                <w:rFonts w:hint="eastAsia"/>
                <w:color w:val="auto"/>
                <w:sz w:val="24"/>
              </w:rPr>
              <w:t>水淋于下方林草植被上，被植物吸收，不会在地面形成径流，对外环境影响很小。</w:t>
            </w:r>
          </w:p>
          <w:p w14:paraId="78427821">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lang w:val="en-US" w:eastAsia="zh-CN"/>
              </w:rPr>
              <w:t>5</w:t>
            </w:r>
            <w:r>
              <w:rPr>
                <w:rFonts w:hint="default"/>
                <w:b/>
                <w:color w:val="auto"/>
                <w:sz w:val="24"/>
                <w:highlight w:val="none"/>
                <w:shd w:val="clear" w:color="auto" w:fill="auto"/>
              </w:rPr>
              <w:t>）噪声</w:t>
            </w:r>
          </w:p>
          <w:p w14:paraId="55D22337">
            <w:pPr>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sz w:val="24"/>
              </w:rPr>
              <w:t>运行期噪声主要包括光伏电场区箱</w:t>
            </w:r>
            <w:r>
              <w:rPr>
                <w:rFonts w:hint="eastAsia"/>
                <w:color w:val="auto"/>
                <w:sz w:val="24"/>
                <w:lang w:val="en-US" w:eastAsia="zh-CN"/>
              </w:rPr>
              <w:t>式</w:t>
            </w:r>
            <w:r>
              <w:rPr>
                <w:rFonts w:hint="eastAsia"/>
                <w:color w:val="auto"/>
                <w:sz w:val="24"/>
              </w:rPr>
              <w:t>变压器、逆变器噪声。</w:t>
            </w:r>
          </w:p>
          <w:p w14:paraId="1F429101">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val="en-US" w:eastAsia="zh-CN"/>
              </w:rPr>
              <w:t>光伏发电本身没有机械传动机构或运动部件，在太阳能转变成电能的过程中，光伏场区噪声主要是通过逆变器将直流电转换为交流电过程中产生的噪声以及项目箱变产生的噪声。逆变器和箱变在光伏场区分布较为分散，</w:t>
            </w:r>
            <w:r>
              <w:rPr>
                <w:rFonts w:hint="eastAsia"/>
                <w:color w:val="auto"/>
                <w:sz w:val="24"/>
                <w:highlight w:val="none"/>
                <w:lang w:val="en-US" w:eastAsia="zh-CN"/>
              </w:rPr>
              <w:t>箱变均设置在集装箱式房内，</w:t>
            </w:r>
            <w:r>
              <w:rPr>
                <w:rFonts w:hint="eastAsia"/>
                <w:color w:val="auto"/>
                <w:sz w:val="24"/>
                <w:lang w:val="en-US" w:eastAsia="zh-CN"/>
              </w:rPr>
              <w:t>逆变器和箱变</w:t>
            </w:r>
            <w:r>
              <w:rPr>
                <w:rFonts w:hint="default"/>
                <w:color w:val="auto"/>
                <w:sz w:val="24"/>
                <w:lang w:val="en-US" w:eastAsia="zh-CN"/>
              </w:rPr>
              <w:t>1m</w:t>
            </w:r>
            <w:r>
              <w:rPr>
                <w:rFonts w:hint="eastAsia"/>
                <w:color w:val="auto"/>
                <w:sz w:val="24"/>
                <w:lang w:val="en-US" w:eastAsia="zh-CN"/>
              </w:rPr>
              <w:t>处噪声级一般在</w:t>
            </w:r>
            <w:r>
              <w:rPr>
                <w:rFonts w:hint="default"/>
                <w:color w:val="auto"/>
                <w:sz w:val="24"/>
                <w:lang w:val="en-US" w:eastAsia="zh-CN"/>
              </w:rPr>
              <w:t>50dB</w:t>
            </w:r>
            <w:r>
              <w:rPr>
                <w:rFonts w:hint="eastAsia"/>
                <w:color w:val="auto"/>
                <w:sz w:val="24"/>
                <w:lang w:val="en-US" w:eastAsia="zh-CN"/>
              </w:rPr>
              <w:t>（</w:t>
            </w:r>
            <w:r>
              <w:rPr>
                <w:rFonts w:hint="default"/>
                <w:color w:val="auto"/>
                <w:sz w:val="24"/>
                <w:lang w:val="en-US" w:eastAsia="zh-CN"/>
              </w:rPr>
              <w:t>A</w:t>
            </w:r>
            <w:r>
              <w:rPr>
                <w:rFonts w:hint="eastAsia"/>
                <w:color w:val="auto"/>
                <w:sz w:val="24"/>
                <w:lang w:val="en-US" w:eastAsia="zh-CN"/>
              </w:rPr>
              <w:t>）左右</w:t>
            </w:r>
            <w:r>
              <w:rPr>
                <w:rFonts w:hint="eastAsia"/>
                <w:color w:val="auto"/>
                <w:sz w:val="24"/>
                <w:highlight w:val="none"/>
                <w:lang w:val="en-US" w:eastAsia="zh-CN"/>
              </w:rPr>
              <w:t>。</w:t>
            </w:r>
            <w:r>
              <w:rPr>
                <w:rFonts w:hint="eastAsia"/>
                <w:color w:val="auto"/>
                <w:sz w:val="24"/>
                <w:lang w:val="en-US" w:eastAsia="zh-CN"/>
              </w:rPr>
              <w:t>本次评价按最不利情况考虑，即有箱变和逆变器布置在同一位置，预测其噪声叠加后对环境的影响。预测结果见表</w:t>
            </w:r>
            <w:r>
              <w:rPr>
                <w:rFonts w:hint="default"/>
                <w:color w:val="auto"/>
                <w:sz w:val="24"/>
                <w:lang w:val="en-US" w:eastAsia="zh-CN"/>
              </w:rPr>
              <w:t>4-</w:t>
            </w:r>
            <w:r>
              <w:rPr>
                <w:rFonts w:hint="eastAsia"/>
                <w:color w:val="auto"/>
                <w:sz w:val="24"/>
                <w:lang w:val="en-US" w:eastAsia="zh-CN"/>
              </w:rPr>
              <w:t xml:space="preserve">9。 </w:t>
            </w:r>
          </w:p>
          <w:p w14:paraId="1D6DBC26">
            <w:pPr>
              <w:keepNext w:val="0"/>
              <w:keepLines w:val="0"/>
              <w:widowControl/>
              <w:suppressLineNumbers w:val="0"/>
              <w:spacing w:before="0" w:beforeAutospacing="0" w:after="0" w:afterAutospacing="0"/>
              <w:ind w:left="0" w:right="0"/>
              <w:jc w:val="center"/>
              <w:rPr>
                <w:rFonts w:hint="default"/>
                <w:color w:val="auto"/>
              </w:rPr>
            </w:pPr>
            <w:r>
              <w:rPr>
                <w:rFonts w:hint="eastAsia" w:ascii="宋体" w:hAnsi="宋体" w:eastAsia="宋体" w:cs="宋体"/>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4-</w:t>
            </w:r>
            <w:r>
              <w:rPr>
                <w:rFonts w:hint="eastAsia" w:cs="Times New Roman"/>
                <w:b/>
                <w:bCs/>
                <w:color w:val="auto"/>
                <w:kern w:val="0"/>
                <w:sz w:val="21"/>
                <w:szCs w:val="21"/>
                <w:lang w:val="en-US" w:eastAsia="zh-CN" w:bidi="ar"/>
              </w:rPr>
              <w:t>9</w:t>
            </w:r>
            <w:r>
              <w:rPr>
                <w:rFonts w:hint="default" w:ascii="Times New Roman" w:hAnsi="Times New Roman" w:eastAsia="宋体" w:cs="Times New Roman"/>
                <w:b/>
                <w:bCs/>
                <w:color w:val="auto"/>
                <w:kern w:val="0"/>
                <w:sz w:val="21"/>
                <w:szCs w:val="21"/>
                <w:lang w:val="en-US" w:eastAsia="zh-CN" w:bidi="ar"/>
              </w:rPr>
              <w:t xml:space="preserve"> </w:t>
            </w:r>
            <w:r>
              <w:rPr>
                <w:rFonts w:hint="eastAsia" w:ascii="宋体" w:hAnsi="宋体" w:eastAsia="宋体" w:cs="宋体"/>
                <w:b/>
                <w:bCs/>
                <w:color w:val="auto"/>
                <w:kern w:val="0"/>
                <w:sz w:val="21"/>
                <w:szCs w:val="21"/>
                <w:lang w:val="en-US" w:eastAsia="zh-CN" w:bidi="ar"/>
              </w:rPr>
              <w:t>光伏场区箱式变压器、逆变器噪声衰减计算结果 单位：</w:t>
            </w:r>
            <w:r>
              <w:rPr>
                <w:rFonts w:hint="default" w:ascii="Times New Roman" w:hAnsi="Times New Roman" w:eastAsia="宋体" w:cs="Times New Roman"/>
                <w:b/>
                <w:bCs/>
                <w:color w:val="auto"/>
                <w:kern w:val="0"/>
                <w:sz w:val="21"/>
                <w:szCs w:val="21"/>
                <w:lang w:val="en-US" w:eastAsia="zh-CN" w:bidi="ar"/>
              </w:rPr>
              <w:t>dB</w:t>
            </w:r>
            <w:r>
              <w:rPr>
                <w:rFonts w:hint="eastAsia" w:cs="Times New Roman"/>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A</w:t>
            </w:r>
            <w:r>
              <w:rPr>
                <w:rFonts w:hint="eastAsia" w:cs="Times New Roman"/>
                <w:b/>
                <w:bCs/>
                <w:color w:val="auto"/>
                <w:kern w:val="0"/>
                <w:sz w:val="21"/>
                <w:szCs w:val="21"/>
                <w:lang w:val="en-US" w:eastAsia="zh-CN" w:bidi="ar"/>
              </w:rPr>
              <w:t>）</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975"/>
              <w:gridCol w:w="776"/>
              <w:gridCol w:w="884"/>
              <w:gridCol w:w="990"/>
              <w:gridCol w:w="990"/>
              <w:gridCol w:w="992"/>
              <w:gridCol w:w="1003"/>
            </w:tblGrid>
            <w:tr w14:paraId="7F4C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14:paraId="0014963B">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声源名称</w:t>
                  </w:r>
                </w:p>
              </w:tc>
              <w:tc>
                <w:tcPr>
                  <w:tcW w:w="614" w:type="pct"/>
                  <w:vMerge w:val="restart"/>
                  <w:vAlign w:val="center"/>
                </w:tcPr>
                <w:p w14:paraId="06B84665">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噪声强度</w:t>
                  </w:r>
                </w:p>
              </w:tc>
              <w:tc>
                <w:tcPr>
                  <w:tcW w:w="3552" w:type="pct"/>
                  <w:gridSpan w:val="6"/>
                  <w:vAlign w:val="center"/>
                </w:tcPr>
                <w:p w14:paraId="28C48385">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距声源不同距离处的噪声预测值</w:t>
                  </w:r>
                </w:p>
              </w:tc>
            </w:tr>
            <w:tr w14:paraId="708A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14:paraId="21A95A5A">
                  <w:pPr>
                    <w:keepNext w:val="0"/>
                    <w:keepLines w:val="0"/>
                    <w:suppressLineNumbers w:val="0"/>
                    <w:spacing w:before="0" w:beforeAutospacing="0" w:after="0" w:afterAutospacing="0" w:line="240" w:lineRule="auto"/>
                    <w:ind w:left="0" w:right="0"/>
                    <w:jc w:val="center"/>
                    <w:rPr>
                      <w:rFonts w:hint="eastAsia"/>
                      <w:color w:val="auto"/>
                      <w:sz w:val="21"/>
                      <w:szCs w:val="21"/>
                      <w:vertAlign w:val="baseline"/>
                    </w:rPr>
                  </w:pPr>
                </w:p>
              </w:tc>
              <w:tc>
                <w:tcPr>
                  <w:tcW w:w="614" w:type="pct"/>
                  <w:vMerge w:val="continue"/>
                  <w:vAlign w:val="center"/>
                </w:tcPr>
                <w:p w14:paraId="506A9AB1">
                  <w:pPr>
                    <w:keepNext w:val="0"/>
                    <w:keepLines w:val="0"/>
                    <w:suppressLineNumbers w:val="0"/>
                    <w:spacing w:before="0" w:beforeAutospacing="0" w:after="0" w:afterAutospacing="0" w:line="240" w:lineRule="auto"/>
                    <w:ind w:left="0" w:right="0"/>
                    <w:jc w:val="center"/>
                    <w:rPr>
                      <w:rFonts w:hint="eastAsia"/>
                      <w:color w:val="auto"/>
                      <w:sz w:val="21"/>
                      <w:szCs w:val="21"/>
                      <w:vertAlign w:val="baseline"/>
                    </w:rPr>
                  </w:pPr>
                </w:p>
              </w:tc>
              <w:tc>
                <w:tcPr>
                  <w:tcW w:w="489" w:type="pct"/>
                  <w:vAlign w:val="center"/>
                </w:tcPr>
                <w:p w14:paraId="055DC958">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5m</w:t>
                  </w:r>
                </w:p>
              </w:tc>
              <w:tc>
                <w:tcPr>
                  <w:tcW w:w="557" w:type="pct"/>
                  <w:vAlign w:val="center"/>
                </w:tcPr>
                <w:p w14:paraId="1D8C322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10m</w:t>
                  </w:r>
                </w:p>
              </w:tc>
              <w:tc>
                <w:tcPr>
                  <w:tcW w:w="624" w:type="pct"/>
                  <w:vAlign w:val="center"/>
                </w:tcPr>
                <w:p w14:paraId="5CA4CD6C">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20m</w:t>
                  </w:r>
                </w:p>
              </w:tc>
              <w:tc>
                <w:tcPr>
                  <w:tcW w:w="624" w:type="pct"/>
                  <w:vAlign w:val="center"/>
                </w:tcPr>
                <w:p w14:paraId="4CDDAE77">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50m</w:t>
                  </w:r>
                </w:p>
              </w:tc>
              <w:tc>
                <w:tcPr>
                  <w:tcW w:w="625" w:type="pct"/>
                  <w:vAlign w:val="center"/>
                </w:tcPr>
                <w:p w14:paraId="1AD530B8">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100m</w:t>
                  </w:r>
                </w:p>
              </w:tc>
              <w:tc>
                <w:tcPr>
                  <w:tcW w:w="632" w:type="pct"/>
                  <w:vAlign w:val="center"/>
                </w:tcPr>
                <w:p w14:paraId="1E8DD2E9">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200m</w:t>
                  </w:r>
                </w:p>
              </w:tc>
            </w:tr>
            <w:tr w14:paraId="7858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32" w:type="pct"/>
                  <w:vAlign w:val="center"/>
                </w:tcPr>
                <w:p w14:paraId="63F07AC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箱式变压器</w:t>
                  </w:r>
                </w:p>
              </w:tc>
              <w:tc>
                <w:tcPr>
                  <w:tcW w:w="614" w:type="pct"/>
                  <w:vAlign w:val="center"/>
                </w:tcPr>
                <w:p w14:paraId="3F447B8A">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50</w:t>
                  </w:r>
                </w:p>
              </w:tc>
              <w:tc>
                <w:tcPr>
                  <w:tcW w:w="489" w:type="pct"/>
                  <w:shd w:val="clear" w:color="auto" w:fill="auto"/>
                  <w:vAlign w:val="center"/>
                </w:tcPr>
                <w:p w14:paraId="06C63C7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36.4</w:t>
                  </w:r>
                </w:p>
              </w:tc>
              <w:tc>
                <w:tcPr>
                  <w:tcW w:w="557" w:type="pct"/>
                  <w:shd w:val="clear" w:color="auto" w:fill="auto"/>
                  <w:vAlign w:val="center"/>
                </w:tcPr>
                <w:p w14:paraId="7018F75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30</w:t>
                  </w:r>
                </w:p>
              </w:tc>
              <w:tc>
                <w:tcPr>
                  <w:tcW w:w="624" w:type="pct"/>
                  <w:shd w:val="clear" w:color="auto" w:fill="auto"/>
                  <w:vAlign w:val="center"/>
                </w:tcPr>
                <w:p w14:paraId="57DB4B8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24.5</w:t>
                  </w:r>
                </w:p>
              </w:tc>
              <w:tc>
                <w:tcPr>
                  <w:tcW w:w="624" w:type="pct"/>
                  <w:shd w:val="clear" w:color="auto" w:fill="auto"/>
                  <w:vAlign w:val="center"/>
                </w:tcPr>
                <w:p w14:paraId="684BEF7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16</w:t>
                  </w:r>
                </w:p>
              </w:tc>
              <w:tc>
                <w:tcPr>
                  <w:tcW w:w="625" w:type="pct"/>
                  <w:shd w:val="clear" w:color="auto" w:fill="auto"/>
                  <w:vAlign w:val="center"/>
                </w:tcPr>
                <w:p w14:paraId="1D6E38A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10</w:t>
                  </w:r>
                </w:p>
              </w:tc>
              <w:tc>
                <w:tcPr>
                  <w:tcW w:w="632" w:type="pct"/>
                  <w:shd w:val="clear" w:color="auto" w:fill="auto"/>
                  <w:vAlign w:val="center"/>
                </w:tcPr>
                <w:p w14:paraId="1C2C4AA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r>
            <w:tr w14:paraId="37CD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494354A3">
                  <w:pPr>
                    <w:keepNext w:val="0"/>
                    <w:keepLines w:val="0"/>
                    <w:suppressLineNumbers w:val="0"/>
                    <w:spacing w:before="0" w:beforeAutospacing="0" w:after="0" w:afterAutospacing="0" w:line="240" w:lineRule="auto"/>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逆变器</w:t>
                  </w:r>
                </w:p>
              </w:tc>
              <w:tc>
                <w:tcPr>
                  <w:tcW w:w="614" w:type="pct"/>
                  <w:vAlign w:val="center"/>
                </w:tcPr>
                <w:p w14:paraId="0226ED42">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50</w:t>
                  </w:r>
                </w:p>
              </w:tc>
              <w:tc>
                <w:tcPr>
                  <w:tcW w:w="489" w:type="pct"/>
                  <w:vAlign w:val="center"/>
                </w:tcPr>
                <w:p w14:paraId="64607813">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36.4</w:t>
                  </w:r>
                </w:p>
              </w:tc>
              <w:tc>
                <w:tcPr>
                  <w:tcW w:w="557" w:type="pct"/>
                  <w:vAlign w:val="center"/>
                </w:tcPr>
                <w:p w14:paraId="6A520AC5">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30</w:t>
                  </w:r>
                </w:p>
              </w:tc>
              <w:tc>
                <w:tcPr>
                  <w:tcW w:w="624" w:type="pct"/>
                  <w:vAlign w:val="center"/>
                </w:tcPr>
                <w:p w14:paraId="00B7287F">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24.5</w:t>
                  </w:r>
                </w:p>
              </w:tc>
              <w:tc>
                <w:tcPr>
                  <w:tcW w:w="624" w:type="pct"/>
                  <w:vAlign w:val="center"/>
                </w:tcPr>
                <w:p w14:paraId="207EDB30">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16</w:t>
                  </w:r>
                </w:p>
              </w:tc>
              <w:tc>
                <w:tcPr>
                  <w:tcW w:w="625" w:type="pct"/>
                  <w:vAlign w:val="center"/>
                </w:tcPr>
                <w:p w14:paraId="5E406A5E">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632" w:type="pct"/>
                  <w:vAlign w:val="center"/>
                </w:tcPr>
                <w:p w14:paraId="7FB381F8">
                  <w:pPr>
                    <w:keepNext w:val="0"/>
                    <w:keepLines w:val="0"/>
                    <w:suppressLineNumbers w:val="0"/>
                    <w:spacing w:before="0" w:beforeAutospacing="0" w:after="0" w:afterAutospacing="0" w:line="240" w:lineRule="auto"/>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4</w:t>
                  </w:r>
                </w:p>
              </w:tc>
            </w:tr>
            <w:tr w14:paraId="6307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14:paraId="3B3331FC">
                  <w:pPr>
                    <w:keepNext w:val="0"/>
                    <w:keepLines w:val="0"/>
                    <w:suppressLineNumbers w:val="0"/>
                    <w:spacing w:before="0" w:beforeAutospacing="0" w:after="0" w:afterAutospacing="0" w:line="240" w:lineRule="auto"/>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叠加值</w:t>
                  </w:r>
                </w:p>
              </w:tc>
              <w:tc>
                <w:tcPr>
                  <w:tcW w:w="614" w:type="pct"/>
                  <w:vAlign w:val="center"/>
                </w:tcPr>
                <w:p w14:paraId="2085D969">
                  <w:pPr>
                    <w:keepNext w:val="0"/>
                    <w:keepLines w:val="0"/>
                    <w:suppressLineNumbers w:val="0"/>
                    <w:spacing w:before="0" w:beforeAutospacing="0" w:after="0" w:afterAutospacing="0" w:line="240" w:lineRule="auto"/>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53</w:t>
                  </w:r>
                </w:p>
              </w:tc>
              <w:tc>
                <w:tcPr>
                  <w:tcW w:w="776" w:type="dxa"/>
                  <w:vAlign w:val="center"/>
                </w:tcPr>
                <w:p w14:paraId="1E9EADC3">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39.4</w:t>
                  </w:r>
                </w:p>
              </w:tc>
              <w:tc>
                <w:tcPr>
                  <w:tcW w:w="884" w:type="dxa"/>
                  <w:vAlign w:val="center"/>
                </w:tcPr>
                <w:p w14:paraId="6904AEFC">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33</w:t>
                  </w:r>
                </w:p>
              </w:tc>
              <w:tc>
                <w:tcPr>
                  <w:tcW w:w="990" w:type="dxa"/>
                  <w:vAlign w:val="center"/>
                </w:tcPr>
                <w:p w14:paraId="041A0887">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27.5</w:t>
                  </w:r>
                </w:p>
              </w:tc>
              <w:tc>
                <w:tcPr>
                  <w:tcW w:w="990" w:type="dxa"/>
                  <w:vAlign w:val="center"/>
                </w:tcPr>
                <w:p w14:paraId="3BC472FC">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19</w:t>
                  </w:r>
                </w:p>
              </w:tc>
              <w:tc>
                <w:tcPr>
                  <w:tcW w:w="992" w:type="dxa"/>
                  <w:vAlign w:val="center"/>
                </w:tcPr>
                <w:p w14:paraId="7D7E4A07">
                  <w:pPr>
                    <w:keepNext w:val="0"/>
                    <w:keepLines w:val="0"/>
                    <w:suppressLineNumbers w:val="0"/>
                    <w:spacing w:before="0" w:beforeAutospacing="0" w:after="0" w:afterAutospacing="0" w:line="240" w:lineRule="auto"/>
                    <w:ind w:left="0" w:leftChars="0" w:right="0" w:right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13</w:t>
                  </w:r>
                </w:p>
              </w:tc>
              <w:tc>
                <w:tcPr>
                  <w:tcW w:w="1003" w:type="dxa"/>
                  <w:vAlign w:val="center"/>
                </w:tcPr>
                <w:p w14:paraId="507D5652">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7</w:t>
                  </w:r>
                </w:p>
              </w:tc>
            </w:tr>
          </w:tbl>
          <w:p w14:paraId="36CFC6A2">
            <w:pPr>
              <w:keepNext w:val="0"/>
              <w:keepLines w:val="0"/>
              <w:suppressLineNumbers w:val="0"/>
              <w:shd w:val="clear"/>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rPr>
              <w:t>根据上表预测结果显示，在最不利的情况下（箱变和逆变器布置在同一位置）在距离声源1m处的噪声叠加值为</w:t>
            </w:r>
            <w:r>
              <w:rPr>
                <w:rFonts w:hint="eastAsia"/>
                <w:color w:val="auto"/>
                <w:sz w:val="24"/>
                <w:lang w:val="en-US" w:eastAsia="zh-CN"/>
              </w:rPr>
              <w:t>53</w:t>
            </w:r>
            <w:r>
              <w:rPr>
                <w:rFonts w:hint="eastAsia"/>
                <w:color w:val="auto"/>
                <w:sz w:val="24"/>
              </w:rPr>
              <w:t>dB（A），昼间能满足《工业企业厂界环境噪声排放标准》（GB12348-2008）</w:t>
            </w:r>
            <w:r>
              <w:rPr>
                <w:rFonts w:hint="eastAsia"/>
                <w:color w:val="auto"/>
                <w:sz w:val="24"/>
                <w:lang w:val="en-US" w:eastAsia="zh-CN"/>
              </w:rPr>
              <w:t>1</w:t>
            </w:r>
            <w:r>
              <w:rPr>
                <w:rFonts w:hint="eastAsia"/>
                <w:color w:val="auto"/>
                <w:sz w:val="24"/>
              </w:rPr>
              <w:t>类标准要求，</w:t>
            </w:r>
            <w:r>
              <w:rPr>
                <w:rFonts w:hint="eastAsia"/>
                <w:color w:val="auto"/>
                <w:sz w:val="24"/>
                <w:lang w:val="en-US" w:eastAsia="zh-CN"/>
              </w:rPr>
              <w:t>项目箱式变压器和逆变器距离最近敏感点在565m外，且</w:t>
            </w:r>
            <w:r>
              <w:rPr>
                <w:rFonts w:hint="eastAsia"/>
                <w:color w:val="auto"/>
                <w:sz w:val="24"/>
              </w:rPr>
              <w:t>项目逆变器及箱式变压器夜间不工作，对周边声环境影响较小。</w:t>
            </w:r>
          </w:p>
          <w:p w14:paraId="75E35601">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6</w:t>
            </w:r>
            <w:r>
              <w:rPr>
                <w:rFonts w:hint="default"/>
                <w:b/>
                <w:bCs/>
                <w:color w:val="auto"/>
                <w:sz w:val="24"/>
                <w:highlight w:val="none"/>
                <w:shd w:val="clear" w:color="auto" w:fill="auto"/>
              </w:rPr>
              <w:t>）固</w:t>
            </w:r>
            <w:r>
              <w:rPr>
                <w:rFonts w:hint="eastAsia"/>
                <w:b/>
                <w:bCs/>
                <w:color w:val="auto"/>
                <w:sz w:val="24"/>
                <w:highlight w:val="none"/>
                <w:shd w:val="clear" w:color="auto" w:fill="auto"/>
              </w:rPr>
              <w:t>体</w:t>
            </w:r>
            <w:r>
              <w:rPr>
                <w:rFonts w:hint="default"/>
                <w:b/>
                <w:bCs/>
                <w:color w:val="auto"/>
                <w:sz w:val="24"/>
                <w:highlight w:val="none"/>
                <w:shd w:val="clear" w:color="auto" w:fill="auto"/>
              </w:rPr>
              <w:t>废</w:t>
            </w:r>
            <w:r>
              <w:rPr>
                <w:rFonts w:hint="eastAsia"/>
                <w:b/>
                <w:bCs/>
                <w:color w:val="auto"/>
                <w:sz w:val="24"/>
                <w:highlight w:val="none"/>
                <w:shd w:val="clear" w:color="auto" w:fill="auto"/>
              </w:rPr>
              <w:t>物</w:t>
            </w:r>
          </w:p>
          <w:p w14:paraId="7E6B58A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bCs/>
                <w:color w:val="auto"/>
                <w:sz w:val="24"/>
                <w:highlight w:val="none"/>
                <w:shd w:val="clear" w:color="auto" w:fill="auto"/>
              </w:rPr>
              <w:t>项目运营期固废包括</w:t>
            </w:r>
            <w:r>
              <w:rPr>
                <w:rFonts w:hint="eastAsia"/>
                <w:color w:val="auto"/>
                <w:kern w:val="0"/>
                <w:sz w:val="24"/>
                <w:szCs w:val="24"/>
                <w:highlight w:val="none"/>
                <w:shd w:val="clear" w:color="auto" w:fill="auto"/>
              </w:rPr>
              <w:t>废光伏板</w:t>
            </w:r>
            <w:r>
              <w:rPr>
                <w:rFonts w:hint="eastAsia"/>
                <w:bCs/>
                <w:color w:val="auto"/>
                <w:sz w:val="24"/>
                <w:highlight w:val="none"/>
                <w:shd w:val="clear" w:color="auto" w:fill="auto"/>
                <w:lang w:val="en-US" w:eastAsia="zh-CN"/>
              </w:rPr>
              <w:t>、废逆变器、废电气元件、</w:t>
            </w:r>
            <w:r>
              <w:rPr>
                <w:rFonts w:hint="eastAsia"/>
                <w:bCs/>
                <w:color w:val="auto"/>
                <w:sz w:val="24"/>
                <w:highlight w:val="none"/>
                <w:shd w:val="clear" w:color="auto" w:fill="auto"/>
              </w:rPr>
              <w:t>废</w:t>
            </w:r>
            <w:r>
              <w:rPr>
                <w:rFonts w:hint="eastAsia"/>
                <w:color w:val="auto"/>
                <w:sz w:val="24"/>
                <w:highlight w:val="none"/>
                <w:shd w:val="clear" w:color="auto" w:fill="auto"/>
              </w:rPr>
              <w:t>变压器油</w:t>
            </w:r>
            <w:r>
              <w:rPr>
                <w:rFonts w:hint="default"/>
                <w:bCs/>
                <w:color w:val="auto"/>
                <w:sz w:val="24"/>
                <w:highlight w:val="none"/>
                <w:shd w:val="clear" w:color="auto" w:fill="auto"/>
              </w:rPr>
              <w:t>。</w:t>
            </w:r>
          </w:p>
          <w:p w14:paraId="3A11E9DE">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eastAsia"/>
                <w:b/>
                <w:color w:val="auto"/>
                <w:sz w:val="24"/>
                <w:highlight w:val="none"/>
                <w:shd w:val="clear" w:color="auto" w:fill="auto"/>
              </w:rPr>
              <w:t>①</w:t>
            </w:r>
            <w:r>
              <w:rPr>
                <w:rFonts w:hint="eastAsia"/>
                <w:b/>
                <w:bCs/>
                <w:color w:val="auto"/>
                <w:kern w:val="0"/>
                <w:sz w:val="24"/>
                <w:szCs w:val="24"/>
                <w:highlight w:val="none"/>
                <w:shd w:val="clear" w:color="auto" w:fill="auto"/>
              </w:rPr>
              <w:t>废光伏板及其组件</w:t>
            </w:r>
          </w:p>
          <w:p w14:paraId="1B37C5B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none"/>
                <w:shd w:val="clear" w:color="auto" w:fill="auto"/>
                <w:lang w:eastAsia="zh-CN"/>
              </w:rPr>
            </w:pPr>
            <w:r>
              <w:rPr>
                <w:rFonts w:hint="eastAsia"/>
                <w:bCs/>
                <w:color w:val="auto"/>
                <w:sz w:val="24"/>
                <w:highlight w:val="none"/>
                <w:shd w:val="clear" w:color="auto" w:fill="auto"/>
              </w:rPr>
              <w:t>根据《国家危险废物名录》</w:t>
            </w:r>
            <w:r>
              <w:rPr>
                <w:rFonts w:hint="eastAsia"/>
                <w:bCs/>
                <w:color w:val="auto"/>
                <w:sz w:val="24"/>
                <w:highlight w:val="none"/>
                <w:shd w:val="clear" w:color="auto" w:fill="auto"/>
                <w:lang w:eastAsia="zh-CN"/>
              </w:rPr>
              <w:t>（</w:t>
            </w:r>
            <w:r>
              <w:rPr>
                <w:rFonts w:hint="default"/>
                <w:bCs/>
                <w:color w:val="auto"/>
                <w:sz w:val="24"/>
                <w:highlight w:val="none"/>
                <w:shd w:val="clear" w:color="auto" w:fill="auto"/>
              </w:rPr>
              <w:t>2021</w:t>
            </w:r>
            <w:r>
              <w:rPr>
                <w:rFonts w:hint="eastAsia"/>
                <w:bCs/>
                <w:color w:val="auto"/>
                <w:sz w:val="24"/>
                <w:highlight w:val="none"/>
                <w:shd w:val="clear" w:color="auto" w:fill="auto"/>
              </w:rPr>
              <w:t>版</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进行判别，项目所用的单晶硅太阳能</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组件主要由铝合金边框、钢化玻璃、</w:t>
            </w:r>
            <w:r>
              <w:rPr>
                <w:rFonts w:hint="default"/>
                <w:bCs/>
                <w:color w:val="auto"/>
                <w:sz w:val="24"/>
                <w:highlight w:val="none"/>
                <w:shd w:val="clear" w:color="auto" w:fill="auto"/>
              </w:rPr>
              <w:t>EVA</w:t>
            </w:r>
            <w:r>
              <w:rPr>
                <w:rFonts w:hint="eastAsia"/>
                <w:bCs/>
                <w:color w:val="auto"/>
                <w:sz w:val="24"/>
                <w:highlight w:val="none"/>
                <w:shd w:val="clear" w:color="auto" w:fill="auto"/>
              </w:rPr>
              <w:t>膜、晶体硅电池片、背膜等封装而成，其中晶体硅电池片为高纯度的晶体硅制成，掺杂微量的硼、磷等，不具有腐蚀性、易燃性、毒性、反应性和感染性等危险特性。因此，本项目所使用的太阳能</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板报废后属一般工业固体废物，不属于危险废物</w:t>
            </w:r>
            <w:r>
              <w:rPr>
                <w:rFonts w:hint="eastAsia"/>
                <w:bCs/>
                <w:color w:val="auto"/>
                <w:sz w:val="24"/>
                <w:highlight w:val="none"/>
                <w:shd w:val="clear" w:color="auto" w:fill="auto"/>
                <w:lang w:eastAsia="zh-CN"/>
              </w:rPr>
              <w:t>。</w:t>
            </w:r>
          </w:p>
          <w:p w14:paraId="0F2FEF0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rPr>
            </w:pP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板使用周期为25年</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报废周期较长，但搭载光伏组件的太阳能光伏板可能发生损坏</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为保障太阳能发电站的稳定性，设备厂家对其进行定期检测，对于损坏更换的</w:t>
            </w:r>
            <w:r>
              <w:rPr>
                <w:rFonts w:hint="eastAsia"/>
                <w:bCs/>
                <w:color w:val="auto"/>
                <w:sz w:val="24"/>
                <w:highlight w:val="none"/>
                <w:shd w:val="clear" w:color="auto" w:fill="auto"/>
                <w:lang w:val="en-US" w:eastAsia="zh-CN"/>
              </w:rPr>
              <w:t>光伏板及其</w:t>
            </w:r>
            <w:r>
              <w:rPr>
                <w:rFonts w:hint="eastAsia"/>
                <w:bCs/>
                <w:color w:val="auto"/>
                <w:sz w:val="24"/>
                <w:highlight w:val="none"/>
                <w:shd w:val="clear" w:color="auto" w:fill="auto"/>
              </w:rPr>
              <w:t>组件使用寿命到期后更换下来的</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组件</w:t>
            </w:r>
            <w:r>
              <w:rPr>
                <w:rFonts w:hint="eastAsia"/>
                <w:bCs/>
                <w:color w:val="auto"/>
                <w:sz w:val="24"/>
                <w:highlight w:val="none"/>
                <w:shd w:val="clear" w:color="auto" w:fill="auto"/>
                <w:lang w:val="en-US" w:eastAsia="zh-CN"/>
              </w:rPr>
              <w:t>禁止在项目区拆分，严禁乱丢乱弃</w:t>
            </w:r>
            <w:r>
              <w:rPr>
                <w:rFonts w:hint="eastAsia"/>
                <w:bCs/>
                <w:color w:val="auto"/>
                <w:sz w:val="24"/>
                <w:highlight w:val="none"/>
                <w:shd w:val="clear" w:color="auto" w:fill="auto"/>
              </w:rPr>
              <w:t>。</w:t>
            </w:r>
            <w:r>
              <w:rPr>
                <w:rFonts w:hint="default"/>
                <w:color w:val="auto"/>
                <w:kern w:val="0"/>
                <w:sz w:val="24"/>
              </w:rPr>
              <w:t>废电池板损坏量很少，约为万分之五，即</w:t>
            </w:r>
            <w:r>
              <w:rPr>
                <w:rFonts w:hint="eastAsia"/>
                <w:color w:val="auto"/>
                <w:kern w:val="0"/>
                <w:sz w:val="24"/>
                <w:lang w:val="en-US" w:eastAsia="zh-CN"/>
              </w:rPr>
              <w:t>49</w:t>
            </w:r>
            <w:r>
              <w:rPr>
                <w:rFonts w:hint="default"/>
                <w:color w:val="auto"/>
                <w:kern w:val="0"/>
                <w:sz w:val="24"/>
              </w:rPr>
              <w:t>块/a。根据5</w:t>
            </w:r>
            <w:r>
              <w:rPr>
                <w:rFonts w:hint="eastAsia"/>
                <w:color w:val="auto"/>
                <w:kern w:val="0"/>
                <w:sz w:val="24"/>
                <w:lang w:val="en-US" w:eastAsia="zh-CN"/>
              </w:rPr>
              <w:t>9</w:t>
            </w:r>
            <w:r>
              <w:rPr>
                <w:rFonts w:hint="eastAsia"/>
                <w:color w:val="auto"/>
                <w:kern w:val="0"/>
                <w:sz w:val="24"/>
              </w:rPr>
              <w:t>0</w:t>
            </w:r>
            <w:r>
              <w:rPr>
                <w:rFonts w:hint="default"/>
                <w:color w:val="auto"/>
                <w:kern w:val="0"/>
                <w:sz w:val="24"/>
              </w:rPr>
              <w:t>Wp光伏组件技术参数表，</w:t>
            </w:r>
            <w:r>
              <w:rPr>
                <w:rFonts w:hint="eastAsia"/>
                <w:color w:val="auto"/>
                <w:kern w:val="0"/>
                <w:sz w:val="24"/>
                <w:lang w:val="en-US" w:eastAsia="zh-CN"/>
              </w:rPr>
              <w:t>双</w:t>
            </w:r>
            <w:r>
              <w:rPr>
                <w:rFonts w:hint="default"/>
                <w:color w:val="auto"/>
                <w:kern w:val="0"/>
                <w:sz w:val="24"/>
              </w:rPr>
              <w:t>面组件重量</w:t>
            </w:r>
            <w:r>
              <w:rPr>
                <w:rFonts w:hint="eastAsia"/>
                <w:color w:val="auto"/>
                <w:kern w:val="0"/>
                <w:sz w:val="24"/>
              </w:rPr>
              <w:t>约</w:t>
            </w:r>
            <w:r>
              <w:rPr>
                <w:rFonts w:hint="default"/>
                <w:color w:val="auto"/>
                <w:kern w:val="0"/>
                <w:sz w:val="24"/>
              </w:rPr>
              <w:t>为</w:t>
            </w:r>
            <w:r>
              <w:rPr>
                <w:rFonts w:hint="eastAsia"/>
                <w:color w:val="auto"/>
                <w:kern w:val="0"/>
                <w:sz w:val="24"/>
                <w:lang w:val="en-US" w:eastAsia="zh-CN"/>
              </w:rPr>
              <w:t>31.5</w:t>
            </w:r>
            <w:r>
              <w:rPr>
                <w:rFonts w:hint="default"/>
                <w:color w:val="auto"/>
                <w:kern w:val="0"/>
                <w:sz w:val="24"/>
              </w:rPr>
              <w:t>kg，废电池板产生量约</w:t>
            </w:r>
            <w:r>
              <w:rPr>
                <w:rFonts w:hint="eastAsia"/>
                <w:color w:val="auto"/>
                <w:kern w:val="0"/>
                <w:sz w:val="24"/>
                <w:lang w:val="en-US" w:eastAsia="zh-CN"/>
              </w:rPr>
              <w:t>1.54</w:t>
            </w:r>
            <w:r>
              <w:rPr>
                <w:rFonts w:hint="default" w:eastAsia="TimesNewRomanPSMT"/>
                <w:color w:val="auto"/>
                <w:kern w:val="0"/>
                <w:sz w:val="24"/>
              </w:rPr>
              <w:t>t/a</w:t>
            </w:r>
            <w:r>
              <w:rPr>
                <w:rFonts w:hint="default"/>
                <w:color w:val="auto"/>
                <w:kern w:val="0"/>
                <w:sz w:val="24"/>
              </w:rPr>
              <w:t>。按照《光伏组件回收</w:t>
            </w:r>
            <w:r>
              <w:rPr>
                <w:rFonts w:hint="eastAsia"/>
                <w:color w:val="auto"/>
                <w:kern w:val="0"/>
                <w:sz w:val="24"/>
                <w:lang w:eastAsia="zh-CN"/>
              </w:rPr>
              <w:t>再</w:t>
            </w:r>
            <w:r>
              <w:rPr>
                <w:rFonts w:hint="default"/>
                <w:color w:val="auto"/>
                <w:kern w:val="0"/>
                <w:sz w:val="24"/>
              </w:rPr>
              <w:t>利用通用技术要求》（</w:t>
            </w:r>
            <w:r>
              <w:rPr>
                <w:rFonts w:hint="default" w:eastAsia="TimesNewRomanPSMT"/>
                <w:color w:val="auto"/>
                <w:kern w:val="0"/>
                <w:sz w:val="24"/>
              </w:rPr>
              <w:t>GB/T 39753-2021</w:t>
            </w:r>
            <w:r>
              <w:rPr>
                <w:rFonts w:hint="default"/>
                <w:color w:val="auto"/>
                <w:kern w:val="0"/>
                <w:sz w:val="24"/>
              </w:rPr>
              <w:t>）相关内容，</w:t>
            </w:r>
            <w:r>
              <w:rPr>
                <w:rFonts w:hint="default"/>
                <w:bCs/>
                <w:color w:val="auto"/>
                <w:sz w:val="24"/>
              </w:rPr>
              <w:t>对于损坏更换的</w:t>
            </w:r>
            <w:r>
              <w:rPr>
                <w:rFonts w:hint="default"/>
                <w:color w:val="auto"/>
                <w:kern w:val="0"/>
                <w:sz w:val="24"/>
              </w:rPr>
              <w:t>电池板</w:t>
            </w:r>
            <w:r>
              <w:rPr>
                <w:rFonts w:hint="default"/>
                <w:bCs/>
                <w:color w:val="auto"/>
                <w:sz w:val="24"/>
              </w:rPr>
              <w:t>组件更换下来的</w:t>
            </w:r>
            <w:r>
              <w:rPr>
                <w:rFonts w:hint="default"/>
                <w:color w:val="auto"/>
                <w:kern w:val="0"/>
                <w:sz w:val="24"/>
              </w:rPr>
              <w:t>废电池板</w:t>
            </w:r>
            <w:r>
              <w:rPr>
                <w:rFonts w:hint="default"/>
                <w:bCs/>
                <w:color w:val="auto"/>
                <w:sz w:val="24"/>
              </w:rPr>
              <w:t>禁止在项目区拆分，严禁乱丢乱弃，</w:t>
            </w:r>
            <w:r>
              <w:rPr>
                <w:rFonts w:hint="eastAsia" w:hAnsi="宋体"/>
                <w:color w:val="auto"/>
                <w:sz w:val="24"/>
                <w:lang w:val="en-US" w:eastAsia="zh-CN"/>
              </w:rPr>
              <w:t>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hAnsi="宋体"/>
                <w:color w:val="auto"/>
                <w:sz w:val="24"/>
                <w:lang w:val="en-US" w:eastAsia="zh-CN"/>
              </w:rPr>
              <w:t>一般固废暂存间，</w:t>
            </w:r>
            <w:r>
              <w:rPr>
                <w:rFonts w:hint="eastAsia"/>
                <w:bCs/>
                <w:color w:val="auto"/>
                <w:sz w:val="24"/>
              </w:rPr>
              <w:t>及时委托</w:t>
            </w:r>
            <w:r>
              <w:rPr>
                <w:rFonts w:hint="default"/>
                <w:bCs/>
                <w:color w:val="auto"/>
                <w:sz w:val="24"/>
              </w:rPr>
              <w:t>专业的回收厂家收购</w:t>
            </w:r>
            <w:r>
              <w:rPr>
                <w:rFonts w:hint="eastAsia"/>
                <w:bCs/>
                <w:color w:val="auto"/>
                <w:sz w:val="24"/>
              </w:rPr>
              <w:t>回收</w:t>
            </w:r>
            <w:r>
              <w:rPr>
                <w:rFonts w:hint="default"/>
                <w:bCs/>
                <w:color w:val="auto"/>
                <w:sz w:val="24"/>
              </w:rPr>
              <w:t>处理</w:t>
            </w:r>
            <w:r>
              <w:rPr>
                <w:rFonts w:hint="default" w:hAnsi="宋体"/>
                <w:color w:val="auto"/>
                <w:sz w:val="24"/>
              </w:rPr>
              <w:t>，不得随意堆放处置</w:t>
            </w:r>
            <w:r>
              <w:rPr>
                <w:rFonts w:hint="default"/>
                <w:bCs/>
                <w:color w:val="auto"/>
                <w:sz w:val="24"/>
              </w:rPr>
              <w:t>。</w:t>
            </w:r>
          </w:p>
          <w:p w14:paraId="5BCA0725">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color w:val="auto"/>
                <w:sz w:val="24"/>
              </w:rPr>
            </w:pPr>
            <w:r>
              <w:rPr>
                <w:rFonts w:hint="eastAsia"/>
                <w:b/>
                <w:color w:val="auto"/>
                <w:sz w:val="24"/>
                <w:highlight w:val="none"/>
                <w:shd w:val="clear" w:color="auto" w:fill="auto"/>
              </w:rPr>
              <w:t>②</w:t>
            </w:r>
            <w:r>
              <w:rPr>
                <w:rFonts w:hint="eastAsia" w:ascii="Times New Roman" w:hAnsi="Times New Roman" w:eastAsia="宋体" w:cs="Times New Roman"/>
                <w:b/>
                <w:color w:val="auto"/>
                <w:sz w:val="24"/>
                <w:lang w:val="en-US" w:eastAsia="zh-CN"/>
              </w:rPr>
              <w:t xml:space="preserve">废逆变器 </w:t>
            </w:r>
          </w:p>
          <w:p w14:paraId="13E3D12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s="Times New Roman"/>
                <w:b/>
                <w:bCs/>
                <w:color w:val="auto"/>
                <w:spacing w:val="6"/>
                <w:sz w:val="24"/>
                <w:lang w:val="en-US" w:eastAsia="zh-CN"/>
              </w:rPr>
            </w:pPr>
            <w:r>
              <w:rPr>
                <w:rFonts w:hint="eastAsia" w:ascii="Times New Roman" w:hAnsi="Times New Roman" w:eastAsia="宋体" w:cs="Times New Roman"/>
                <w:bCs/>
                <w:color w:val="auto"/>
                <w:sz w:val="24"/>
                <w:highlight w:val="none"/>
                <w:shd w:val="clear" w:color="auto" w:fill="auto"/>
                <w:lang w:val="en-US" w:eastAsia="zh-CN"/>
              </w:rPr>
              <w:t>项目光伏区逆变器运营期有损坏需要更换，产生的废旧逆变器，属于一般固废，每年更换约</w:t>
            </w:r>
            <w:r>
              <w:rPr>
                <w:rFonts w:hint="eastAsia"/>
                <w:bCs/>
                <w:color w:val="auto"/>
                <w:sz w:val="24"/>
                <w:highlight w:val="none"/>
                <w:shd w:val="clear" w:color="auto" w:fill="auto"/>
                <w:lang w:val="en-US" w:eastAsia="zh-CN"/>
              </w:rPr>
              <w:t>百分之五，</w:t>
            </w:r>
            <w:r>
              <w:rPr>
                <w:rFonts w:hint="default"/>
                <w:color w:val="auto"/>
                <w:kern w:val="0"/>
                <w:sz w:val="24"/>
              </w:rPr>
              <w:t>即</w:t>
            </w:r>
            <w:r>
              <w:rPr>
                <w:rFonts w:hint="eastAsia" w:cs="Times New Roman"/>
                <w:bCs/>
                <w:color w:val="auto"/>
                <w:sz w:val="24"/>
                <w:highlight w:val="none"/>
                <w:shd w:val="clear" w:color="auto" w:fill="auto"/>
                <w:lang w:val="en-US" w:eastAsia="zh-CN"/>
              </w:rPr>
              <w:t>7</w:t>
            </w:r>
            <w:r>
              <w:rPr>
                <w:rFonts w:hint="eastAsia" w:ascii="Times New Roman" w:hAnsi="Times New Roman" w:eastAsia="宋体" w:cs="Times New Roman"/>
                <w:bCs/>
                <w:color w:val="auto"/>
                <w:sz w:val="24"/>
                <w:highlight w:val="none"/>
                <w:shd w:val="clear" w:color="auto" w:fill="auto"/>
                <w:lang w:val="en-US" w:eastAsia="zh-CN"/>
              </w:rPr>
              <w:t>个逆变器，每个逆变器116</w:t>
            </w:r>
            <w:r>
              <w:rPr>
                <w:rFonts w:hint="default" w:ascii="Times New Roman" w:hAnsi="Times New Roman" w:eastAsia="宋体" w:cs="Times New Roman"/>
                <w:bCs/>
                <w:color w:val="auto"/>
                <w:sz w:val="24"/>
                <w:highlight w:val="none"/>
                <w:shd w:val="clear" w:color="auto" w:fill="auto"/>
                <w:lang w:val="en-US" w:eastAsia="zh-CN"/>
              </w:rPr>
              <w:t>kg</w:t>
            </w:r>
            <w:r>
              <w:rPr>
                <w:rFonts w:hint="eastAsia" w:ascii="Times New Roman" w:hAnsi="Times New Roman" w:eastAsia="宋体" w:cs="Times New Roman"/>
                <w:bCs/>
                <w:color w:val="auto"/>
                <w:sz w:val="24"/>
                <w:highlight w:val="none"/>
                <w:shd w:val="clear" w:color="auto" w:fill="auto"/>
                <w:lang w:val="en-US" w:eastAsia="zh-CN"/>
              </w:rPr>
              <w:t>，每年产生废旧逆变器</w:t>
            </w:r>
            <w:r>
              <w:rPr>
                <w:rFonts w:hint="eastAsia" w:cs="Times New Roman"/>
                <w:bCs/>
                <w:color w:val="auto"/>
                <w:sz w:val="24"/>
                <w:highlight w:val="none"/>
                <w:shd w:val="clear" w:color="auto" w:fill="auto"/>
                <w:lang w:val="en-US" w:eastAsia="zh-CN"/>
              </w:rPr>
              <w:t>0.81</w:t>
            </w:r>
            <w:r>
              <w:rPr>
                <w:rFonts w:hint="default" w:ascii="Times New Roman" w:hAnsi="Times New Roman" w:eastAsia="宋体" w:cs="Times New Roman"/>
                <w:bCs/>
                <w:color w:val="auto"/>
                <w:sz w:val="24"/>
                <w:highlight w:val="none"/>
                <w:shd w:val="clear" w:color="auto" w:fill="auto"/>
                <w:lang w:val="en-US" w:eastAsia="zh-CN"/>
              </w:rPr>
              <w:t>t/a</w:t>
            </w:r>
            <w:r>
              <w:rPr>
                <w:rFonts w:hint="eastAsia" w:ascii="Times New Roman" w:hAnsi="Times New Roman" w:eastAsia="宋体" w:cs="Times New Roman"/>
                <w:bCs/>
                <w:color w:val="auto"/>
                <w:sz w:val="24"/>
                <w:highlight w:val="none"/>
                <w:shd w:val="clear" w:color="auto" w:fill="auto"/>
                <w:lang w:val="en-US" w:eastAsia="zh-CN"/>
              </w:rPr>
              <w:t>，</w:t>
            </w:r>
            <w:r>
              <w:rPr>
                <w:rFonts w:hint="eastAsia" w:cs="Times New Roman"/>
                <w:bCs/>
                <w:color w:val="auto"/>
                <w:sz w:val="24"/>
                <w:highlight w:val="none"/>
                <w:shd w:val="clear" w:color="auto" w:fill="auto"/>
                <w:lang w:val="en-US" w:eastAsia="zh-CN"/>
              </w:rPr>
              <w:t>废</w:t>
            </w:r>
            <w:r>
              <w:rPr>
                <w:rFonts w:hint="eastAsia" w:ascii="Times New Roman" w:hAnsi="Times New Roman" w:eastAsia="宋体" w:cs="Times New Roman"/>
                <w:bCs/>
                <w:color w:val="auto"/>
                <w:sz w:val="24"/>
                <w:highlight w:val="none"/>
                <w:shd w:val="clear" w:color="auto" w:fill="auto"/>
                <w:lang w:val="en-US" w:eastAsia="zh-CN"/>
              </w:rPr>
              <w:t>逆变器</w:t>
            </w:r>
            <w:r>
              <w:rPr>
                <w:rFonts w:hint="eastAsia" w:cs="Times New Roman"/>
                <w:bCs/>
                <w:color w:val="auto"/>
                <w:sz w:val="24"/>
                <w:highlight w:val="none"/>
                <w:shd w:val="clear" w:color="auto" w:fill="auto"/>
                <w:lang w:val="en-US" w:eastAsia="zh-CN"/>
              </w:rPr>
              <w:t>属于一般工业固废，根据</w:t>
            </w:r>
            <w:r>
              <w:rPr>
                <w:rFonts w:hint="eastAsia" w:ascii="Times New Roman" w:hAnsi="Times New Roman" w:eastAsia="宋体" w:cs="Times New Roman"/>
                <w:bCs/>
                <w:color w:val="auto"/>
                <w:sz w:val="24"/>
                <w:highlight w:val="none"/>
                <w:shd w:val="clear" w:color="auto" w:fill="auto"/>
                <w:lang w:val="en-US" w:eastAsia="zh-CN"/>
              </w:rPr>
              <w:t>关于发布《固体废物分类与代码目录》的公告</w:t>
            </w:r>
            <w:r>
              <w:rPr>
                <w:rFonts w:hint="eastAsia" w:cs="Times New Roman"/>
                <w:bCs/>
                <w:color w:val="auto"/>
                <w:sz w:val="24"/>
                <w:highlight w:val="none"/>
                <w:shd w:val="clear" w:color="auto" w:fill="auto"/>
                <w:lang w:val="en-US" w:eastAsia="zh-CN"/>
              </w:rPr>
              <w:t>（</w:t>
            </w:r>
            <w:r>
              <w:rPr>
                <w:rFonts w:hint="eastAsia" w:ascii="Times New Roman" w:hAnsi="Times New Roman" w:eastAsia="宋体" w:cs="Times New Roman"/>
                <w:bCs/>
                <w:color w:val="auto"/>
                <w:sz w:val="24"/>
                <w:highlight w:val="none"/>
                <w:shd w:val="clear" w:color="auto" w:fill="auto"/>
                <w:lang w:val="en-US" w:eastAsia="zh-CN"/>
              </w:rPr>
              <w:t>公告2024年第4号</w:t>
            </w:r>
            <w:r>
              <w:rPr>
                <w:rFonts w:hint="eastAsia" w:cs="Times New Roman"/>
                <w:bCs/>
                <w:color w:val="auto"/>
                <w:sz w:val="24"/>
                <w:highlight w:val="none"/>
                <w:shd w:val="clear" w:color="auto" w:fill="auto"/>
                <w:lang w:val="en-US" w:eastAsia="zh-CN"/>
              </w:rPr>
              <w:t>），代码为</w:t>
            </w:r>
            <w:r>
              <w:rPr>
                <w:rFonts w:hint="eastAsia"/>
                <w:color w:val="auto"/>
                <w:sz w:val="21"/>
                <w:szCs w:val="21"/>
                <w:highlight w:val="none"/>
                <w:shd w:val="clear" w:color="auto" w:fill="auto"/>
                <w:lang w:val="en-US" w:eastAsia="zh-CN"/>
              </w:rPr>
              <w:t>SW59 900-099-S59，</w:t>
            </w:r>
            <w:r>
              <w:rPr>
                <w:rFonts w:hint="eastAsia" w:hAnsi="宋体"/>
                <w:color w:val="auto"/>
                <w:sz w:val="24"/>
                <w:highlight w:val="none"/>
                <w:shd w:val="clear" w:color="auto" w:fill="auto"/>
                <w:lang w:val="en-US" w:eastAsia="zh-CN"/>
              </w:rPr>
              <w:t>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hAnsi="宋体"/>
                <w:color w:val="auto"/>
                <w:sz w:val="24"/>
                <w:highlight w:val="none"/>
                <w:shd w:val="clear" w:color="auto" w:fill="auto"/>
                <w:lang w:val="en-US" w:eastAsia="zh-CN"/>
              </w:rPr>
              <w:t>一般固废暂存间，</w:t>
            </w:r>
            <w:r>
              <w:rPr>
                <w:rFonts w:hint="eastAsia"/>
                <w:bCs/>
                <w:color w:val="auto"/>
                <w:sz w:val="24"/>
                <w:highlight w:val="none"/>
                <w:shd w:val="clear" w:color="auto" w:fill="auto"/>
              </w:rPr>
              <w:t>及时委托</w:t>
            </w:r>
            <w:r>
              <w:rPr>
                <w:rFonts w:hint="default"/>
                <w:bCs/>
                <w:color w:val="auto"/>
                <w:sz w:val="24"/>
                <w:highlight w:val="none"/>
                <w:shd w:val="clear" w:color="auto" w:fill="auto"/>
              </w:rPr>
              <w:t>专业的回收厂家收购</w:t>
            </w:r>
            <w:r>
              <w:rPr>
                <w:rFonts w:hint="eastAsia"/>
                <w:bCs/>
                <w:color w:val="auto"/>
                <w:sz w:val="24"/>
                <w:highlight w:val="none"/>
                <w:shd w:val="clear" w:color="auto" w:fill="auto"/>
              </w:rPr>
              <w:t>回收</w:t>
            </w:r>
            <w:r>
              <w:rPr>
                <w:rFonts w:hint="default"/>
                <w:bCs/>
                <w:color w:val="auto"/>
                <w:sz w:val="24"/>
                <w:highlight w:val="none"/>
                <w:shd w:val="clear" w:color="auto" w:fill="auto"/>
              </w:rPr>
              <w:t>处理</w:t>
            </w:r>
            <w:r>
              <w:rPr>
                <w:rFonts w:hint="default" w:hAnsi="宋体"/>
                <w:color w:val="auto"/>
                <w:sz w:val="24"/>
                <w:highlight w:val="none"/>
                <w:shd w:val="clear" w:color="auto" w:fill="auto"/>
              </w:rPr>
              <w:t>，不得随意堆放处置</w:t>
            </w:r>
            <w:r>
              <w:rPr>
                <w:rFonts w:hint="default"/>
                <w:bCs/>
                <w:color w:val="auto"/>
                <w:sz w:val="24"/>
                <w:highlight w:val="none"/>
                <w:shd w:val="clear" w:color="auto" w:fill="auto"/>
              </w:rPr>
              <w:t>。</w:t>
            </w:r>
          </w:p>
          <w:p w14:paraId="55009E42">
            <w:pPr>
              <w:keepNext w:val="0"/>
              <w:keepLines w:val="0"/>
              <w:suppressLineNumbers w:val="0"/>
              <w:adjustRightInd w:val="0"/>
              <w:snapToGrid w:val="0"/>
              <w:spacing w:before="0" w:beforeAutospacing="0" w:after="0" w:afterAutospacing="0" w:line="360" w:lineRule="auto"/>
              <w:ind w:left="0" w:right="0" w:firstLine="506" w:firstLineChars="200"/>
              <w:rPr>
                <w:rFonts w:hint="default" w:cs="Times New Roman"/>
                <w:b/>
                <w:bCs/>
                <w:color w:val="auto"/>
                <w:spacing w:val="6"/>
                <w:sz w:val="24"/>
                <w:lang w:val="en-US" w:eastAsia="zh-CN"/>
              </w:rPr>
            </w:pPr>
            <w:r>
              <w:rPr>
                <w:rFonts w:hint="eastAsia" w:cs="Times New Roman"/>
                <w:b/>
                <w:bCs/>
                <w:color w:val="auto"/>
                <w:spacing w:val="6"/>
                <w:sz w:val="24"/>
                <w:lang w:val="en-US" w:eastAsia="zh-CN"/>
              </w:rPr>
              <w:t>③废电气元件</w:t>
            </w:r>
          </w:p>
          <w:p w14:paraId="28B9392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设备检修时会产生少量废电气元件。集电线路废旧设备、材料等，这些废弃物主要是废弃的导线、螺丝钉等铁质材料，根据建设方提供的设计资料和运营同类型项目的经验，产生量为</w:t>
            </w:r>
            <w:r>
              <w:rPr>
                <w:rFonts w:hint="eastAsia" w:ascii="Times New Roman" w:hAnsi="Times New Roman" w:cs="Times New Roman"/>
                <w:bCs/>
                <w:color w:val="auto"/>
                <w:sz w:val="24"/>
                <w:lang w:val="en-US" w:eastAsia="zh-CN"/>
              </w:rPr>
              <w:t>0.</w:t>
            </w:r>
            <w:r>
              <w:rPr>
                <w:rFonts w:hint="eastAsia" w:cs="Times New Roman"/>
                <w:bCs/>
                <w:color w:val="auto"/>
                <w:sz w:val="24"/>
                <w:lang w:val="en-US" w:eastAsia="zh-CN"/>
              </w:rPr>
              <w:t>5</w:t>
            </w:r>
            <w:r>
              <w:rPr>
                <w:rFonts w:hint="eastAsia" w:ascii="Times New Roman" w:hAnsi="Times New Roman" w:eastAsia="宋体" w:cs="Times New Roman"/>
                <w:bCs/>
                <w:color w:val="auto"/>
                <w:sz w:val="24"/>
                <w:lang w:val="en-US" w:eastAsia="zh-CN"/>
              </w:rPr>
              <w:t>t/a。废电气元件</w:t>
            </w:r>
            <w:r>
              <w:rPr>
                <w:rFonts w:hint="eastAsia" w:cs="Times New Roman"/>
                <w:bCs/>
                <w:color w:val="auto"/>
                <w:sz w:val="24"/>
                <w:highlight w:val="none"/>
                <w:shd w:val="clear" w:color="auto" w:fill="auto"/>
                <w:lang w:val="en-US" w:eastAsia="zh-CN"/>
              </w:rPr>
              <w:t>属于一般工业固废，根据</w:t>
            </w:r>
            <w:r>
              <w:rPr>
                <w:rFonts w:hint="eastAsia" w:ascii="Times New Roman" w:hAnsi="Times New Roman" w:eastAsia="宋体" w:cs="Times New Roman"/>
                <w:bCs/>
                <w:color w:val="auto"/>
                <w:sz w:val="24"/>
                <w:highlight w:val="none"/>
                <w:shd w:val="clear" w:color="auto" w:fill="auto"/>
                <w:lang w:val="en-US" w:eastAsia="zh-CN"/>
              </w:rPr>
              <w:t>关于发布《固体废物分类与代码目录》的公告</w:t>
            </w:r>
            <w:r>
              <w:rPr>
                <w:rFonts w:hint="eastAsia" w:cs="Times New Roman"/>
                <w:bCs/>
                <w:color w:val="auto"/>
                <w:sz w:val="24"/>
                <w:highlight w:val="none"/>
                <w:shd w:val="clear" w:color="auto" w:fill="auto"/>
                <w:lang w:val="en-US" w:eastAsia="zh-CN"/>
              </w:rPr>
              <w:t>（</w:t>
            </w:r>
            <w:r>
              <w:rPr>
                <w:rFonts w:hint="eastAsia" w:ascii="Times New Roman" w:hAnsi="Times New Roman" w:eastAsia="宋体" w:cs="Times New Roman"/>
                <w:bCs/>
                <w:color w:val="auto"/>
                <w:sz w:val="24"/>
                <w:highlight w:val="none"/>
                <w:shd w:val="clear" w:color="auto" w:fill="auto"/>
                <w:lang w:val="en-US" w:eastAsia="zh-CN"/>
              </w:rPr>
              <w:t>公告2024年第4号</w:t>
            </w:r>
            <w:r>
              <w:rPr>
                <w:rFonts w:hint="eastAsia" w:cs="Times New Roman"/>
                <w:bCs/>
                <w:color w:val="auto"/>
                <w:sz w:val="24"/>
                <w:highlight w:val="none"/>
                <w:shd w:val="clear" w:color="auto" w:fill="auto"/>
                <w:lang w:val="en-US" w:eastAsia="zh-CN"/>
              </w:rPr>
              <w:t>），代码为</w:t>
            </w:r>
            <w:r>
              <w:rPr>
                <w:rFonts w:hint="eastAsia"/>
                <w:color w:val="auto"/>
                <w:sz w:val="21"/>
                <w:szCs w:val="21"/>
                <w:highlight w:val="none"/>
                <w:shd w:val="clear" w:color="auto" w:fill="auto"/>
                <w:lang w:val="en-US" w:eastAsia="zh-CN"/>
              </w:rPr>
              <w:t>SW59 900-099-S59，</w:t>
            </w:r>
            <w:r>
              <w:rPr>
                <w:rFonts w:hint="eastAsia" w:ascii="Times New Roman" w:hAnsi="Times New Roman" w:eastAsia="宋体" w:cs="Times New Roman"/>
                <w:bCs/>
                <w:color w:val="auto"/>
                <w:sz w:val="24"/>
                <w:lang w:val="en-US" w:eastAsia="zh-CN"/>
              </w:rPr>
              <w:t>项目运营期间意外报废的</w:t>
            </w:r>
            <w:r>
              <w:rPr>
                <w:rFonts w:hint="eastAsia" w:cs="Times New Roman"/>
                <w:bCs/>
                <w:color w:val="auto"/>
                <w:sz w:val="24"/>
                <w:lang w:val="en-US" w:eastAsia="zh-CN"/>
              </w:rPr>
              <w:t>电气元件</w:t>
            </w:r>
            <w:r>
              <w:rPr>
                <w:rFonts w:hint="eastAsia" w:ascii="Times New Roman" w:hAnsi="Times New Roman" w:eastAsia="宋体" w:cs="Times New Roman"/>
                <w:bCs/>
                <w:color w:val="auto"/>
                <w:sz w:val="24"/>
                <w:lang w:val="en-US" w:eastAsia="zh-CN"/>
              </w:rPr>
              <w:t>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eastAsia" w:ascii="Times New Roman" w:hAnsi="Times New Roman" w:eastAsia="宋体" w:cs="Times New Roman"/>
                <w:color w:val="auto"/>
                <w:kern w:val="0"/>
                <w:sz w:val="24"/>
                <w:lang w:val="en-US" w:eastAsia="zh-CN"/>
              </w:rPr>
              <w:t>升压站</w:t>
            </w:r>
            <w:r>
              <w:rPr>
                <w:rFonts w:hint="eastAsia" w:ascii="Times New Roman" w:hAnsi="Times New Roman" w:eastAsia="宋体" w:cs="Times New Roman"/>
                <w:color w:val="auto"/>
                <w:kern w:val="0"/>
                <w:sz w:val="24"/>
                <w:szCs w:val="24"/>
                <w:highlight w:val="none"/>
                <w:shd w:val="clear" w:color="auto" w:fill="auto"/>
                <w:lang w:val="en-US" w:eastAsia="zh-CN" w:bidi="ar-SA"/>
              </w:rPr>
              <w:t>一般固废暂存间</w:t>
            </w:r>
            <w:r>
              <w:rPr>
                <w:rFonts w:hint="eastAsia" w:ascii="Times New Roman" w:hAnsi="Times New Roman" w:eastAsia="宋体" w:cs="Times New Roman"/>
                <w:bCs/>
                <w:color w:val="auto"/>
                <w:sz w:val="24"/>
                <w:lang w:val="en-US" w:eastAsia="zh-CN"/>
              </w:rPr>
              <w:t>，最终由专业的回收厂家收购处理。</w:t>
            </w:r>
          </w:p>
          <w:p w14:paraId="25F16B7C">
            <w:pPr>
              <w:keepNext w:val="0"/>
              <w:keepLines w:val="0"/>
              <w:suppressLineNumbers w:val="0"/>
              <w:shd w:val="clear"/>
              <w:adjustRightInd w:val="0"/>
              <w:snapToGrid w:val="0"/>
              <w:spacing w:before="0" w:beforeAutospacing="0" w:after="0" w:afterAutospacing="0" w:line="360" w:lineRule="auto"/>
              <w:ind w:left="0" w:right="0" w:firstLine="506" w:firstLineChars="200"/>
              <w:rPr>
                <w:rFonts w:hint="default" w:ascii="Times New Roman" w:hAnsi="Times New Roman" w:eastAsia="宋体" w:cs="Times New Roman"/>
                <w:b/>
                <w:bCs/>
                <w:color w:val="auto"/>
                <w:spacing w:val="6"/>
                <w:sz w:val="24"/>
                <w:highlight w:val="none"/>
                <w:shd w:val="clear" w:color="auto" w:fill="auto"/>
                <w:lang w:val="en-US" w:eastAsia="zh-CN"/>
              </w:rPr>
            </w:pPr>
            <w:r>
              <w:rPr>
                <w:rFonts w:hint="eastAsia"/>
                <w:b/>
                <w:bCs/>
                <w:color w:val="auto"/>
                <w:spacing w:val="6"/>
                <w:sz w:val="24"/>
                <w:highlight w:val="none"/>
                <w:shd w:val="clear" w:color="auto" w:fill="auto"/>
              </w:rPr>
              <w:t>④</w:t>
            </w:r>
            <w:r>
              <w:rPr>
                <w:rFonts w:hint="eastAsia" w:ascii="Times New Roman" w:hAnsi="Times New Roman" w:eastAsia="宋体" w:cs="Times New Roman"/>
                <w:b/>
                <w:bCs/>
                <w:color w:val="auto"/>
                <w:spacing w:val="6"/>
                <w:sz w:val="24"/>
                <w:highlight w:val="none"/>
                <w:shd w:val="clear" w:color="auto" w:fill="auto"/>
                <w:lang w:val="en-US" w:eastAsia="zh-CN"/>
              </w:rPr>
              <w:t>废变压器油</w:t>
            </w:r>
          </w:p>
          <w:p w14:paraId="385D4764">
            <w:pPr>
              <w:pStyle w:val="30"/>
              <w:keepNext w:val="0"/>
              <w:keepLines w:val="0"/>
              <w:suppressLineNumbers w:val="0"/>
              <w:shd w:val="clear"/>
              <w:spacing w:before="0" w:beforeAutospacing="0" w:after="0" w:afterAutospacing="0" w:line="360" w:lineRule="auto"/>
              <w:ind w:left="0" w:right="0" w:firstLine="480" w:firstLineChars="200"/>
              <w:rPr>
                <w:rFonts w:hint="default" w:cs="Times New Roman"/>
                <w:color w:val="auto"/>
                <w:sz w:val="24"/>
                <w:highlight w:val="none"/>
                <w:shd w:val="clear" w:color="auto" w:fill="auto"/>
                <w:lang w:val="en-US" w:eastAsia="zh-CN"/>
              </w:rPr>
            </w:pPr>
            <w:r>
              <w:rPr>
                <w:rFonts w:hint="eastAsia"/>
                <w:bCs/>
                <w:color w:val="auto"/>
                <w:sz w:val="24"/>
                <w:highlight w:val="none"/>
                <w:shd w:val="clear" w:color="auto" w:fill="auto"/>
                <w:lang w:val="en-US" w:eastAsia="zh-CN"/>
              </w:rPr>
              <w:t>光伏场区布置</w:t>
            </w:r>
            <w:r>
              <w:rPr>
                <w:rFonts w:hint="eastAsia"/>
                <w:bCs/>
                <w:color w:val="auto"/>
                <w:sz w:val="24"/>
                <w:highlight w:val="none"/>
                <w:shd w:val="clear" w:color="auto" w:fill="auto"/>
              </w:rPr>
              <w:t>有</w:t>
            </w:r>
            <w:r>
              <w:rPr>
                <w:rFonts w:hint="eastAsia"/>
                <w:bCs/>
                <w:color w:val="auto"/>
                <w:sz w:val="24"/>
                <w:highlight w:val="none"/>
                <w:shd w:val="clear" w:color="auto" w:fill="auto"/>
                <w:lang w:val="en-US" w:eastAsia="zh-CN"/>
              </w:rPr>
              <w:t>14台</w:t>
            </w:r>
            <w:r>
              <w:rPr>
                <w:rFonts w:hint="eastAsia"/>
                <w:bCs/>
                <w:color w:val="auto"/>
                <w:sz w:val="24"/>
                <w:highlight w:val="none"/>
                <w:shd w:val="clear" w:color="auto" w:fill="auto"/>
              </w:rPr>
              <w:t>箱式变压器</w:t>
            </w:r>
            <w:r>
              <w:rPr>
                <w:rFonts w:hint="eastAsia"/>
                <w:color w:val="auto"/>
                <w:sz w:val="24"/>
                <w:highlight w:val="none"/>
                <w:shd w:val="clear" w:color="auto" w:fill="auto"/>
              </w:rPr>
              <w:t>。</w:t>
            </w:r>
            <w:r>
              <w:rPr>
                <w:rFonts w:hint="eastAsia"/>
                <w:bCs/>
                <w:color w:val="auto"/>
                <w:sz w:val="24"/>
                <w:highlight w:val="none"/>
                <w:shd w:val="clear" w:color="auto" w:fill="auto"/>
              </w:rPr>
              <w:t>箱式变压器</w:t>
            </w:r>
            <w:r>
              <w:rPr>
                <w:rFonts w:hint="eastAsia"/>
                <w:color w:val="auto"/>
                <w:sz w:val="24"/>
                <w:highlight w:val="none"/>
                <w:shd w:val="clear" w:color="auto" w:fill="auto"/>
                <w:lang w:val="en-US" w:eastAsia="zh-CN"/>
              </w:rPr>
              <w:t>正常运行情况下，由专业人员对变压器进行检修，变压器油经检测合格的，</w:t>
            </w:r>
            <w:r>
              <w:rPr>
                <w:rFonts w:hint="eastAsia" w:ascii="Times New Roman" w:hAnsi="Times New Roman" w:eastAsia="宋体" w:cs="Times New Roman"/>
                <w:color w:val="auto"/>
                <w:sz w:val="24"/>
                <w:highlight w:val="none"/>
                <w:shd w:val="clear" w:color="auto" w:fill="auto"/>
                <w:lang w:val="en-US" w:eastAsia="zh-CN"/>
              </w:rPr>
              <w:t>过滤</w:t>
            </w:r>
            <w:r>
              <w:rPr>
                <w:rFonts w:hint="eastAsia" w:cs="Times New Roman"/>
                <w:color w:val="auto"/>
                <w:sz w:val="24"/>
                <w:highlight w:val="none"/>
                <w:shd w:val="clear" w:color="auto" w:fill="auto"/>
                <w:lang w:val="en-US" w:eastAsia="zh-CN"/>
              </w:rPr>
              <w:t>处理后</w:t>
            </w:r>
            <w:r>
              <w:rPr>
                <w:rFonts w:hint="eastAsia" w:ascii="Times New Roman" w:hAnsi="Times New Roman" w:eastAsia="宋体" w:cs="Times New Roman"/>
                <w:color w:val="auto"/>
                <w:sz w:val="24"/>
                <w:highlight w:val="none"/>
                <w:shd w:val="clear" w:color="auto" w:fill="auto"/>
                <w:lang w:val="en-US" w:eastAsia="zh-CN"/>
              </w:rPr>
              <w:t>回用，</w:t>
            </w:r>
            <w:r>
              <w:rPr>
                <w:rFonts w:hint="default"/>
                <w:color w:val="auto"/>
                <w:kern w:val="0"/>
                <w:sz w:val="24"/>
                <w:szCs w:val="24"/>
                <w:highlight w:val="none"/>
                <w:shd w:val="clear" w:color="auto" w:fill="auto"/>
                <w:lang w:val="en-US" w:eastAsia="zh-CN" w:bidi="ar"/>
              </w:rPr>
              <w:t>单次维修产生的废变压器油</w:t>
            </w:r>
            <w:r>
              <w:rPr>
                <w:rFonts w:hint="default" w:ascii="Times New Roman" w:hAnsi="Times New Roman" w:cs="Times New Roman"/>
                <w:color w:val="auto"/>
                <w:sz w:val="24"/>
                <w:highlight w:val="none"/>
                <w:shd w:val="clear" w:color="auto" w:fill="auto"/>
                <w:lang w:val="en-US" w:eastAsia="zh-CN"/>
              </w:rPr>
              <w:t>产生量约为</w:t>
            </w:r>
            <w:r>
              <w:rPr>
                <w:rFonts w:hint="eastAsia" w:ascii="Times New Roman" w:hAnsi="Times New Roman" w:cs="Times New Roman"/>
                <w:color w:val="auto"/>
                <w:sz w:val="24"/>
                <w:highlight w:val="none"/>
                <w:shd w:val="clear" w:color="auto" w:fill="auto"/>
                <w:lang w:val="en-US" w:eastAsia="zh-CN"/>
              </w:rPr>
              <w:t>5</w:t>
            </w:r>
            <w:r>
              <w:rPr>
                <w:rFonts w:hint="default" w:ascii="Times New Roman" w:hAnsi="Times New Roman" w:cs="Times New Roman"/>
                <w:color w:val="auto"/>
                <w:sz w:val="24"/>
                <w:highlight w:val="none"/>
                <w:shd w:val="clear" w:color="auto" w:fill="auto"/>
                <w:lang w:val="en-US" w:eastAsia="zh-CN"/>
              </w:rPr>
              <w:t>%，</w:t>
            </w:r>
            <w:r>
              <w:rPr>
                <w:rFonts w:hint="eastAsia" w:cs="Times New Roman"/>
                <w:color w:val="auto"/>
                <w:sz w:val="24"/>
                <w:highlight w:val="none"/>
                <w:shd w:val="clear" w:color="auto" w:fill="auto"/>
                <w:lang w:val="en-US" w:eastAsia="zh-CN"/>
              </w:rPr>
              <w:t>则</w:t>
            </w:r>
            <w:r>
              <w:rPr>
                <w:rFonts w:hint="default" w:ascii="Times New Roman" w:hAnsi="Times New Roman" w:cs="Times New Roman"/>
                <w:color w:val="auto"/>
                <w:sz w:val="24"/>
                <w:highlight w:val="none"/>
                <w:shd w:val="clear" w:color="auto" w:fill="auto"/>
                <w:lang w:val="en-US" w:eastAsia="zh-CN"/>
              </w:rPr>
              <w:t>产生量</w:t>
            </w:r>
            <w:r>
              <w:rPr>
                <w:rFonts w:hint="eastAsia" w:ascii="Times New Roman" w:hAnsi="Times New Roman" w:cs="Times New Roman"/>
                <w:color w:val="auto"/>
                <w:sz w:val="24"/>
                <w:highlight w:val="none"/>
                <w:shd w:val="clear" w:color="auto" w:fill="auto"/>
                <w:lang w:val="en-US" w:eastAsia="zh-CN"/>
              </w:rPr>
              <w:t>为</w:t>
            </w:r>
            <w:r>
              <w:rPr>
                <w:rFonts w:hint="eastAsia" w:cs="Times New Roman"/>
                <w:color w:val="auto"/>
                <w:sz w:val="24"/>
                <w:highlight w:val="none"/>
                <w:shd w:val="clear" w:color="auto" w:fill="auto"/>
                <w:lang w:val="en-US" w:eastAsia="zh-CN"/>
              </w:rPr>
              <w:t>1.51</w:t>
            </w:r>
            <w:r>
              <w:rPr>
                <w:rFonts w:hint="eastAsia" w:ascii="Times New Roman" w:hAnsi="Times New Roman" w:cs="Times New Roman"/>
                <w:color w:val="auto"/>
                <w:sz w:val="24"/>
                <w:highlight w:val="none"/>
                <w:shd w:val="clear" w:color="auto" w:fill="auto"/>
                <w:lang w:val="en-US" w:eastAsia="zh-CN"/>
              </w:rPr>
              <w:t>t/</w:t>
            </w:r>
            <w:r>
              <w:rPr>
                <w:rFonts w:hint="eastAsia" w:cs="Times New Roman"/>
                <w:color w:val="auto"/>
                <w:sz w:val="24"/>
                <w:highlight w:val="none"/>
                <w:shd w:val="clear" w:color="auto" w:fill="auto"/>
                <w:lang w:val="en-US" w:eastAsia="zh-CN"/>
              </w:rPr>
              <w:t>次，</w:t>
            </w:r>
            <w:r>
              <w:rPr>
                <w:rFonts w:hint="default" w:ascii="Times New Roman" w:hAnsi="Times New Roman" w:eastAsia="宋体" w:cs="Times New Roman"/>
                <w:color w:val="auto"/>
                <w:sz w:val="24"/>
                <w:highlight w:val="none"/>
                <w:shd w:val="clear" w:color="auto" w:fill="auto"/>
                <w:lang w:val="en-US" w:eastAsia="zh-CN"/>
              </w:rPr>
              <w:t>在</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default" w:ascii="Times New Roman" w:hAnsi="Times New Roman" w:eastAsia="宋体" w:cs="Times New Roman"/>
                <w:color w:val="auto"/>
                <w:sz w:val="24"/>
                <w:highlight w:val="none"/>
                <w:shd w:val="clear" w:color="auto" w:fill="auto"/>
                <w:lang w:val="en-US" w:eastAsia="zh-CN"/>
              </w:rPr>
              <w:t>危废</w:t>
            </w:r>
            <w:r>
              <w:rPr>
                <w:rFonts w:hint="eastAsia" w:cs="Times New Roman"/>
                <w:color w:val="auto"/>
                <w:sz w:val="24"/>
                <w:highlight w:val="none"/>
                <w:shd w:val="clear" w:color="auto" w:fill="auto"/>
                <w:lang w:val="en-US" w:eastAsia="zh-CN"/>
              </w:rPr>
              <w:t>贮存库</w:t>
            </w:r>
            <w:r>
              <w:rPr>
                <w:rFonts w:hint="default" w:ascii="Times New Roman" w:hAnsi="Times New Roman" w:eastAsia="宋体" w:cs="Times New Roman"/>
                <w:color w:val="auto"/>
                <w:sz w:val="24"/>
                <w:highlight w:val="none"/>
                <w:shd w:val="clear" w:color="auto" w:fill="auto"/>
                <w:lang w:val="en-US" w:eastAsia="zh-CN"/>
              </w:rPr>
              <w:t>暂存后委托有资质单位处置</w:t>
            </w:r>
            <w:r>
              <w:rPr>
                <w:rFonts w:hint="eastAsia"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val="en-US" w:eastAsia="zh-CN"/>
              </w:rPr>
              <w:t>如</w:t>
            </w:r>
            <w:r>
              <w:rPr>
                <w:rFonts w:hint="eastAsia" w:cs="Times New Roman"/>
                <w:color w:val="auto"/>
                <w:sz w:val="24"/>
                <w:highlight w:val="none"/>
                <w:shd w:val="clear" w:color="auto" w:fill="auto"/>
                <w:lang w:val="en-US" w:eastAsia="zh-CN"/>
              </w:rPr>
              <w:t>遇</w:t>
            </w:r>
            <w:r>
              <w:rPr>
                <w:rFonts w:hint="eastAsia" w:ascii="Times New Roman" w:hAnsi="Times New Roman" w:eastAsia="宋体" w:cs="Times New Roman"/>
                <w:color w:val="auto"/>
                <w:sz w:val="24"/>
                <w:highlight w:val="none"/>
                <w:shd w:val="clear" w:color="auto" w:fill="auto"/>
                <w:lang w:val="en-US" w:eastAsia="zh-CN"/>
              </w:rPr>
              <w:t>油质较差</w:t>
            </w:r>
            <w:r>
              <w:rPr>
                <w:rFonts w:hint="eastAsia" w:eastAsia="宋体" w:cs="Times New Roman"/>
                <w:color w:val="auto"/>
                <w:sz w:val="24"/>
                <w:highlight w:val="none"/>
                <w:shd w:val="clear" w:color="auto" w:fill="auto"/>
                <w:lang w:val="en-US" w:eastAsia="zh-CN"/>
              </w:rPr>
              <w:t>即</w:t>
            </w:r>
            <w:r>
              <w:rPr>
                <w:rFonts w:hint="default" w:ascii="Times New Roman" w:hAnsi="Times New Roman" w:eastAsia="宋体" w:cs="Times New Roman"/>
                <w:color w:val="auto"/>
                <w:sz w:val="24"/>
                <w:highlight w:val="none"/>
                <w:shd w:val="clear" w:color="auto" w:fill="auto"/>
              </w:rPr>
              <w:t>检测不合格</w:t>
            </w:r>
            <w:r>
              <w:rPr>
                <w:rFonts w:hint="eastAsia" w:ascii="Times New Roman" w:hAnsi="Times New Roman" w:eastAsia="宋体" w:cs="Times New Roman"/>
                <w:color w:val="auto"/>
                <w:sz w:val="24"/>
                <w:highlight w:val="none"/>
                <w:shd w:val="clear" w:color="auto" w:fill="auto"/>
                <w:lang w:val="en-US" w:eastAsia="zh-CN"/>
              </w:rPr>
              <w:t>情况下</w:t>
            </w:r>
            <w:r>
              <w:rPr>
                <w:rFonts w:hint="eastAsia"/>
                <w:color w:val="auto"/>
                <w:sz w:val="24"/>
                <w:highlight w:val="none"/>
                <w:shd w:val="clear" w:color="auto" w:fill="auto"/>
                <w:lang w:val="en-US" w:eastAsia="zh-CN"/>
              </w:rPr>
              <w:t>变压器油</w:t>
            </w:r>
            <w:r>
              <w:rPr>
                <w:rFonts w:hint="eastAsia" w:ascii="Times New Roman" w:hAnsi="Times New Roman" w:eastAsia="宋体" w:cs="Times New Roman"/>
                <w:color w:val="auto"/>
                <w:sz w:val="24"/>
                <w:highlight w:val="none"/>
                <w:shd w:val="clear" w:color="auto" w:fill="auto"/>
                <w:lang w:val="en-US" w:eastAsia="zh-CN"/>
              </w:rPr>
              <w:t>需</w:t>
            </w:r>
            <w:r>
              <w:rPr>
                <w:rFonts w:hint="eastAsia" w:cs="Times New Roman"/>
                <w:color w:val="auto"/>
                <w:sz w:val="24"/>
                <w:highlight w:val="none"/>
                <w:shd w:val="clear" w:color="auto" w:fill="auto"/>
                <w:lang w:val="en-US" w:eastAsia="zh-CN"/>
              </w:rPr>
              <w:t>要</w:t>
            </w:r>
            <w:r>
              <w:rPr>
                <w:rFonts w:hint="eastAsia" w:ascii="Times New Roman" w:hAnsi="Times New Roman" w:eastAsia="宋体" w:cs="Times New Roman"/>
                <w:color w:val="auto"/>
                <w:sz w:val="24"/>
                <w:highlight w:val="none"/>
                <w:shd w:val="clear" w:color="auto" w:fill="auto"/>
                <w:lang w:val="en-US" w:eastAsia="zh-CN"/>
              </w:rPr>
              <w:t>全部进行更换，更换</w:t>
            </w:r>
            <w:r>
              <w:rPr>
                <w:rFonts w:hint="default" w:ascii="Times New Roman" w:hAnsi="Times New Roman" w:cs="Times New Roman"/>
                <w:color w:val="auto"/>
                <w:sz w:val="24"/>
                <w:highlight w:val="none"/>
                <w:shd w:val="clear" w:color="auto" w:fill="auto"/>
                <w:lang w:val="en-US" w:eastAsia="zh-CN"/>
              </w:rPr>
              <w:t>量</w:t>
            </w:r>
            <w:r>
              <w:rPr>
                <w:rFonts w:hint="eastAsia" w:ascii="Times New Roman" w:hAnsi="Times New Roman" w:cs="Times New Roman"/>
                <w:color w:val="auto"/>
                <w:sz w:val="24"/>
                <w:highlight w:val="none"/>
                <w:shd w:val="clear" w:color="auto" w:fill="auto"/>
                <w:lang w:val="en-US" w:eastAsia="zh-CN"/>
              </w:rPr>
              <w:t>为30.28t，</w:t>
            </w:r>
            <w:r>
              <w:rPr>
                <w:rFonts w:hint="default" w:ascii="宋体" w:hAnsi="宋体" w:eastAsia="宋体" w:cs="宋体"/>
                <w:color w:val="auto"/>
                <w:sz w:val="24"/>
                <w:szCs w:val="24"/>
              </w:rPr>
              <w:t>委托有资质单位在更换后即时转移处置</w:t>
            </w:r>
            <w:r>
              <w:rPr>
                <w:rFonts w:hint="eastAsia" w:cs="Times New Roman"/>
                <w:color w:val="auto"/>
                <w:sz w:val="24"/>
                <w:highlight w:val="none"/>
                <w:shd w:val="clear" w:color="auto" w:fill="auto"/>
                <w:lang w:val="en-US" w:eastAsia="zh-CN"/>
              </w:rPr>
              <w:t>。</w:t>
            </w:r>
          </w:p>
          <w:p w14:paraId="75698D0C">
            <w:pPr>
              <w:pStyle w:val="30"/>
              <w:keepNext w:val="0"/>
              <w:keepLines w:val="0"/>
              <w:suppressLineNumbers w:val="0"/>
              <w:shd w:val="clear"/>
              <w:spacing w:before="0" w:beforeAutospacing="0" w:after="0" w:afterAutospacing="0" w:line="360" w:lineRule="auto"/>
              <w:ind w:left="0" w:right="0" w:firstLine="480" w:firstLineChars="200"/>
              <w:rPr>
                <w:rFonts w:hint="eastAsia"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rPr>
              <w:t>当</w:t>
            </w:r>
            <w:r>
              <w:rPr>
                <w:rFonts w:hint="eastAsia" w:cs="Times New Roman"/>
                <w:color w:val="auto"/>
                <w:sz w:val="24"/>
                <w:highlight w:val="none"/>
                <w:shd w:val="clear" w:color="auto" w:fill="auto"/>
                <w:lang w:val="en-US" w:eastAsia="zh-CN"/>
              </w:rPr>
              <w:t>箱式变压器</w:t>
            </w:r>
            <w:r>
              <w:rPr>
                <w:rFonts w:hint="default" w:ascii="Times New Roman" w:hAnsi="Times New Roman" w:eastAsia="宋体" w:cs="Times New Roman"/>
                <w:color w:val="auto"/>
                <w:sz w:val="24"/>
                <w:highlight w:val="none"/>
                <w:shd w:val="clear" w:color="auto" w:fill="auto"/>
              </w:rPr>
              <w:t>发生</w:t>
            </w:r>
            <w:r>
              <w:rPr>
                <w:rFonts w:hint="eastAsia" w:cs="Times New Roman"/>
                <w:color w:val="auto"/>
                <w:sz w:val="24"/>
                <w:highlight w:val="none"/>
                <w:shd w:val="clear" w:color="auto" w:fill="auto"/>
                <w:lang w:val="en-US" w:eastAsia="zh-CN"/>
              </w:rPr>
              <w:t>泄漏</w:t>
            </w:r>
            <w:r>
              <w:rPr>
                <w:rFonts w:hint="eastAsia" w:ascii="Times New Roman" w:hAnsi="Times New Roman" w:eastAsia="宋体" w:cs="Times New Roman"/>
                <w:color w:val="auto"/>
                <w:sz w:val="24"/>
                <w:highlight w:val="none"/>
                <w:shd w:val="clear" w:color="auto" w:fill="auto"/>
                <w:lang w:val="en-US" w:eastAsia="zh-CN"/>
              </w:rPr>
              <w:t>时会产生事故废油</w:t>
            </w:r>
            <w:r>
              <w:rPr>
                <w:rFonts w:hint="eastAsia" w:cs="Times New Roman"/>
                <w:color w:val="auto"/>
                <w:sz w:val="24"/>
                <w:highlight w:val="none"/>
                <w:shd w:val="clear" w:color="auto" w:fill="auto"/>
                <w:lang w:val="en-US" w:eastAsia="zh-CN"/>
              </w:rPr>
              <w:t>，引入事故油池暂存</w:t>
            </w:r>
            <w:r>
              <w:rPr>
                <w:rFonts w:hint="eastAsia" w:cs="Times New Roman"/>
                <w:color w:val="auto"/>
                <w:sz w:val="24"/>
                <w:highlight w:val="none"/>
                <w:shd w:val="clear" w:color="auto" w:fill="auto"/>
                <w:lang w:eastAsia="zh-CN"/>
              </w:rPr>
              <w:t>，</w:t>
            </w:r>
            <w:r>
              <w:rPr>
                <w:rFonts w:hint="eastAsia" w:cs="Times New Roman"/>
                <w:color w:val="auto"/>
                <w:sz w:val="24"/>
                <w:highlight w:val="none"/>
                <w:shd w:val="clear" w:color="auto" w:fill="auto"/>
                <w:lang w:val="en-US" w:eastAsia="zh-CN"/>
              </w:rPr>
              <w:t>再</w:t>
            </w:r>
            <w:r>
              <w:rPr>
                <w:rFonts w:hint="default" w:ascii="Times New Roman" w:hAnsi="Times New Roman" w:eastAsia="宋体" w:cs="Times New Roman"/>
                <w:color w:val="auto"/>
                <w:sz w:val="24"/>
                <w:highlight w:val="none"/>
                <w:shd w:val="clear" w:color="auto" w:fill="auto"/>
                <w:lang w:eastAsia="zh-CN"/>
              </w:rPr>
              <w:t>经</w:t>
            </w:r>
            <w:r>
              <w:rPr>
                <w:rFonts w:hint="eastAsia" w:ascii="Times New Roman" w:hAnsi="Times New Roman" w:eastAsia="宋体" w:cs="Times New Roman"/>
                <w:color w:val="auto"/>
                <w:sz w:val="24"/>
                <w:highlight w:val="none"/>
                <w:shd w:val="clear" w:color="auto" w:fill="auto"/>
                <w:lang w:eastAsia="zh-CN"/>
              </w:rPr>
              <w:t>维修</w:t>
            </w:r>
            <w:r>
              <w:rPr>
                <w:rFonts w:hint="default" w:ascii="Times New Roman" w:hAnsi="Times New Roman" w:eastAsia="宋体" w:cs="Times New Roman"/>
                <w:color w:val="auto"/>
                <w:sz w:val="24"/>
                <w:highlight w:val="none"/>
                <w:shd w:val="clear" w:color="auto" w:fill="auto"/>
                <w:lang w:eastAsia="zh-CN"/>
              </w:rPr>
              <w:t>人员</w:t>
            </w:r>
            <w:r>
              <w:rPr>
                <w:rFonts w:hint="eastAsia" w:ascii="Times New Roman" w:hAnsi="Times New Roman" w:eastAsia="宋体" w:cs="Times New Roman"/>
                <w:color w:val="auto"/>
                <w:sz w:val="24"/>
                <w:highlight w:val="none"/>
                <w:shd w:val="clear" w:color="auto" w:fill="auto"/>
                <w:lang w:val="en-US" w:eastAsia="zh-CN"/>
              </w:rPr>
              <w:t>过滤</w:t>
            </w:r>
            <w:r>
              <w:rPr>
                <w:rFonts w:hint="default" w:ascii="Times New Roman" w:hAnsi="Times New Roman" w:eastAsia="宋体" w:cs="Times New Roman"/>
                <w:color w:val="auto"/>
                <w:sz w:val="24"/>
                <w:highlight w:val="none"/>
                <w:shd w:val="clear" w:color="auto" w:fill="auto"/>
                <w:lang w:eastAsia="zh-CN"/>
              </w:rPr>
              <w:t>处理后</w:t>
            </w:r>
            <w:r>
              <w:rPr>
                <w:rFonts w:hint="eastAsia" w:ascii="Times New Roman" w:hAnsi="Times New Roman" w:eastAsia="宋体" w:cs="Times New Roman"/>
                <w:color w:val="auto"/>
                <w:sz w:val="24"/>
                <w:highlight w:val="none"/>
                <w:shd w:val="clear" w:color="auto" w:fill="auto"/>
                <w:lang w:val="en-US" w:eastAsia="zh-CN"/>
              </w:rPr>
              <w:t>回用</w:t>
            </w:r>
            <w:r>
              <w:rPr>
                <w:rFonts w:hint="default" w:ascii="Times New Roman" w:hAnsi="Times New Roman" w:eastAsia="宋体" w:cs="Times New Roman"/>
                <w:color w:val="auto"/>
                <w:sz w:val="24"/>
                <w:highlight w:val="none"/>
                <w:shd w:val="clear" w:color="auto" w:fill="auto"/>
                <w:lang w:eastAsia="zh-CN"/>
              </w:rPr>
              <w:t>，废油处理过程中约92%的废油经</w:t>
            </w:r>
            <w:r>
              <w:rPr>
                <w:rFonts w:hint="eastAsia" w:ascii="Times New Roman" w:hAnsi="Times New Roman" w:eastAsia="宋体" w:cs="Times New Roman"/>
                <w:color w:val="auto"/>
                <w:sz w:val="24"/>
                <w:highlight w:val="none"/>
                <w:shd w:val="clear" w:color="auto" w:fill="auto"/>
                <w:lang w:val="en-US" w:eastAsia="zh-CN"/>
              </w:rPr>
              <w:t>过滤</w:t>
            </w:r>
            <w:r>
              <w:rPr>
                <w:rFonts w:hint="default" w:ascii="Times New Roman" w:hAnsi="Times New Roman" w:eastAsia="宋体" w:cs="Times New Roman"/>
                <w:color w:val="auto"/>
                <w:sz w:val="24"/>
                <w:highlight w:val="none"/>
                <w:shd w:val="clear" w:color="auto" w:fill="auto"/>
                <w:lang w:eastAsia="zh-CN"/>
              </w:rPr>
              <w:t>处理后属合格变压器油，剩余的8%的废油为废油渣不能使用</w:t>
            </w:r>
            <w:r>
              <w:rPr>
                <w:rFonts w:hint="eastAsia" w:cs="Times New Roman"/>
                <w:color w:val="auto"/>
                <w:sz w:val="24"/>
                <w:highlight w:val="none"/>
                <w:shd w:val="clear" w:color="auto" w:fill="auto"/>
                <w:lang w:eastAsia="zh-CN"/>
              </w:rPr>
              <w:t>，</w:t>
            </w:r>
            <w:r>
              <w:rPr>
                <w:rFonts w:hint="eastAsia"/>
                <w:bCs/>
                <w:color w:val="auto"/>
                <w:sz w:val="24"/>
                <w:szCs w:val="24"/>
                <w:highlight w:val="none"/>
                <w:shd w:val="clear" w:color="auto" w:fill="auto"/>
              </w:rPr>
              <w:t>箱式变压器</w:t>
            </w:r>
            <w:r>
              <w:rPr>
                <w:rFonts w:hint="eastAsia" w:ascii="Times New Roman" w:hAnsi="Times New Roman" w:eastAsia="宋体" w:cs="Times New Roman"/>
                <w:color w:val="auto"/>
                <w:sz w:val="24"/>
                <w:highlight w:val="none"/>
                <w:shd w:val="clear" w:color="auto" w:fill="auto"/>
                <w:lang w:val="en-US" w:eastAsia="zh-CN"/>
              </w:rPr>
              <w:t>事故废油</w:t>
            </w:r>
            <w:r>
              <w:rPr>
                <w:rFonts w:hint="eastAsia" w:ascii="Times New Roman" w:hAnsi="Times New Roman" w:eastAsia="宋体" w:cs="Times New Roman"/>
                <w:color w:val="auto"/>
                <w:sz w:val="24"/>
                <w:highlight w:val="none"/>
                <w:shd w:val="clear" w:color="auto" w:fill="auto"/>
                <w:lang w:eastAsia="zh-CN"/>
              </w:rPr>
              <w:t>产生量为</w:t>
            </w:r>
            <w:r>
              <w:rPr>
                <w:rFonts w:hint="eastAsia" w:cs="Times New Roman"/>
                <w:color w:val="auto"/>
                <w:sz w:val="24"/>
                <w:highlight w:val="none"/>
                <w:shd w:val="clear" w:color="auto" w:fill="auto"/>
                <w:lang w:val="en-US" w:eastAsia="zh-CN"/>
              </w:rPr>
              <w:t>2.42</w:t>
            </w:r>
            <w:r>
              <w:rPr>
                <w:rFonts w:hint="eastAsia" w:ascii="Times New Roman" w:hAnsi="Times New Roman" w:eastAsia="宋体" w:cs="Times New Roman"/>
                <w:color w:val="auto"/>
                <w:sz w:val="24"/>
                <w:highlight w:val="none"/>
                <w:shd w:val="clear" w:color="auto" w:fill="auto"/>
                <w:lang w:val="en-US" w:eastAsia="zh-CN"/>
              </w:rPr>
              <w:t>t/次</w:t>
            </w:r>
            <w:r>
              <w:rPr>
                <w:rFonts w:hint="eastAsia" w:cs="Times New Roman"/>
                <w:color w:val="auto"/>
                <w:sz w:val="24"/>
                <w:highlight w:val="none"/>
                <w:shd w:val="clear" w:color="auto" w:fill="auto"/>
                <w:lang w:eastAsia="zh-CN"/>
              </w:rPr>
              <w:t>。</w:t>
            </w:r>
          </w:p>
          <w:p w14:paraId="088988F3">
            <w:pPr>
              <w:keepNext w:val="0"/>
              <w:keepLines w:val="0"/>
              <w:suppressLineNumbers w:val="0"/>
              <w:adjustRightInd w:val="0"/>
              <w:snapToGrid w:val="0"/>
              <w:spacing w:before="0" w:beforeAutospacing="0" w:after="0" w:afterAutospacing="0" w:line="360" w:lineRule="auto"/>
              <w:ind w:left="0" w:right="0" w:firstLine="480" w:firstLineChars="200"/>
              <w:rPr>
                <w:rFonts w:hint="eastAsia"/>
                <w:b/>
                <w:color w:val="auto"/>
                <w:sz w:val="24"/>
                <w:highlight w:val="yellow"/>
              </w:rPr>
            </w:pPr>
            <w:r>
              <w:rPr>
                <w:rFonts w:hint="eastAsia"/>
                <w:color w:val="auto"/>
                <w:sz w:val="24"/>
                <w:szCs w:val="24"/>
                <w:highlight w:val="none"/>
                <w:shd w:val="clear" w:color="auto" w:fill="auto"/>
              </w:rPr>
              <w:t>同时，为防止变压器油泄漏至外环境，</w:t>
            </w:r>
            <w:r>
              <w:rPr>
                <w:rFonts w:hint="eastAsia"/>
                <w:bCs/>
                <w:color w:val="auto"/>
                <w:sz w:val="24"/>
                <w:highlight w:val="none"/>
                <w:shd w:val="clear" w:color="auto" w:fill="auto"/>
              </w:rPr>
              <w:t>项目在</w:t>
            </w:r>
            <w:r>
              <w:rPr>
                <w:rFonts w:hint="default"/>
                <w:color w:val="auto"/>
                <w:kern w:val="0"/>
                <w:sz w:val="24"/>
                <w:highlight w:val="none"/>
                <w:shd w:val="clear" w:color="auto" w:fill="auto"/>
              </w:rPr>
              <w:t>箱式变压器下方基础处设置</w:t>
            </w:r>
            <w:r>
              <w:rPr>
                <w:rFonts w:hint="eastAsia"/>
                <w:bCs/>
                <w:color w:val="auto"/>
                <w:sz w:val="24"/>
                <w:highlight w:val="none"/>
                <w:lang w:val="en-US" w:eastAsia="zh-CN"/>
              </w:rPr>
              <w:t>14</w:t>
            </w:r>
            <w:r>
              <w:rPr>
                <w:rFonts w:hint="eastAsia"/>
                <w:color w:val="auto"/>
                <w:kern w:val="0"/>
                <w:sz w:val="24"/>
                <w:highlight w:val="none"/>
                <w:shd w:val="clear" w:color="auto" w:fill="auto"/>
              </w:rPr>
              <w:t>个</w:t>
            </w:r>
            <w:r>
              <w:rPr>
                <w:rFonts w:hint="eastAsia"/>
                <w:color w:val="auto"/>
                <w:kern w:val="0"/>
                <w:sz w:val="24"/>
                <w:highlight w:val="none"/>
                <w:shd w:val="clear" w:color="auto" w:fill="auto"/>
                <w:lang w:val="en-US" w:eastAsia="zh-CN"/>
              </w:rPr>
              <w:t>事故油池</w:t>
            </w:r>
            <w:r>
              <w:rPr>
                <w:rFonts w:hint="default"/>
                <w:color w:val="auto"/>
                <w:kern w:val="0"/>
                <w:sz w:val="24"/>
                <w:highlight w:val="none"/>
                <w:shd w:val="clear" w:color="auto" w:fill="auto"/>
              </w:rPr>
              <w:t>。</w:t>
            </w:r>
            <w:r>
              <w:rPr>
                <w:rFonts w:hint="eastAsia"/>
                <w:color w:val="auto"/>
                <w:sz w:val="24"/>
                <w:highlight w:val="none"/>
              </w:rPr>
              <w:t>根据设计资料，本项目</w:t>
            </w:r>
            <w:r>
              <w:rPr>
                <w:rFonts w:hint="eastAsia"/>
                <w:color w:val="auto"/>
                <w:sz w:val="24"/>
                <w:highlight w:val="none"/>
                <w:lang w:val="en-US" w:eastAsia="zh-CN"/>
              </w:rPr>
              <w:t>1</w:t>
            </w:r>
            <w:r>
              <w:rPr>
                <w:rFonts w:hint="eastAsia"/>
                <w:color w:val="auto"/>
                <w:sz w:val="24"/>
                <w:highlight w:val="none"/>
              </w:rPr>
              <w:t>台S</w:t>
            </w:r>
            <w:r>
              <w:rPr>
                <w:rFonts w:hint="eastAsia"/>
                <w:color w:val="auto"/>
                <w:sz w:val="24"/>
                <w:highlight w:val="none"/>
                <w:lang w:val="en-US" w:eastAsia="zh-CN"/>
              </w:rPr>
              <w:t>20</w:t>
            </w:r>
            <w:r>
              <w:rPr>
                <w:rFonts w:hint="eastAsia"/>
                <w:color w:val="auto"/>
                <w:sz w:val="24"/>
                <w:highlight w:val="none"/>
              </w:rPr>
              <w:t>-</w:t>
            </w:r>
            <w:r>
              <w:rPr>
                <w:rFonts w:hint="eastAsia"/>
                <w:color w:val="auto"/>
                <w:sz w:val="24"/>
                <w:highlight w:val="none"/>
                <w:lang w:val="en-US" w:eastAsia="zh-CN"/>
              </w:rPr>
              <w:t>2600</w:t>
            </w:r>
            <w:r>
              <w:rPr>
                <w:rFonts w:hint="eastAsia"/>
                <w:color w:val="auto"/>
                <w:sz w:val="24"/>
                <w:highlight w:val="none"/>
              </w:rPr>
              <w:t>型箱变每台油重约1.</w:t>
            </w:r>
            <w:r>
              <w:rPr>
                <w:rFonts w:hint="eastAsia"/>
                <w:color w:val="auto"/>
                <w:sz w:val="24"/>
                <w:highlight w:val="none"/>
                <w:lang w:val="en-US" w:eastAsia="zh-CN"/>
              </w:rPr>
              <w:t>99</w:t>
            </w:r>
            <w:r>
              <w:rPr>
                <w:rFonts w:hint="eastAsia"/>
                <w:color w:val="auto"/>
                <w:sz w:val="24"/>
                <w:highlight w:val="none"/>
              </w:rPr>
              <w:t>t，折算成体积约为</w:t>
            </w:r>
            <w:r>
              <w:rPr>
                <w:rFonts w:hint="eastAsia"/>
                <w:color w:val="auto"/>
                <w:sz w:val="24"/>
                <w:highlight w:val="none"/>
                <w:lang w:val="en-US" w:eastAsia="zh-CN"/>
              </w:rPr>
              <w:t>1.78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shd w:val="clear" w:color="auto" w:fill="auto"/>
              </w:rPr>
              <w:t>（</w:t>
            </w:r>
            <w:r>
              <w:rPr>
                <w:rFonts w:hint="eastAsia"/>
                <w:bCs/>
                <w:color w:val="auto"/>
                <w:sz w:val="24"/>
                <w:highlight w:val="none"/>
                <w:shd w:val="clear" w:color="auto" w:fill="auto"/>
              </w:rPr>
              <w:t>使用的油的种类为环烷基矿物油，密度为8</w:t>
            </w:r>
            <w:r>
              <w:rPr>
                <w:rFonts w:hint="eastAsia"/>
                <w:bCs/>
                <w:color w:val="auto"/>
                <w:sz w:val="24"/>
                <w:highlight w:val="none"/>
                <w:shd w:val="clear" w:color="auto" w:fill="auto"/>
                <w:lang w:val="en-US" w:eastAsia="zh-CN"/>
              </w:rPr>
              <w:t>9</w:t>
            </w:r>
            <w:r>
              <w:rPr>
                <w:rFonts w:hint="eastAsia"/>
                <w:bCs/>
                <w:color w:val="auto"/>
                <w:sz w:val="24"/>
                <w:highlight w:val="none"/>
                <w:shd w:val="clear" w:color="auto" w:fill="auto"/>
              </w:rPr>
              <w:t>5</w:t>
            </w:r>
            <w:r>
              <w:rPr>
                <w:rFonts w:hint="eastAsia"/>
                <w:bCs/>
                <w:color w:val="auto"/>
                <w:sz w:val="24"/>
                <w:highlight w:val="none"/>
                <w:shd w:val="clear" w:color="auto" w:fill="auto"/>
                <w:lang w:val="en-US" w:eastAsia="zh-CN"/>
              </w:rPr>
              <w:t>k</w:t>
            </w:r>
            <w:r>
              <w:rPr>
                <w:rFonts w:hint="eastAsia"/>
                <w:bCs/>
                <w:color w:val="auto"/>
                <w:sz w:val="24"/>
                <w:highlight w:val="none"/>
                <w:shd w:val="clear" w:color="auto" w:fill="auto"/>
              </w:rPr>
              <w:t>g/m</w:t>
            </w:r>
            <w:r>
              <w:rPr>
                <w:rFonts w:hint="eastAsia"/>
                <w:bCs/>
                <w:color w:val="auto"/>
                <w:sz w:val="24"/>
                <w:highlight w:val="none"/>
                <w:shd w:val="clear" w:color="auto" w:fill="auto"/>
                <w:vertAlign w:val="superscript"/>
              </w:rPr>
              <w:t>3</w:t>
            </w:r>
            <w:r>
              <w:rPr>
                <w:rFonts w:hint="eastAsia"/>
                <w:color w:val="auto"/>
                <w:sz w:val="24"/>
                <w:highlight w:val="none"/>
                <w:shd w:val="clear" w:color="auto" w:fill="auto"/>
              </w:rPr>
              <w:t>）</w:t>
            </w:r>
            <w:r>
              <w:rPr>
                <w:rFonts w:hint="eastAsia"/>
                <w:color w:val="auto"/>
                <w:sz w:val="24"/>
                <w:highlight w:val="none"/>
              </w:rPr>
              <w:t>，则对应</w:t>
            </w:r>
            <w:r>
              <w:rPr>
                <w:rFonts w:hint="eastAsia"/>
                <w:color w:val="auto"/>
                <w:kern w:val="0"/>
                <w:sz w:val="24"/>
                <w:highlight w:val="none"/>
                <w:lang w:eastAsia="zh-CN"/>
              </w:rPr>
              <w:t>事故油池</w:t>
            </w:r>
            <w:r>
              <w:rPr>
                <w:rFonts w:hint="eastAsia"/>
                <w:color w:val="auto"/>
                <w:sz w:val="24"/>
                <w:highlight w:val="none"/>
              </w:rPr>
              <w:t>容积应不低于</w:t>
            </w:r>
            <w:r>
              <w:rPr>
                <w:rFonts w:hint="eastAsia"/>
                <w:color w:val="auto"/>
                <w:sz w:val="24"/>
                <w:highlight w:val="none"/>
                <w:lang w:val="en-US" w:eastAsia="zh-CN"/>
              </w:rPr>
              <w:t>1.8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11</w:t>
            </w:r>
            <w:r>
              <w:rPr>
                <w:rFonts w:hint="eastAsia"/>
                <w:color w:val="auto"/>
                <w:sz w:val="24"/>
                <w:highlight w:val="none"/>
              </w:rPr>
              <w:t>台S</w:t>
            </w:r>
            <w:r>
              <w:rPr>
                <w:rFonts w:hint="eastAsia"/>
                <w:color w:val="auto"/>
                <w:sz w:val="24"/>
                <w:highlight w:val="none"/>
                <w:lang w:val="en-US" w:eastAsia="zh-CN"/>
              </w:rPr>
              <w:t>20</w:t>
            </w:r>
            <w:r>
              <w:rPr>
                <w:rFonts w:hint="eastAsia"/>
                <w:color w:val="auto"/>
                <w:sz w:val="24"/>
                <w:highlight w:val="none"/>
              </w:rPr>
              <w:t>-</w:t>
            </w:r>
            <w:r>
              <w:rPr>
                <w:rFonts w:hint="eastAsia"/>
                <w:color w:val="auto"/>
                <w:sz w:val="24"/>
                <w:highlight w:val="none"/>
                <w:lang w:val="en-US" w:eastAsia="zh-CN"/>
              </w:rPr>
              <w:t>32</w:t>
            </w:r>
            <w:r>
              <w:rPr>
                <w:rFonts w:hint="eastAsia"/>
                <w:color w:val="auto"/>
                <w:sz w:val="24"/>
                <w:highlight w:val="none"/>
              </w:rPr>
              <w:t>00型箱变每台油重约</w:t>
            </w:r>
            <w:r>
              <w:rPr>
                <w:rFonts w:hint="eastAsia"/>
                <w:color w:val="auto"/>
                <w:sz w:val="24"/>
                <w:highlight w:val="none"/>
                <w:lang w:val="en-US" w:eastAsia="zh-CN"/>
              </w:rPr>
              <w:t>2.13</w:t>
            </w:r>
            <w:r>
              <w:rPr>
                <w:rFonts w:hint="eastAsia"/>
                <w:color w:val="auto"/>
                <w:sz w:val="24"/>
                <w:highlight w:val="none"/>
              </w:rPr>
              <w:t>t，折算成体积约为</w:t>
            </w:r>
            <w:r>
              <w:rPr>
                <w:rFonts w:hint="eastAsia"/>
                <w:color w:val="auto"/>
                <w:sz w:val="24"/>
                <w:highlight w:val="none"/>
                <w:lang w:val="en-US" w:eastAsia="zh-CN"/>
              </w:rPr>
              <w:t>1.90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，则对应</w:t>
            </w:r>
            <w:r>
              <w:rPr>
                <w:rFonts w:hint="eastAsia"/>
                <w:color w:val="auto"/>
                <w:kern w:val="0"/>
                <w:sz w:val="24"/>
                <w:highlight w:val="none"/>
                <w:lang w:eastAsia="zh-CN"/>
              </w:rPr>
              <w:t>事故油池</w:t>
            </w:r>
            <w:r>
              <w:rPr>
                <w:rFonts w:hint="eastAsia"/>
                <w:color w:val="auto"/>
                <w:sz w:val="24"/>
                <w:highlight w:val="none"/>
              </w:rPr>
              <w:t>容积应不低于</w:t>
            </w:r>
            <w:r>
              <w:rPr>
                <w:rFonts w:hint="eastAsia"/>
                <w:color w:val="auto"/>
                <w:sz w:val="24"/>
                <w:highlight w:val="none"/>
                <w:lang w:val="en-US" w:eastAsia="zh-CN"/>
              </w:rPr>
              <w:t>1.9</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1</w:t>
            </w:r>
            <w:r>
              <w:rPr>
                <w:rFonts w:hint="eastAsia"/>
                <w:color w:val="auto"/>
                <w:sz w:val="24"/>
                <w:highlight w:val="none"/>
              </w:rPr>
              <w:t>台S</w:t>
            </w:r>
            <w:r>
              <w:rPr>
                <w:rFonts w:hint="eastAsia"/>
                <w:color w:val="auto"/>
                <w:sz w:val="24"/>
                <w:highlight w:val="none"/>
                <w:lang w:val="en-US" w:eastAsia="zh-CN"/>
              </w:rPr>
              <w:t>20</w:t>
            </w:r>
            <w:r>
              <w:rPr>
                <w:rFonts w:hint="eastAsia"/>
                <w:color w:val="auto"/>
                <w:sz w:val="24"/>
                <w:highlight w:val="none"/>
              </w:rPr>
              <w:t>-</w:t>
            </w:r>
            <w:r>
              <w:rPr>
                <w:rFonts w:hint="eastAsia"/>
                <w:color w:val="auto"/>
                <w:sz w:val="24"/>
                <w:highlight w:val="none"/>
                <w:lang w:val="en-US" w:eastAsia="zh-CN"/>
              </w:rPr>
              <w:t>36</w:t>
            </w:r>
            <w:r>
              <w:rPr>
                <w:rFonts w:hint="eastAsia"/>
                <w:color w:val="auto"/>
                <w:sz w:val="24"/>
                <w:highlight w:val="none"/>
              </w:rPr>
              <w:t>00型箱变每台油重约</w:t>
            </w:r>
            <w:r>
              <w:rPr>
                <w:rFonts w:hint="eastAsia"/>
                <w:color w:val="auto"/>
                <w:sz w:val="24"/>
                <w:highlight w:val="none"/>
                <w:lang w:val="en-US" w:eastAsia="zh-CN"/>
              </w:rPr>
              <w:t>2.33</w:t>
            </w:r>
            <w:r>
              <w:rPr>
                <w:rFonts w:hint="eastAsia"/>
                <w:color w:val="auto"/>
                <w:sz w:val="24"/>
                <w:highlight w:val="none"/>
              </w:rPr>
              <w:t>t，折算成体积约为</w:t>
            </w:r>
            <w:r>
              <w:rPr>
                <w:rFonts w:hint="eastAsia"/>
                <w:color w:val="auto"/>
                <w:sz w:val="24"/>
                <w:highlight w:val="none"/>
                <w:lang w:val="en-US" w:eastAsia="zh-CN"/>
              </w:rPr>
              <w:t>2.08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，则对应</w:t>
            </w:r>
            <w:r>
              <w:rPr>
                <w:rFonts w:hint="eastAsia"/>
                <w:color w:val="auto"/>
                <w:kern w:val="0"/>
                <w:sz w:val="24"/>
                <w:highlight w:val="none"/>
                <w:lang w:eastAsia="zh-CN"/>
              </w:rPr>
              <w:t>事故油池</w:t>
            </w:r>
            <w:r>
              <w:rPr>
                <w:rFonts w:hint="eastAsia"/>
                <w:color w:val="auto"/>
                <w:sz w:val="24"/>
                <w:highlight w:val="none"/>
              </w:rPr>
              <w:t>容积应不低于</w:t>
            </w:r>
            <w:r>
              <w:rPr>
                <w:rFonts w:hint="eastAsia"/>
                <w:color w:val="auto"/>
                <w:sz w:val="24"/>
                <w:highlight w:val="none"/>
                <w:lang w:val="en-US" w:eastAsia="zh-CN"/>
              </w:rPr>
              <w:t>2.1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1</w:t>
            </w:r>
            <w:r>
              <w:rPr>
                <w:rFonts w:hint="eastAsia"/>
                <w:color w:val="auto"/>
                <w:sz w:val="24"/>
                <w:highlight w:val="none"/>
              </w:rPr>
              <w:t>台S</w:t>
            </w:r>
            <w:r>
              <w:rPr>
                <w:rFonts w:hint="eastAsia"/>
                <w:color w:val="auto"/>
                <w:sz w:val="24"/>
                <w:highlight w:val="none"/>
                <w:lang w:val="en-US" w:eastAsia="zh-CN"/>
              </w:rPr>
              <w:t>20</w:t>
            </w:r>
            <w:r>
              <w:rPr>
                <w:rFonts w:hint="eastAsia"/>
                <w:color w:val="auto"/>
                <w:sz w:val="24"/>
                <w:highlight w:val="none"/>
              </w:rPr>
              <w:t>-3</w:t>
            </w:r>
            <w:r>
              <w:rPr>
                <w:rFonts w:hint="eastAsia"/>
                <w:color w:val="auto"/>
                <w:sz w:val="24"/>
                <w:highlight w:val="none"/>
                <w:lang w:val="en-US" w:eastAsia="zh-CN"/>
              </w:rPr>
              <w:t>900</w:t>
            </w:r>
            <w:r>
              <w:rPr>
                <w:rFonts w:hint="eastAsia"/>
                <w:color w:val="auto"/>
                <w:sz w:val="24"/>
                <w:highlight w:val="none"/>
              </w:rPr>
              <w:t>型箱变每台油重约</w:t>
            </w:r>
            <w:r>
              <w:rPr>
                <w:rFonts w:hint="eastAsia"/>
                <w:color w:val="auto"/>
                <w:sz w:val="24"/>
                <w:highlight w:val="none"/>
                <w:lang w:val="en-US" w:eastAsia="zh-CN"/>
              </w:rPr>
              <w:t>2.53</w:t>
            </w:r>
            <w:r>
              <w:rPr>
                <w:rFonts w:hint="eastAsia"/>
                <w:color w:val="auto"/>
                <w:sz w:val="24"/>
                <w:highlight w:val="none"/>
              </w:rPr>
              <w:t>t，折算成体积约为2.</w:t>
            </w:r>
            <w:r>
              <w:rPr>
                <w:rFonts w:hint="eastAsia"/>
                <w:color w:val="auto"/>
                <w:sz w:val="24"/>
                <w:highlight w:val="none"/>
                <w:lang w:val="en-US" w:eastAsia="zh-CN"/>
              </w:rPr>
              <w:t>26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，则对应</w:t>
            </w:r>
            <w:r>
              <w:rPr>
                <w:rFonts w:hint="eastAsia"/>
                <w:color w:val="auto"/>
                <w:kern w:val="0"/>
                <w:sz w:val="24"/>
                <w:highlight w:val="none"/>
                <w:lang w:eastAsia="zh-CN"/>
              </w:rPr>
              <w:t>事故油池</w:t>
            </w:r>
            <w:r>
              <w:rPr>
                <w:rFonts w:hint="eastAsia"/>
                <w:color w:val="auto"/>
                <w:sz w:val="24"/>
                <w:highlight w:val="none"/>
              </w:rPr>
              <w:t>容积应不低于2.</w:t>
            </w:r>
            <w:r>
              <w:rPr>
                <w:rFonts w:hint="eastAsia"/>
                <w:color w:val="auto"/>
                <w:sz w:val="24"/>
                <w:highlight w:val="none"/>
                <w:lang w:val="en-US" w:eastAsia="zh-CN"/>
              </w:rPr>
              <w:t>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p>
          <w:p w14:paraId="14E1DC15">
            <w:pPr>
              <w:pStyle w:val="30"/>
              <w:keepNext w:val="0"/>
              <w:keepLines w:val="0"/>
              <w:suppressLineNumbers w:val="0"/>
              <w:shd w:val="clear"/>
              <w:spacing w:before="0" w:beforeAutospacing="0" w:after="0" w:afterAutospacing="0" w:line="360" w:lineRule="auto"/>
              <w:ind w:left="0" w:right="0" w:firstLine="480" w:firstLineChars="200"/>
              <w:rPr>
                <w:rFonts w:hint="default" w:ascii="宋体" w:hAnsi="宋体" w:eastAsia="宋体" w:cs="宋体"/>
                <w:color w:val="auto"/>
                <w:sz w:val="24"/>
                <w:szCs w:val="24"/>
              </w:rPr>
            </w:pPr>
            <w:r>
              <w:rPr>
                <w:rFonts w:hint="eastAsia" w:ascii="Times New Roman" w:hAnsi="Times New Roman" w:eastAsia="宋体" w:cs="Times New Roman"/>
                <w:color w:val="auto"/>
                <w:sz w:val="24"/>
                <w:highlight w:val="none"/>
                <w:shd w:val="clear" w:color="auto" w:fill="auto"/>
                <w:lang w:val="en-US" w:eastAsia="zh-CN"/>
              </w:rPr>
              <w:t>根据</w:t>
            </w:r>
            <w:r>
              <w:rPr>
                <w:rFonts w:hint="eastAsia" w:ascii="Times New Roman" w:hAnsi="Times New Roman" w:eastAsia="宋体" w:cs="Times New Roman"/>
                <w:color w:val="auto"/>
                <w:sz w:val="24"/>
                <w:highlight w:val="none"/>
                <w:shd w:val="clear" w:color="auto" w:fill="auto"/>
                <w:lang w:eastAsia="zh-CN"/>
              </w:rPr>
              <w:t>《国家危险废物名录》（</w:t>
            </w:r>
            <w:r>
              <w:rPr>
                <w:rFonts w:hint="default" w:ascii="Times New Roman" w:hAnsi="Times New Roman" w:eastAsia="宋体" w:cs="Times New Roman"/>
                <w:color w:val="auto"/>
                <w:sz w:val="24"/>
                <w:highlight w:val="none"/>
                <w:shd w:val="clear" w:color="auto" w:fill="auto"/>
                <w:lang w:eastAsia="zh-CN"/>
              </w:rPr>
              <w:t>2021</w:t>
            </w:r>
            <w:r>
              <w:rPr>
                <w:rFonts w:hint="eastAsia" w:ascii="Times New Roman" w:hAnsi="Times New Roman" w:eastAsia="宋体" w:cs="Times New Roman"/>
                <w:color w:val="auto"/>
                <w:sz w:val="24"/>
                <w:highlight w:val="none"/>
                <w:shd w:val="clear" w:color="auto" w:fill="auto"/>
                <w:lang w:eastAsia="zh-CN"/>
              </w:rPr>
              <w:t>版）</w:t>
            </w:r>
            <w:r>
              <w:rPr>
                <w:rFonts w:hint="eastAsia" w:ascii="Times New Roman" w:hAnsi="Times New Roman" w:eastAsia="宋体" w:cs="Times New Roman"/>
                <w:color w:val="auto"/>
                <w:sz w:val="24"/>
                <w:highlight w:val="none"/>
                <w:shd w:val="clear" w:color="auto" w:fill="auto"/>
                <w:lang w:val="en-US" w:eastAsia="zh-CN"/>
              </w:rPr>
              <w:t>进行鉴别，</w:t>
            </w:r>
            <w:r>
              <w:rPr>
                <w:rFonts w:hint="eastAsia" w:cs="Times New Roman"/>
                <w:color w:val="auto"/>
                <w:sz w:val="24"/>
                <w:highlight w:val="none"/>
                <w:shd w:val="clear" w:color="auto" w:fill="auto"/>
                <w:lang w:val="en-US" w:eastAsia="zh-CN"/>
              </w:rPr>
              <w:t>废变压器油和事故废油均属于</w:t>
            </w:r>
            <w:r>
              <w:rPr>
                <w:rFonts w:hint="eastAsia"/>
                <w:bCs/>
                <w:color w:val="auto"/>
                <w:sz w:val="24"/>
                <w:highlight w:val="none"/>
                <w:shd w:val="clear" w:color="auto" w:fill="auto"/>
              </w:rPr>
              <w:t>危险废物（HW08，</w:t>
            </w:r>
            <w:r>
              <w:rPr>
                <w:rFonts w:hint="default"/>
                <w:color w:val="auto"/>
                <w:sz w:val="24"/>
                <w:highlight w:val="none"/>
                <w:shd w:val="clear" w:color="auto" w:fill="auto"/>
                <w:lang w:bidi="ar"/>
              </w:rPr>
              <w:t>900-2</w:t>
            </w:r>
            <w:r>
              <w:rPr>
                <w:rFonts w:hint="eastAsia"/>
                <w:color w:val="auto"/>
                <w:sz w:val="24"/>
                <w:highlight w:val="none"/>
                <w:shd w:val="clear" w:color="auto" w:fill="auto"/>
                <w:lang w:bidi="ar"/>
              </w:rPr>
              <w:t>20</w:t>
            </w:r>
            <w:r>
              <w:rPr>
                <w:rFonts w:hint="default"/>
                <w:color w:val="auto"/>
                <w:sz w:val="24"/>
                <w:highlight w:val="none"/>
                <w:shd w:val="clear" w:color="auto" w:fill="auto"/>
                <w:lang w:bidi="ar"/>
              </w:rPr>
              <w:t>-08</w:t>
            </w:r>
            <w:r>
              <w:rPr>
                <w:rFonts w:hint="eastAsia"/>
                <w:bCs/>
                <w:color w:val="auto"/>
                <w:sz w:val="24"/>
                <w:highlight w:val="none"/>
                <w:shd w:val="clear" w:color="auto" w:fill="auto"/>
              </w:rPr>
              <w:t>）</w:t>
            </w:r>
            <w:r>
              <w:rPr>
                <w:rFonts w:hint="eastAsia"/>
                <w:bCs/>
                <w:color w:val="auto"/>
                <w:sz w:val="24"/>
                <w:highlight w:val="none"/>
                <w:shd w:val="clear" w:color="auto" w:fill="auto"/>
                <w:lang w:eastAsia="zh-CN"/>
              </w:rPr>
              <w:t>，</w:t>
            </w:r>
            <w:r>
              <w:rPr>
                <w:rFonts w:hint="default" w:ascii="宋体" w:hAnsi="宋体" w:eastAsia="宋体" w:cs="宋体"/>
                <w:color w:val="auto"/>
                <w:sz w:val="24"/>
                <w:szCs w:val="24"/>
              </w:rPr>
              <w:t>单次维修产生的废变压器油</w:t>
            </w:r>
            <w:r>
              <w:rPr>
                <w:rFonts w:hint="eastAsia" w:cs="Times New Roman"/>
                <w:color w:val="auto"/>
                <w:sz w:val="24"/>
                <w:highlight w:val="none"/>
                <w:shd w:val="clear" w:color="auto" w:fill="auto"/>
                <w:lang w:val="en-US" w:eastAsia="zh-CN"/>
              </w:rPr>
              <w:t>集中收集后</w:t>
            </w:r>
            <w:r>
              <w:rPr>
                <w:rFonts w:hint="default" w:ascii="宋体" w:hAnsi="宋体" w:eastAsia="宋体" w:cs="宋体"/>
                <w:color w:val="auto"/>
                <w:sz w:val="24"/>
                <w:szCs w:val="24"/>
              </w:rPr>
              <w:t>在</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default" w:ascii="宋体" w:hAnsi="宋体" w:eastAsia="宋体" w:cs="宋体"/>
                <w:color w:val="auto"/>
                <w:sz w:val="24"/>
                <w:szCs w:val="24"/>
              </w:rPr>
              <w:t>危废</w:t>
            </w:r>
            <w:r>
              <w:rPr>
                <w:rFonts w:hint="eastAsia" w:ascii="宋体" w:hAnsi="宋体" w:cs="宋体"/>
                <w:color w:val="auto"/>
                <w:sz w:val="24"/>
                <w:szCs w:val="24"/>
                <w:lang w:val="en-US" w:eastAsia="zh-CN"/>
              </w:rPr>
              <w:t>贮存库</w:t>
            </w:r>
            <w:r>
              <w:rPr>
                <w:rFonts w:hint="default" w:ascii="宋体" w:hAnsi="宋体" w:eastAsia="宋体" w:cs="宋体"/>
                <w:color w:val="auto"/>
                <w:sz w:val="24"/>
                <w:szCs w:val="24"/>
              </w:rPr>
              <w:t>暂存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并</w:t>
            </w:r>
            <w:r>
              <w:rPr>
                <w:rFonts w:hint="default" w:ascii="宋体" w:hAnsi="宋体" w:eastAsia="宋体" w:cs="宋体"/>
                <w:color w:val="auto"/>
                <w:sz w:val="24"/>
                <w:szCs w:val="24"/>
              </w:rPr>
              <w:t>委托有资质单位处置</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变压器油不合格需全部更换时产生的废变压器油委托有资质单位在更换后即时转移处置，不在厂区贮存</w:t>
            </w:r>
            <w:r>
              <w:rPr>
                <w:rFonts w:hint="eastAsia" w:ascii="宋体" w:hAnsi="宋体" w:eastAsia="宋体" w:cs="宋体"/>
                <w:color w:val="auto"/>
                <w:sz w:val="24"/>
                <w:szCs w:val="24"/>
                <w:lang w:eastAsia="zh-CN"/>
              </w:rPr>
              <w:t>；</w:t>
            </w:r>
            <w:r>
              <w:rPr>
                <w:rFonts w:hint="eastAsia" w:cs="Times New Roman"/>
                <w:color w:val="auto"/>
                <w:sz w:val="24"/>
                <w:highlight w:val="none"/>
                <w:shd w:val="clear" w:color="auto" w:fill="auto"/>
                <w:lang w:val="en-US" w:eastAsia="zh-CN"/>
              </w:rPr>
              <w:t>泄漏</w:t>
            </w:r>
            <w:r>
              <w:rPr>
                <w:rFonts w:hint="default" w:ascii="宋体" w:hAnsi="宋体" w:eastAsia="宋体" w:cs="宋体"/>
                <w:color w:val="auto"/>
                <w:sz w:val="24"/>
                <w:szCs w:val="24"/>
              </w:rPr>
              <w:t>时产生的</w:t>
            </w:r>
            <w:r>
              <w:rPr>
                <w:rFonts w:hint="eastAsia" w:ascii="宋体" w:hAnsi="宋体" w:eastAsia="宋体" w:cs="宋体"/>
                <w:color w:val="auto"/>
                <w:sz w:val="24"/>
                <w:szCs w:val="24"/>
                <w:lang w:val="en-US" w:eastAsia="zh-CN"/>
              </w:rPr>
              <w:t>事故废油</w:t>
            </w:r>
            <w:r>
              <w:rPr>
                <w:rFonts w:hint="default" w:ascii="宋体" w:hAnsi="宋体" w:eastAsia="宋体" w:cs="宋体"/>
                <w:color w:val="auto"/>
                <w:sz w:val="24"/>
                <w:szCs w:val="24"/>
              </w:rPr>
              <w:t>排入</w:t>
            </w:r>
            <w:r>
              <w:rPr>
                <w:rFonts w:hint="eastAsia" w:ascii="宋体" w:hAnsi="宋体" w:cs="宋体"/>
                <w:color w:val="auto"/>
                <w:sz w:val="24"/>
                <w:szCs w:val="24"/>
                <w:lang w:eastAsia="zh-CN"/>
              </w:rPr>
              <w:t>事故油池</w:t>
            </w:r>
            <w:r>
              <w:rPr>
                <w:rFonts w:hint="default" w:ascii="宋体" w:hAnsi="宋体" w:eastAsia="宋体" w:cs="宋体"/>
                <w:color w:val="auto"/>
                <w:sz w:val="24"/>
                <w:szCs w:val="24"/>
              </w:rPr>
              <w:t>收集后暂存于</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Fonts w:hint="default" w:ascii="宋体" w:hAnsi="宋体" w:eastAsia="宋体" w:cs="宋体"/>
                <w:color w:val="auto"/>
                <w:sz w:val="24"/>
                <w:szCs w:val="24"/>
              </w:rPr>
              <w:t>危废</w:t>
            </w:r>
            <w:r>
              <w:rPr>
                <w:rFonts w:hint="eastAsia" w:ascii="宋体" w:hAnsi="宋体" w:cs="宋体"/>
                <w:color w:val="auto"/>
                <w:sz w:val="24"/>
                <w:szCs w:val="24"/>
                <w:lang w:val="en-US" w:eastAsia="zh-CN"/>
              </w:rPr>
              <w:t>贮存库</w:t>
            </w:r>
            <w:r>
              <w:rPr>
                <w:rFonts w:hint="default" w:ascii="宋体" w:hAnsi="宋体" w:eastAsia="宋体" w:cs="宋体"/>
                <w:color w:val="auto"/>
                <w:sz w:val="24"/>
                <w:szCs w:val="24"/>
              </w:rPr>
              <w:t>，委托有资质单位处置。</w:t>
            </w:r>
          </w:p>
          <w:p w14:paraId="43EE1D01">
            <w:pPr>
              <w:pStyle w:val="23"/>
              <w:keepNext w:val="0"/>
              <w:keepLines w:val="0"/>
              <w:suppressLineNumbers w:val="0"/>
              <w:shd w:val="clear"/>
              <w:spacing w:before="0" w:beforeAutospacing="0" w:after="0" w:afterAutospacing="0" w:line="240" w:lineRule="auto"/>
              <w:ind w:left="0" w:right="0"/>
              <w:jc w:val="center"/>
              <w:rPr>
                <w:rFonts w:hint="default"/>
                <w:b/>
                <w:color w:val="auto"/>
                <w:sz w:val="21"/>
                <w:szCs w:val="21"/>
                <w:highlight w:val="none"/>
                <w:shd w:val="clear" w:color="auto" w:fill="auto"/>
              </w:rPr>
            </w:pPr>
            <w:r>
              <w:rPr>
                <w:rFonts w:hint="default"/>
                <w:b/>
                <w:color w:val="auto"/>
                <w:sz w:val="21"/>
                <w:szCs w:val="21"/>
                <w:highlight w:val="none"/>
                <w:shd w:val="clear" w:color="auto" w:fill="auto"/>
              </w:rPr>
              <w:t>表4-</w:t>
            </w:r>
            <w:r>
              <w:rPr>
                <w:rFonts w:hint="eastAsia"/>
                <w:b/>
                <w:color w:val="auto"/>
                <w:sz w:val="21"/>
                <w:szCs w:val="21"/>
                <w:highlight w:val="none"/>
                <w:shd w:val="clear" w:color="auto" w:fill="auto"/>
                <w:lang w:val="en-US" w:eastAsia="zh-CN"/>
              </w:rPr>
              <w:t xml:space="preserve">10  </w:t>
            </w:r>
            <w:r>
              <w:rPr>
                <w:rFonts w:hint="default"/>
                <w:b/>
                <w:color w:val="auto"/>
                <w:sz w:val="21"/>
                <w:szCs w:val="21"/>
                <w:highlight w:val="none"/>
                <w:shd w:val="clear" w:color="auto" w:fill="auto"/>
              </w:rPr>
              <w:t>项目固废产生及处置情况</w:t>
            </w:r>
          </w:p>
          <w:tbl>
            <w:tblPr>
              <w:tblStyle w:val="42"/>
              <w:tblW w:w="4998" w:type="pct"/>
              <w:jc w:val="center"/>
              <w:tblLayout w:type="fixed"/>
              <w:tblCellMar>
                <w:top w:w="0" w:type="dxa"/>
                <w:left w:w="0" w:type="dxa"/>
                <w:bottom w:w="0" w:type="dxa"/>
                <w:right w:w="0" w:type="dxa"/>
              </w:tblCellMar>
            </w:tblPr>
            <w:tblGrid>
              <w:gridCol w:w="417"/>
              <w:gridCol w:w="840"/>
              <w:gridCol w:w="798"/>
              <w:gridCol w:w="984"/>
              <w:gridCol w:w="984"/>
              <w:gridCol w:w="682"/>
              <w:gridCol w:w="927"/>
              <w:gridCol w:w="544"/>
              <w:gridCol w:w="1765"/>
            </w:tblGrid>
            <w:tr w14:paraId="3E39ABFB">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FAE15">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序号</w:t>
                  </w:r>
                </w:p>
              </w:tc>
              <w:tc>
                <w:tcPr>
                  <w:tcW w:w="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01591">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固废名称</w:t>
                  </w:r>
                </w:p>
              </w:tc>
              <w:tc>
                <w:tcPr>
                  <w:tcW w:w="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B1B50C">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属性</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AE0FB">
                  <w:pPr>
                    <w:keepNext w:val="0"/>
                    <w:keepLines w:val="0"/>
                    <w:widowControl/>
                    <w:suppressLineNumbers w:val="0"/>
                    <w:shd w:val="clear"/>
                    <w:spacing w:before="0" w:beforeAutospacing="0" w:after="0" w:afterAutospacing="0" w:line="240" w:lineRule="auto"/>
                    <w:ind w:left="0" w:right="0"/>
                    <w:jc w:val="center"/>
                    <w:textAlignment w:val="top"/>
                    <w:rPr>
                      <w:rFonts w:hint="default" w:eastAsia="宋体"/>
                      <w:b/>
                      <w:bCs/>
                      <w:color w:val="auto"/>
                      <w:kern w:val="0"/>
                      <w:sz w:val="21"/>
                      <w:szCs w:val="21"/>
                      <w:highlight w:val="none"/>
                      <w:shd w:val="clear" w:color="auto" w:fill="auto"/>
                      <w:lang w:val="en-US" w:eastAsia="zh-CN" w:bidi="ar"/>
                    </w:rPr>
                  </w:pPr>
                  <w:r>
                    <w:rPr>
                      <w:rFonts w:hint="eastAsia"/>
                      <w:b/>
                      <w:bCs/>
                      <w:color w:val="auto"/>
                      <w:kern w:val="0"/>
                      <w:sz w:val="21"/>
                      <w:szCs w:val="21"/>
                      <w:highlight w:val="none"/>
                      <w:shd w:val="clear" w:color="auto" w:fill="auto"/>
                      <w:lang w:val="en-US" w:eastAsia="zh-CN" w:bidi="ar"/>
                    </w:rPr>
                    <w:t>废物代码</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989C1">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产生工序</w:t>
                  </w:r>
                </w:p>
              </w:tc>
              <w:tc>
                <w:tcPr>
                  <w:tcW w:w="4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BECAD">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形态</w:t>
                  </w:r>
                </w:p>
              </w:tc>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ADE6E">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主要成分</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B0A30">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估算产生量</w:t>
                  </w:r>
                </w:p>
              </w:tc>
              <w:tc>
                <w:tcPr>
                  <w:tcW w:w="11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182DD">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处置方式</w:t>
                  </w:r>
                </w:p>
              </w:tc>
            </w:tr>
            <w:tr w14:paraId="36CB6AF9">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E2645">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kern w:val="0"/>
                      <w:sz w:val="21"/>
                      <w:szCs w:val="21"/>
                      <w:highlight w:val="none"/>
                      <w:shd w:val="clear" w:color="auto" w:fill="auto"/>
                      <w:lang w:bidi="ar"/>
                    </w:rPr>
                    <w:t>1</w:t>
                  </w:r>
                </w:p>
              </w:tc>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3BDCF">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bCs/>
                      <w:color w:val="auto"/>
                      <w:sz w:val="21"/>
                      <w:szCs w:val="21"/>
                      <w:highlight w:val="none"/>
                      <w:shd w:val="clear" w:color="auto" w:fill="auto"/>
                    </w:rPr>
                    <w:t>废光伏板及其组件</w:t>
                  </w:r>
                </w:p>
              </w:tc>
              <w:tc>
                <w:tcPr>
                  <w:tcW w:w="5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5A5AA">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一般固废</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A417B">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 xml:space="preserve">SW17 900-015-S17 </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02BC24">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kern w:val="0"/>
                      <w:sz w:val="21"/>
                      <w:szCs w:val="21"/>
                      <w:highlight w:val="none"/>
                      <w:shd w:val="clear" w:color="auto" w:fill="auto"/>
                      <w:lang w:bidi="ar"/>
                    </w:rPr>
                    <w:t>光伏组件</w:t>
                  </w:r>
                </w:p>
              </w:tc>
              <w:tc>
                <w:tcPr>
                  <w:tcW w:w="4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FAABF">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固态</w:t>
                  </w:r>
                </w:p>
              </w:tc>
              <w:tc>
                <w:tcPr>
                  <w:tcW w:w="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3FDC0">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rPr>
                    <w:t>铝合金边框、钢化玻璃、</w:t>
                  </w:r>
                  <w:r>
                    <w:rPr>
                      <w:rFonts w:hint="default"/>
                      <w:bCs/>
                      <w:color w:val="auto"/>
                      <w:sz w:val="21"/>
                      <w:szCs w:val="21"/>
                      <w:highlight w:val="none"/>
                      <w:shd w:val="clear" w:color="auto" w:fill="auto"/>
                    </w:rPr>
                    <w:t>EVA</w:t>
                  </w:r>
                  <w:r>
                    <w:rPr>
                      <w:rFonts w:hint="eastAsia"/>
                      <w:bCs/>
                      <w:color w:val="auto"/>
                      <w:sz w:val="21"/>
                      <w:szCs w:val="21"/>
                      <w:highlight w:val="none"/>
                      <w:shd w:val="clear" w:color="auto" w:fill="auto"/>
                    </w:rPr>
                    <w:t>膜</w:t>
                  </w:r>
                  <w:r>
                    <w:rPr>
                      <w:rFonts w:hint="default"/>
                      <w:color w:val="auto"/>
                      <w:kern w:val="0"/>
                      <w:sz w:val="21"/>
                      <w:szCs w:val="21"/>
                      <w:highlight w:val="none"/>
                      <w:shd w:val="clear" w:color="auto" w:fill="auto"/>
                      <w:lang w:bidi="ar"/>
                    </w:rPr>
                    <w:t>等</w:t>
                  </w:r>
                </w:p>
              </w:tc>
              <w:tc>
                <w:tcPr>
                  <w:tcW w:w="3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7736F">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lang w:val="en-US" w:eastAsia="zh-CN"/>
                    </w:rPr>
                    <w:t>1.54t</w:t>
                  </w:r>
                  <w:r>
                    <w:rPr>
                      <w:rFonts w:hint="default"/>
                      <w:color w:val="auto"/>
                      <w:kern w:val="0"/>
                      <w:sz w:val="21"/>
                      <w:szCs w:val="21"/>
                      <w:highlight w:val="none"/>
                      <w:shd w:val="clear" w:color="auto" w:fill="auto"/>
                      <w:lang w:bidi="ar"/>
                    </w:rPr>
                    <w:t>/a</w:t>
                  </w:r>
                </w:p>
              </w:tc>
              <w:tc>
                <w:tcPr>
                  <w:tcW w:w="1110"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1D0F3674">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sz w:val="21"/>
                      <w:szCs w:val="21"/>
                    </w:rPr>
                    <w:t>暂存于</w:t>
                  </w: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color w:val="auto"/>
                      <w:sz w:val="21"/>
                      <w:szCs w:val="21"/>
                      <w:lang w:val="en-US" w:eastAsia="zh-CN"/>
                    </w:rPr>
                    <w:t>升压站</w:t>
                  </w:r>
                  <w:r>
                    <w:rPr>
                      <w:rFonts w:hint="eastAsia"/>
                      <w:color w:val="auto"/>
                      <w:sz w:val="21"/>
                      <w:szCs w:val="21"/>
                    </w:rPr>
                    <w:t>一般固废暂存间，及时委托专业的回收厂家收购回收处理，不得随意堆放处置</w:t>
                  </w:r>
                </w:p>
              </w:tc>
            </w:tr>
            <w:tr w14:paraId="69AA7CF2">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A5059">
                  <w:pPr>
                    <w:keepNext w:val="0"/>
                    <w:keepLines w:val="0"/>
                    <w:widowControl/>
                    <w:suppressLineNumbers w:val="0"/>
                    <w:shd w:val="clear"/>
                    <w:spacing w:before="0" w:beforeAutospacing="0" w:after="0" w:afterAutospacing="0" w:line="240" w:lineRule="auto"/>
                    <w:ind w:left="0" w:right="0"/>
                    <w:jc w:val="center"/>
                    <w:textAlignment w:val="top"/>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kern w:val="0"/>
                      <w:sz w:val="21"/>
                      <w:szCs w:val="21"/>
                      <w:highlight w:val="none"/>
                      <w:shd w:val="clear" w:color="auto" w:fill="auto"/>
                      <w:lang w:bidi="ar"/>
                    </w:rPr>
                    <w:t>2</w:t>
                  </w:r>
                </w:p>
              </w:tc>
              <w:tc>
                <w:tcPr>
                  <w:tcW w:w="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C3645">
                  <w:pPr>
                    <w:keepNext w:val="0"/>
                    <w:keepLines w:val="0"/>
                    <w:widowControl/>
                    <w:suppressLineNumbers w:val="0"/>
                    <w:spacing w:before="0" w:beforeAutospacing="0" w:after="0" w:afterAutospacing="0" w:line="240" w:lineRule="auto"/>
                    <w:ind w:left="0" w:leftChars="0" w:right="0" w:rightChars="0"/>
                    <w:jc w:val="center"/>
                    <w:textAlignment w:val="top"/>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废逆变器</w:t>
                  </w:r>
                </w:p>
              </w:tc>
              <w:tc>
                <w:tcPr>
                  <w:tcW w:w="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F8D19">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一般固废</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1AB3E">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SW59 900-099-S59</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089930">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逆变器损坏</w:t>
                  </w:r>
                </w:p>
              </w:tc>
              <w:tc>
                <w:tcPr>
                  <w:tcW w:w="4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83984">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固态</w:t>
                  </w:r>
                </w:p>
              </w:tc>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F28C2">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电路板、熔断器、功率开关管、电感、电容、散热器</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结构件等</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3CAB3">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highlight w:val="none"/>
                      <w:shd w:val="clear" w:color="auto" w:fill="auto"/>
                      <w:lang w:val="en-US" w:eastAsia="zh-CN"/>
                    </w:rPr>
                    <w:t>0.81</w:t>
                  </w:r>
                  <w:r>
                    <w:rPr>
                      <w:rFonts w:hint="default" w:ascii="Times New Roman" w:hAnsi="Times New Roman" w:eastAsia="宋体" w:cs="Times New Roman"/>
                      <w:bCs/>
                      <w:color w:val="auto"/>
                      <w:sz w:val="21"/>
                      <w:szCs w:val="21"/>
                      <w:highlight w:val="none"/>
                      <w:shd w:val="clear" w:color="auto" w:fill="auto"/>
                      <w:lang w:val="en-US" w:eastAsia="zh-CN"/>
                    </w:rPr>
                    <w:t>t/a</w:t>
                  </w:r>
                </w:p>
              </w:tc>
              <w:tc>
                <w:tcPr>
                  <w:tcW w:w="1110" w:type="pct"/>
                  <w:vMerge w:val="continue"/>
                  <w:tcBorders>
                    <w:left w:val="single" w:color="000000" w:sz="4" w:space="0"/>
                    <w:right w:val="single" w:color="000000" w:sz="4" w:space="0"/>
                  </w:tcBorders>
                  <w:tcMar>
                    <w:top w:w="15" w:type="dxa"/>
                    <w:left w:w="15" w:type="dxa"/>
                    <w:right w:w="15" w:type="dxa"/>
                  </w:tcMar>
                  <w:vAlign w:val="center"/>
                </w:tcPr>
                <w:p w14:paraId="235404F9">
                  <w:pPr>
                    <w:keepNext w:val="0"/>
                    <w:keepLines w:val="0"/>
                    <w:widowControl/>
                    <w:suppressLineNumbers w:val="0"/>
                    <w:shd w:val="clear"/>
                    <w:spacing w:before="0" w:beforeAutospacing="0" w:after="0" w:afterAutospacing="0" w:line="240" w:lineRule="auto"/>
                    <w:ind w:left="0" w:right="0"/>
                    <w:jc w:val="center"/>
                    <w:textAlignment w:val="top"/>
                    <w:rPr>
                      <w:rFonts w:hint="eastAsia"/>
                      <w:b w:val="0"/>
                      <w:bCs w:val="0"/>
                      <w:color w:val="auto"/>
                      <w:spacing w:val="6"/>
                      <w:sz w:val="21"/>
                      <w:szCs w:val="21"/>
                      <w:highlight w:val="none"/>
                      <w:shd w:val="clear" w:color="auto" w:fill="auto"/>
                    </w:rPr>
                  </w:pPr>
                </w:p>
              </w:tc>
            </w:tr>
            <w:tr w14:paraId="780237ED">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79E07">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w:t>
                  </w:r>
                </w:p>
              </w:tc>
              <w:tc>
                <w:tcPr>
                  <w:tcW w:w="5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1A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废电气元件</w:t>
                  </w:r>
                </w:p>
              </w:tc>
              <w:tc>
                <w:tcPr>
                  <w:tcW w:w="5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88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一般固废</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7C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sz w:val="21"/>
                      <w:szCs w:val="21"/>
                    </w:rPr>
                  </w:pPr>
                  <w:r>
                    <w:rPr>
                      <w:rFonts w:hint="eastAsia"/>
                      <w:color w:val="auto"/>
                      <w:sz w:val="21"/>
                      <w:szCs w:val="21"/>
                      <w:highlight w:val="none"/>
                      <w:shd w:val="clear" w:color="auto" w:fill="auto"/>
                      <w:lang w:val="en-US" w:eastAsia="zh-CN"/>
                    </w:rPr>
                    <w:t>SW59 900-099-S59</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12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设备检修</w:t>
                  </w:r>
                </w:p>
              </w:tc>
              <w:tc>
                <w:tcPr>
                  <w:tcW w:w="4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39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固态</w:t>
                  </w:r>
                </w:p>
              </w:tc>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F5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导线、螺丝钉等铁质材料</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80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0.5</w:t>
                  </w:r>
                  <w:r>
                    <w:rPr>
                      <w:rFonts w:hint="default" w:ascii="Times New Roman" w:hAnsi="Times New Roman" w:eastAsia="宋体" w:cs="Times New Roman"/>
                      <w:bCs/>
                      <w:color w:val="auto"/>
                      <w:sz w:val="21"/>
                      <w:szCs w:val="21"/>
                      <w:highlight w:val="none"/>
                      <w:shd w:val="clear" w:color="auto" w:fill="auto"/>
                      <w:lang w:val="en-US" w:eastAsia="zh-CN"/>
                    </w:rPr>
                    <w:t>t/a</w:t>
                  </w:r>
                </w:p>
              </w:tc>
              <w:tc>
                <w:tcPr>
                  <w:tcW w:w="1110"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8D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lang w:val="en-US" w:eastAsia="zh-CN" w:bidi="ar-SA"/>
                    </w:rPr>
                  </w:pPr>
                </w:p>
              </w:tc>
            </w:tr>
            <w:tr w14:paraId="4307BB21">
              <w:tblPrEx>
                <w:tblCellMar>
                  <w:top w:w="0" w:type="dxa"/>
                  <w:left w:w="0" w:type="dxa"/>
                  <w:bottom w:w="0" w:type="dxa"/>
                  <w:right w:w="0" w:type="dxa"/>
                </w:tblCellMar>
              </w:tblPrEx>
              <w:trPr>
                <w:trHeight w:val="23" w:hRule="atLeast"/>
                <w:jc w:val="center"/>
              </w:trPr>
              <w:tc>
                <w:tcPr>
                  <w:tcW w:w="262"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3957D98">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 w:val="21"/>
                      <w:szCs w:val="21"/>
                      <w:highlight w:val="none"/>
                      <w:shd w:val="clear" w:color="auto" w:fill="auto"/>
                      <w:lang w:bidi="ar"/>
                    </w:rPr>
                    <w:t>4</w:t>
                  </w:r>
                </w:p>
              </w:tc>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58B1A">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rPr>
                    <w:t>废变压器油</w:t>
                  </w:r>
                  <w:r>
                    <w:rPr>
                      <w:rFonts w:hint="eastAsia"/>
                      <w:bCs/>
                      <w:color w:val="auto"/>
                      <w:sz w:val="21"/>
                      <w:szCs w:val="21"/>
                      <w:highlight w:val="none"/>
                      <w:shd w:val="clear" w:color="auto" w:fill="auto"/>
                      <w:lang w:eastAsia="zh-CN"/>
                    </w:rPr>
                    <w:t>（</w:t>
                  </w:r>
                  <w:r>
                    <w:rPr>
                      <w:rFonts w:hint="default"/>
                      <w:color w:val="auto"/>
                      <w:kern w:val="0"/>
                      <w:sz w:val="21"/>
                      <w:szCs w:val="21"/>
                      <w:highlight w:val="none"/>
                      <w:shd w:val="clear" w:color="auto" w:fill="auto"/>
                      <w:lang w:val="en-US" w:eastAsia="zh-CN" w:bidi="ar"/>
                    </w:rPr>
                    <w:t>全部更换</w:t>
                  </w:r>
                  <w:r>
                    <w:rPr>
                      <w:rFonts w:hint="eastAsia"/>
                      <w:bCs/>
                      <w:color w:val="auto"/>
                      <w:sz w:val="21"/>
                      <w:szCs w:val="21"/>
                      <w:highlight w:val="none"/>
                      <w:shd w:val="clear" w:color="auto" w:fill="auto"/>
                      <w:lang w:eastAsia="zh-CN"/>
                    </w:rPr>
                    <w:t>）</w:t>
                  </w:r>
                </w:p>
              </w:tc>
              <w:tc>
                <w:tcPr>
                  <w:tcW w:w="5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4CD78">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危险废物</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9C1A08">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c>
                <w:tcPr>
                  <w:tcW w:w="6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D29BB">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sz w:val="21"/>
                      <w:szCs w:val="21"/>
                      <w:highlight w:val="none"/>
                      <w:shd w:val="clear" w:color="auto" w:fill="auto"/>
                    </w:rPr>
                    <w:t>变压器</w:t>
                  </w:r>
                  <w:r>
                    <w:rPr>
                      <w:rFonts w:hint="eastAsia"/>
                      <w:color w:val="auto"/>
                      <w:sz w:val="21"/>
                      <w:szCs w:val="21"/>
                      <w:highlight w:val="none"/>
                      <w:shd w:val="clear" w:color="auto" w:fill="auto"/>
                      <w:lang w:val="en-US" w:eastAsia="zh-CN"/>
                    </w:rPr>
                    <w:t>检修</w:t>
                  </w:r>
                </w:p>
              </w:tc>
              <w:tc>
                <w:tcPr>
                  <w:tcW w:w="4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B3CB6">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液态</w:t>
                  </w:r>
                </w:p>
              </w:tc>
              <w:tc>
                <w:tcPr>
                  <w:tcW w:w="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6DBB25">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矿物油</w:t>
                  </w:r>
                </w:p>
              </w:tc>
              <w:tc>
                <w:tcPr>
                  <w:tcW w:w="342"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630DBFB">
                  <w:pPr>
                    <w:keepNext w:val="0"/>
                    <w:keepLines w:val="0"/>
                    <w:widowControl/>
                    <w:suppressLineNumbers w:val="0"/>
                    <w:shd w:val="clear"/>
                    <w:spacing w:before="0" w:beforeAutospacing="0" w:after="0" w:afterAutospacing="0" w:line="240" w:lineRule="auto"/>
                    <w:ind w:left="0" w:right="0"/>
                    <w:jc w:val="center"/>
                    <w:textAlignment w:val="top"/>
                    <w:rPr>
                      <w:rFonts w:hint="default" w:eastAsia="宋体"/>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30.28</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11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CF61147">
                  <w:pPr>
                    <w:keepNext w:val="0"/>
                    <w:keepLines w:val="0"/>
                    <w:widowControl/>
                    <w:suppressLineNumbers w:val="0"/>
                    <w:shd w:val="clear" w:color="auto" w:fill="auto"/>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val="en-US" w:eastAsia="zh-CN" w:bidi="ar"/>
                    </w:rPr>
                    <w:t>委托有资质单位在更换后即时转移处置，不在厂区贮存</w:t>
                  </w:r>
                </w:p>
              </w:tc>
            </w:tr>
            <w:tr w14:paraId="334003D7">
              <w:tblPrEx>
                <w:tblCellMar>
                  <w:top w:w="0" w:type="dxa"/>
                  <w:left w:w="0" w:type="dxa"/>
                  <w:bottom w:w="0" w:type="dxa"/>
                  <w:right w:w="0" w:type="dxa"/>
                </w:tblCellMar>
              </w:tblPrEx>
              <w:trPr>
                <w:trHeight w:val="23" w:hRule="atLeast"/>
                <w:jc w:val="center"/>
              </w:trPr>
              <w:tc>
                <w:tcPr>
                  <w:tcW w:w="262" w:type="pc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14:paraId="7CDC9C76">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kern w:val="0"/>
                      <w:sz w:val="21"/>
                      <w:szCs w:val="21"/>
                      <w:highlight w:val="none"/>
                      <w:shd w:val="clear" w:color="auto" w:fill="auto"/>
                      <w:lang w:bidi="ar"/>
                    </w:rPr>
                    <w:t>5</w:t>
                  </w:r>
                </w:p>
              </w:tc>
              <w:tc>
                <w:tcPr>
                  <w:tcW w:w="52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4CE6F42">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eastAsia"/>
                      <w:bCs/>
                      <w:color w:val="auto"/>
                      <w:sz w:val="21"/>
                      <w:szCs w:val="21"/>
                      <w:highlight w:val="none"/>
                      <w:shd w:val="clear" w:color="auto" w:fill="auto"/>
                    </w:rPr>
                    <w:t>废变压器油</w:t>
                  </w:r>
                  <w:r>
                    <w:rPr>
                      <w:rFonts w:hint="eastAsia"/>
                      <w:bCs/>
                      <w:color w:val="auto"/>
                      <w:szCs w:val="21"/>
                      <w:highlight w:val="none"/>
                      <w:shd w:val="clear" w:color="auto" w:fill="auto"/>
                      <w:lang w:val="en-US" w:eastAsia="zh-CN"/>
                    </w:rPr>
                    <w:t>（单次维修废油）</w:t>
                  </w:r>
                </w:p>
              </w:tc>
              <w:tc>
                <w:tcPr>
                  <w:tcW w:w="502"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C634EEE">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危险废物</w:t>
                  </w:r>
                </w:p>
              </w:tc>
              <w:tc>
                <w:tcPr>
                  <w:tcW w:w="61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F6579A9">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61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37F5684">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eastAsia"/>
                      <w:color w:val="auto"/>
                      <w:sz w:val="21"/>
                      <w:szCs w:val="21"/>
                      <w:highlight w:val="none"/>
                      <w:shd w:val="clear" w:color="auto" w:fill="auto"/>
                    </w:rPr>
                    <w:t>变压器</w:t>
                  </w:r>
                  <w:r>
                    <w:rPr>
                      <w:rFonts w:hint="eastAsia"/>
                      <w:color w:val="auto"/>
                      <w:sz w:val="21"/>
                      <w:szCs w:val="21"/>
                      <w:highlight w:val="none"/>
                      <w:shd w:val="clear" w:color="auto" w:fill="auto"/>
                      <w:lang w:val="en-US" w:eastAsia="zh-CN"/>
                    </w:rPr>
                    <w:t>检修</w:t>
                  </w:r>
                </w:p>
              </w:tc>
              <w:tc>
                <w:tcPr>
                  <w:tcW w:w="42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0648544">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583"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B8D4ACA">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342" w:type="pct"/>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14:paraId="57B4AA97">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eastAsia" w:cs="Times New Roman"/>
                      <w:color w:val="auto"/>
                      <w:sz w:val="21"/>
                      <w:szCs w:val="21"/>
                      <w:highlight w:val="none"/>
                      <w:shd w:val="clear" w:color="auto" w:fill="auto"/>
                      <w:lang w:val="en-US" w:eastAsia="zh-CN"/>
                    </w:rPr>
                    <w:t>1.51</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110"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3D533FCE">
                  <w:pPr>
                    <w:keepNext w:val="0"/>
                    <w:keepLines w:val="0"/>
                    <w:widowControl/>
                    <w:suppressLineNumbers w:val="0"/>
                    <w:shd w:val="clear" w:color="auto" w:fill="auto"/>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val="en-US" w:eastAsia="zh-CN" w:bidi="ar"/>
                    </w:rPr>
                    <w:t>集中收集后，暂存于</w:t>
                  </w: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Times New Roman" w:hAnsi="Times New Roman" w:eastAsia="宋体" w:cs="Times New Roman"/>
                      <w:color w:val="auto"/>
                      <w:kern w:val="0"/>
                      <w:sz w:val="21"/>
                      <w:szCs w:val="21"/>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r>
                    <w:rPr>
                      <w:rFonts w:hint="default"/>
                      <w:color w:val="auto"/>
                      <w:kern w:val="0"/>
                      <w:sz w:val="21"/>
                      <w:szCs w:val="21"/>
                      <w:highlight w:val="none"/>
                      <w:shd w:val="clear" w:color="auto" w:fill="auto"/>
                      <w:lang w:val="en-US" w:eastAsia="zh-CN" w:bidi="ar"/>
                    </w:rPr>
                    <w:t>，并委托有资质单位处置</w:t>
                  </w:r>
                </w:p>
              </w:tc>
            </w:tr>
            <w:tr w14:paraId="4BE56934">
              <w:tblPrEx>
                <w:tblCellMar>
                  <w:top w:w="0" w:type="dxa"/>
                  <w:left w:w="0" w:type="dxa"/>
                  <w:bottom w:w="0" w:type="dxa"/>
                  <w:right w:w="0" w:type="dxa"/>
                </w:tblCellMar>
              </w:tblPrEx>
              <w:trPr>
                <w:trHeight w:val="23" w:hRule="atLeast"/>
                <w:jc w:val="center"/>
              </w:trPr>
              <w:tc>
                <w:tcPr>
                  <w:tcW w:w="262" w:type="pc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14:paraId="75048459">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6</w:t>
                  </w:r>
                </w:p>
              </w:tc>
              <w:tc>
                <w:tcPr>
                  <w:tcW w:w="528"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7E22C27D">
                  <w:pPr>
                    <w:keepNext w:val="0"/>
                    <w:keepLines w:val="0"/>
                    <w:widowControl/>
                    <w:suppressLineNumbers w:val="0"/>
                    <w:shd w:val="clear"/>
                    <w:spacing w:before="0" w:beforeAutospacing="0" w:after="0" w:afterAutospacing="0" w:line="240" w:lineRule="auto"/>
                    <w:ind w:left="0" w:right="0"/>
                    <w:jc w:val="center"/>
                    <w:textAlignment w:val="top"/>
                    <w:rPr>
                      <w:rFonts w:hint="eastAsia" w:eastAsia="宋体"/>
                      <w:color w:val="auto"/>
                      <w:sz w:val="21"/>
                      <w:szCs w:val="21"/>
                      <w:highlight w:val="none"/>
                      <w:shd w:val="clear" w:color="auto" w:fill="auto"/>
                      <w:lang w:eastAsia="zh-CN"/>
                    </w:rPr>
                  </w:pPr>
                  <w:r>
                    <w:rPr>
                      <w:rFonts w:hint="eastAsia"/>
                      <w:bCs/>
                      <w:color w:val="auto"/>
                      <w:sz w:val="21"/>
                      <w:szCs w:val="21"/>
                      <w:highlight w:val="none"/>
                      <w:shd w:val="clear" w:color="auto" w:fill="auto"/>
                      <w:lang w:val="en-US" w:eastAsia="zh-CN"/>
                    </w:rPr>
                    <w:t>事故废油</w:t>
                  </w:r>
                </w:p>
              </w:tc>
              <w:tc>
                <w:tcPr>
                  <w:tcW w:w="502"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57E0E333">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危险废物</w:t>
                  </w:r>
                </w:p>
              </w:tc>
              <w:tc>
                <w:tcPr>
                  <w:tcW w:w="619"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1CB84307">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619"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1EB51058">
                  <w:pPr>
                    <w:keepNext w:val="0"/>
                    <w:keepLines w:val="0"/>
                    <w:widowControl/>
                    <w:suppressLineNumbers w:val="0"/>
                    <w:shd w:val="clear"/>
                    <w:spacing w:before="0" w:beforeAutospacing="0" w:after="0" w:afterAutospacing="0" w:line="240" w:lineRule="auto"/>
                    <w:ind w:left="0" w:right="0"/>
                    <w:jc w:val="center"/>
                    <w:textAlignment w:val="top"/>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rPr>
                    <w:t>变压器事故情况</w:t>
                  </w:r>
                </w:p>
              </w:tc>
              <w:tc>
                <w:tcPr>
                  <w:tcW w:w="429"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024EBDDE">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583"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0EA2A0F9">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342"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6883EBEC">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2.42</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110" w:type="pct"/>
                  <w:vMerge w:val="continue"/>
                  <w:tcBorders>
                    <w:left w:val="single" w:color="auto" w:sz="4" w:space="0"/>
                    <w:bottom w:val="single" w:color="auto" w:sz="4" w:space="0"/>
                    <w:right w:val="single" w:color="auto" w:sz="4" w:space="0"/>
                  </w:tcBorders>
                  <w:tcMar>
                    <w:top w:w="15" w:type="dxa"/>
                    <w:left w:w="15" w:type="dxa"/>
                    <w:right w:w="15" w:type="dxa"/>
                  </w:tcMar>
                  <w:vAlign w:val="center"/>
                </w:tcPr>
                <w:p w14:paraId="3FAF9721">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p>
              </w:tc>
            </w:tr>
          </w:tbl>
          <w:p w14:paraId="15099FCF">
            <w:pPr>
              <w:pStyle w:val="23"/>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shd w:val="clear" w:color="auto" w:fill="auto"/>
              </w:rPr>
            </w:pPr>
          </w:p>
          <w:p w14:paraId="4E5AABEB">
            <w:pPr>
              <w:pStyle w:val="23"/>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表4-</w:t>
            </w:r>
            <w:r>
              <w:rPr>
                <w:rFonts w:hint="eastAsia" w:cs="Times New Roman"/>
                <w:b/>
                <w:color w:val="auto"/>
                <w:sz w:val="21"/>
                <w:szCs w:val="21"/>
                <w:highlight w:val="none"/>
                <w:shd w:val="clear" w:color="auto" w:fill="auto"/>
                <w:lang w:val="en-US" w:eastAsia="zh-CN"/>
              </w:rPr>
              <w:t xml:space="preserve">11  </w:t>
            </w:r>
            <w:r>
              <w:rPr>
                <w:rFonts w:hint="default" w:ascii="Times New Roman" w:hAnsi="Times New Roman" w:eastAsia="宋体" w:cs="Times New Roman"/>
                <w:b/>
                <w:color w:val="auto"/>
                <w:sz w:val="21"/>
                <w:szCs w:val="21"/>
                <w:highlight w:val="none"/>
                <w:shd w:val="clear" w:color="auto" w:fill="auto"/>
              </w:rPr>
              <w:t>危险废物汇总表</w:t>
            </w:r>
          </w:p>
          <w:tbl>
            <w:tblPr>
              <w:tblStyle w:val="42"/>
              <w:tblW w:w="4982" w:type="pct"/>
              <w:tblInd w:w="0" w:type="dxa"/>
              <w:tblLayout w:type="fixed"/>
              <w:tblCellMar>
                <w:top w:w="0" w:type="dxa"/>
                <w:left w:w="0" w:type="dxa"/>
                <w:bottom w:w="0" w:type="dxa"/>
                <w:right w:w="0" w:type="dxa"/>
              </w:tblCellMar>
            </w:tblPr>
            <w:tblGrid>
              <w:gridCol w:w="1655"/>
              <w:gridCol w:w="2076"/>
              <w:gridCol w:w="2094"/>
              <w:gridCol w:w="2090"/>
            </w:tblGrid>
            <w:tr w14:paraId="14857BD3">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0E0C6F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序号</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D560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1</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ACAE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bidi="ar"/>
                    </w:rPr>
                    <w:t>2</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AADC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bidi="ar"/>
                    </w:rPr>
                    <w:t>3</w:t>
                  </w:r>
                </w:p>
              </w:tc>
            </w:tr>
            <w:tr w14:paraId="00B58958">
              <w:tblPrEx>
                <w:tblCellMar>
                  <w:top w:w="0" w:type="dxa"/>
                  <w:left w:w="0" w:type="dxa"/>
                  <w:bottom w:w="0" w:type="dxa"/>
                  <w:right w:w="0" w:type="dxa"/>
                </w:tblCellMar>
              </w:tblPrEx>
              <w:trPr>
                <w:trHeight w:val="630" w:hRule="atLeast"/>
              </w:trPr>
              <w:tc>
                <w:tcPr>
                  <w:tcW w:w="1045"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D0568F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危险废物名称</w:t>
                  </w:r>
                </w:p>
              </w:tc>
              <w:tc>
                <w:tcPr>
                  <w:tcW w:w="1311" w:type="pct"/>
                  <w:tcBorders>
                    <w:top w:val="single" w:color="000000" w:sz="4" w:space="0"/>
                    <w:left w:val="single" w:color="000000" w:sz="4" w:space="0"/>
                    <w:right w:val="single" w:color="000000" w:sz="4" w:space="0"/>
                  </w:tcBorders>
                  <w:tcMar>
                    <w:top w:w="15" w:type="dxa"/>
                    <w:left w:w="15" w:type="dxa"/>
                    <w:right w:w="15" w:type="dxa"/>
                  </w:tcMar>
                  <w:vAlign w:val="center"/>
                </w:tcPr>
                <w:p w14:paraId="3510650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val="en-US" w:eastAsia="zh-CN" w:bidi="ar"/>
                    </w:rPr>
                  </w:pPr>
                  <w:r>
                    <w:rPr>
                      <w:rFonts w:hint="eastAsia"/>
                      <w:bCs/>
                      <w:color w:val="auto"/>
                      <w:sz w:val="21"/>
                      <w:szCs w:val="21"/>
                      <w:highlight w:val="none"/>
                      <w:shd w:val="clear" w:color="auto" w:fill="auto"/>
                    </w:rPr>
                    <w:t>废变压器油</w:t>
                  </w:r>
                  <w:r>
                    <w:rPr>
                      <w:rFonts w:hint="eastAsia"/>
                      <w:bCs/>
                      <w:color w:val="auto"/>
                      <w:sz w:val="21"/>
                      <w:szCs w:val="21"/>
                      <w:highlight w:val="none"/>
                      <w:shd w:val="clear" w:color="auto" w:fill="auto"/>
                      <w:lang w:eastAsia="zh-CN"/>
                    </w:rPr>
                    <w:t>（</w:t>
                  </w:r>
                  <w:r>
                    <w:rPr>
                      <w:rFonts w:hint="default"/>
                      <w:color w:val="auto"/>
                      <w:kern w:val="0"/>
                      <w:sz w:val="21"/>
                      <w:szCs w:val="21"/>
                      <w:highlight w:val="none"/>
                      <w:shd w:val="clear" w:color="auto" w:fill="auto"/>
                      <w:lang w:val="en-US" w:eastAsia="zh-CN" w:bidi="ar"/>
                    </w:rPr>
                    <w:t>全部更换</w:t>
                  </w:r>
                  <w:r>
                    <w:rPr>
                      <w:rFonts w:hint="eastAsia"/>
                      <w:bCs/>
                      <w:color w:val="auto"/>
                      <w:sz w:val="21"/>
                      <w:szCs w:val="21"/>
                      <w:highlight w:val="none"/>
                      <w:shd w:val="clear" w:color="auto" w:fill="auto"/>
                      <w:lang w:eastAsia="zh-CN"/>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7A20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bCs/>
                      <w:color w:val="auto"/>
                      <w:sz w:val="21"/>
                      <w:szCs w:val="21"/>
                      <w:highlight w:val="none"/>
                      <w:shd w:val="clear" w:color="auto" w:fill="auto"/>
                    </w:rPr>
                  </w:pPr>
                  <w:r>
                    <w:rPr>
                      <w:rFonts w:hint="default" w:eastAsia="宋体"/>
                      <w:bCs/>
                      <w:color w:val="auto"/>
                      <w:sz w:val="21"/>
                      <w:szCs w:val="21"/>
                      <w:highlight w:val="none"/>
                      <w:shd w:val="clear" w:color="auto" w:fill="auto"/>
                      <w:lang w:val="en-US" w:eastAsia="zh-CN"/>
                    </w:rPr>
                    <w:t>废变压器油</w:t>
                  </w:r>
                  <w:r>
                    <w:rPr>
                      <w:rFonts w:hint="eastAsia"/>
                      <w:bCs/>
                      <w:color w:val="auto"/>
                      <w:szCs w:val="21"/>
                      <w:highlight w:val="none"/>
                      <w:shd w:val="clear" w:color="auto" w:fill="auto"/>
                      <w:lang w:val="en-US" w:eastAsia="zh-CN"/>
                    </w:rPr>
                    <w:t>（单次维修废油）</w:t>
                  </w:r>
                </w:p>
              </w:tc>
              <w:tc>
                <w:tcPr>
                  <w:tcW w:w="1320" w:type="pct"/>
                  <w:tcBorders>
                    <w:top w:val="single" w:color="000000" w:sz="4" w:space="0"/>
                    <w:left w:val="single" w:color="000000" w:sz="4" w:space="0"/>
                    <w:right w:val="single" w:color="000000" w:sz="4" w:space="0"/>
                  </w:tcBorders>
                  <w:tcMar>
                    <w:top w:w="15" w:type="dxa"/>
                    <w:left w:w="15" w:type="dxa"/>
                    <w:right w:w="15" w:type="dxa"/>
                  </w:tcMar>
                  <w:vAlign w:val="center"/>
                </w:tcPr>
                <w:p w14:paraId="2A53E12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bCs/>
                      <w:color w:val="auto"/>
                      <w:sz w:val="21"/>
                      <w:szCs w:val="21"/>
                      <w:highlight w:val="none"/>
                      <w:shd w:val="clear" w:color="auto" w:fill="auto"/>
                      <w:lang w:val="en-US" w:eastAsia="zh-CN"/>
                    </w:rPr>
                    <w:t>事故废油</w:t>
                  </w:r>
                </w:p>
              </w:tc>
            </w:tr>
            <w:tr w14:paraId="738CBE2A">
              <w:tblPrEx>
                <w:tblCellMar>
                  <w:top w:w="0" w:type="dxa"/>
                  <w:left w:w="0" w:type="dxa"/>
                  <w:bottom w:w="0" w:type="dxa"/>
                  <w:right w:w="0" w:type="dxa"/>
                </w:tblCellMar>
              </w:tblPrEx>
              <w:trPr>
                <w:trHeight w:val="29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B43F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危险废物类别</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7A10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HW08废矿物油与含矿物油废物</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B656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lang w:val="en-US" w:eastAsia="zh-CN"/>
                    </w:rPr>
                  </w:pPr>
                  <w:r>
                    <w:rPr>
                      <w:rFonts w:hint="default"/>
                      <w:color w:val="auto"/>
                      <w:sz w:val="21"/>
                      <w:szCs w:val="21"/>
                      <w:highlight w:val="none"/>
                      <w:shd w:val="clear" w:color="auto" w:fill="auto"/>
                      <w:lang w:val="en-US" w:eastAsia="zh-CN"/>
                    </w:rPr>
                    <w:t>HW08废矿物油与含矿物油废物</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1581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HW08废矿物油与含矿物油废物</w:t>
                  </w:r>
                </w:p>
              </w:tc>
            </w:tr>
            <w:tr w14:paraId="1498BC34">
              <w:tblPrEx>
                <w:tblCellMar>
                  <w:top w:w="0" w:type="dxa"/>
                  <w:left w:w="0" w:type="dxa"/>
                  <w:bottom w:w="0" w:type="dxa"/>
                  <w:right w:w="0" w:type="dxa"/>
                </w:tblCellMar>
              </w:tblPrEx>
              <w:trPr>
                <w:trHeight w:val="95"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C43E6A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危险废物代码</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78F2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7ED9D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lang w:val="en-US" w:eastAsia="zh-CN"/>
                    </w:rPr>
                  </w:pP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CC51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r>
            <w:tr w14:paraId="06A6F8B2">
              <w:tblPrEx>
                <w:tblCellMar>
                  <w:top w:w="0" w:type="dxa"/>
                  <w:left w:w="0" w:type="dxa"/>
                  <w:bottom w:w="0" w:type="dxa"/>
                  <w:right w:w="0" w:type="dxa"/>
                </w:tblCellMar>
              </w:tblPrEx>
              <w:trPr>
                <w:trHeight w:val="9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149EEE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产生量合计</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33D73B5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rPr>
                  </w:pPr>
                  <w:r>
                    <w:rPr>
                      <w:rFonts w:hint="eastAsia" w:cs="Times New Roman"/>
                      <w:color w:val="auto"/>
                      <w:sz w:val="21"/>
                      <w:szCs w:val="21"/>
                      <w:highlight w:val="none"/>
                      <w:shd w:val="clear" w:color="auto" w:fill="auto"/>
                      <w:lang w:val="en-US" w:eastAsia="zh-CN"/>
                    </w:rPr>
                    <w:t>30.28</w:t>
                  </w:r>
                  <w:r>
                    <w:rPr>
                      <w:rFonts w:hint="eastAsia"/>
                      <w:color w:val="auto"/>
                      <w:sz w:val="21"/>
                      <w:szCs w:val="21"/>
                      <w:highlight w:val="none"/>
                      <w:shd w:val="clear" w:color="auto" w:fill="auto"/>
                      <w:lang w:val="en-US" w:eastAsia="zh-CN"/>
                    </w:rPr>
                    <w:t>t/次</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1959DE2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eastAsia"/>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1.51</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47FE106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2.42</w:t>
                  </w:r>
                  <w:r>
                    <w:rPr>
                      <w:rFonts w:hint="eastAsia" w:ascii="Times New Roman" w:hAnsi="Times New Roman" w:eastAsia="宋体" w:cs="Times New Roman"/>
                      <w:color w:val="auto"/>
                      <w:sz w:val="21"/>
                      <w:szCs w:val="21"/>
                      <w:highlight w:val="none"/>
                      <w:shd w:val="clear" w:color="auto" w:fill="auto"/>
                      <w:lang w:val="en-US" w:eastAsia="zh-CN"/>
                    </w:rPr>
                    <w:t>t/次</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25</w:t>
                  </w:r>
                  <w:r>
                    <w:rPr>
                      <w:rFonts w:hint="default" w:ascii="Times New Roman" w:hAnsi="Times New Roman" w:eastAsia="宋体" w:cs="Times New Roman"/>
                      <w:color w:val="auto"/>
                      <w:sz w:val="21"/>
                      <w:szCs w:val="21"/>
                      <w:highlight w:val="none"/>
                      <w:shd w:val="clear" w:color="auto" w:fill="auto"/>
                    </w:rPr>
                    <w:t>年1次）</w:t>
                  </w:r>
                </w:p>
              </w:tc>
            </w:tr>
            <w:tr w14:paraId="27E100FA">
              <w:tblPrEx>
                <w:tblCellMar>
                  <w:top w:w="0" w:type="dxa"/>
                  <w:left w:w="0" w:type="dxa"/>
                  <w:bottom w:w="0" w:type="dxa"/>
                  <w:right w:w="0" w:type="dxa"/>
                </w:tblCellMar>
              </w:tblPrEx>
              <w:trPr>
                <w:trHeight w:val="278"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9BC785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产生工序及装置</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CCA88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eastAsia="宋体"/>
                      <w:color w:val="auto"/>
                      <w:sz w:val="21"/>
                      <w:szCs w:val="21"/>
                      <w:highlight w:val="none"/>
                      <w:shd w:val="clear" w:color="auto" w:fill="auto"/>
                      <w:lang w:val="en-US" w:eastAsia="zh-CN"/>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检修</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29A4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检修</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A982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事故</w:t>
                  </w:r>
                </w:p>
              </w:tc>
            </w:tr>
            <w:tr w14:paraId="197922EC">
              <w:tblPrEx>
                <w:tblCellMar>
                  <w:top w:w="0" w:type="dxa"/>
                  <w:left w:w="0" w:type="dxa"/>
                  <w:bottom w:w="0" w:type="dxa"/>
                  <w:right w:w="0" w:type="dxa"/>
                </w:tblCellMar>
              </w:tblPrEx>
              <w:trPr>
                <w:trHeight w:val="30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3A1E663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形态</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7756228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6E76EA1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液态</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6CF0F20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液态</w:t>
                  </w:r>
                </w:p>
              </w:tc>
            </w:tr>
            <w:tr w14:paraId="45CCC504">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EA2ABF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有害成分</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D204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75A40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矿物油</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977A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矿物油</w:t>
                  </w:r>
                </w:p>
              </w:tc>
            </w:tr>
            <w:tr w14:paraId="52E38AE8">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874D7B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产废周期</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E8ED9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不定期</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92D8B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不定期</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348F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不定期</w:t>
                  </w:r>
                </w:p>
              </w:tc>
            </w:tr>
            <w:tr w14:paraId="19D6E8D0">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2971BB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危险特性</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4C8C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bidi="ar"/>
                    </w:rPr>
                    <w:t>，</w:t>
                  </w:r>
                  <w:r>
                    <w:rPr>
                      <w:rFonts w:hint="default"/>
                      <w:color w:val="auto"/>
                      <w:kern w:val="0"/>
                      <w:sz w:val="21"/>
                      <w:szCs w:val="21"/>
                      <w:highlight w:val="none"/>
                      <w:shd w:val="clear" w:color="auto" w:fill="auto"/>
                      <w:lang w:bidi="ar"/>
                    </w:rPr>
                    <w:t>I</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94F4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bidi="ar"/>
                    </w:rPr>
                    <w:t>，</w:t>
                  </w:r>
                  <w:r>
                    <w:rPr>
                      <w:rFonts w:hint="default"/>
                      <w:color w:val="auto"/>
                      <w:kern w:val="0"/>
                      <w:sz w:val="21"/>
                      <w:szCs w:val="21"/>
                      <w:highlight w:val="none"/>
                      <w:shd w:val="clear" w:color="auto" w:fill="auto"/>
                      <w:lang w:bidi="ar"/>
                    </w:rPr>
                    <w:t>I</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F511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bidi="ar"/>
                    </w:rPr>
                    <w:t>，</w:t>
                  </w:r>
                  <w:r>
                    <w:rPr>
                      <w:rFonts w:hint="default"/>
                      <w:color w:val="auto"/>
                      <w:kern w:val="0"/>
                      <w:sz w:val="21"/>
                      <w:szCs w:val="21"/>
                      <w:highlight w:val="none"/>
                      <w:shd w:val="clear" w:color="auto" w:fill="auto"/>
                      <w:lang w:bidi="ar"/>
                    </w:rPr>
                    <w:t>I</w:t>
                  </w:r>
                </w:p>
              </w:tc>
            </w:tr>
            <w:tr w14:paraId="47EC4CE3">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C29E3A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bidi="ar"/>
                    </w:rPr>
                    <w:t>贮存场所名称</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5907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bCs/>
                      <w:color w:val="auto"/>
                      <w:sz w:val="21"/>
                      <w:szCs w:val="21"/>
                      <w:highlight w:val="none"/>
                      <w:shd w:val="clear" w:color="auto" w:fill="auto"/>
                      <w:lang w:val="en-US" w:eastAsia="zh-CN"/>
                    </w:rPr>
                    <w:t>不储存</w:t>
                  </w:r>
                </w:p>
              </w:tc>
              <w:tc>
                <w:tcPr>
                  <w:tcW w:w="13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2B06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Times New Roman" w:hAnsi="Times New Roman" w:eastAsia="宋体" w:cs="Times New Roman"/>
                      <w:color w:val="auto"/>
                      <w:kern w:val="0"/>
                      <w:sz w:val="21"/>
                      <w:szCs w:val="21"/>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p>
              </w:tc>
              <w:tc>
                <w:tcPr>
                  <w:tcW w:w="1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EC96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Times New Roman" w:hAnsi="Times New Roman" w:eastAsia="宋体" w:cs="Times New Roman"/>
                      <w:color w:val="auto"/>
                      <w:kern w:val="0"/>
                      <w:sz w:val="21"/>
                      <w:szCs w:val="21"/>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p>
              </w:tc>
            </w:tr>
            <w:tr w14:paraId="782C2FE6">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4CA0D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val="en-US" w:eastAsia="zh-CN" w:bidi="ar"/>
                    </w:rPr>
                    <w:t>贮存能力</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F74B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E45F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17.6t</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4F56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17.6t</w:t>
                  </w:r>
                </w:p>
              </w:tc>
            </w:tr>
            <w:tr w14:paraId="0ECF34C8">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5FBB5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val="en-US" w:eastAsia="zh-CN" w:bidi="ar"/>
                    </w:rPr>
                    <w:t>贮存周期</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5B50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21FB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＜12月</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3690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＜12月</w:t>
                  </w:r>
                </w:p>
              </w:tc>
            </w:tr>
            <w:tr w14:paraId="1E3B248C">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1C81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贮存方式</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6C3F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2C71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桶装</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BF16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桶装</w:t>
                  </w:r>
                </w:p>
              </w:tc>
            </w:tr>
            <w:tr w14:paraId="09930818">
              <w:tblPrEx>
                <w:tblCellMar>
                  <w:top w:w="0" w:type="dxa"/>
                  <w:left w:w="0" w:type="dxa"/>
                  <w:bottom w:w="0" w:type="dxa"/>
                  <w:right w:w="0" w:type="dxa"/>
                </w:tblCellMar>
              </w:tblPrEx>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2DE4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处置方式及去向</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0CDF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委托有资质单位处置</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66077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委托有资质单位处置</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F57D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委托有资质单位处置</w:t>
                  </w:r>
                </w:p>
              </w:tc>
            </w:tr>
          </w:tbl>
          <w:p w14:paraId="0D45E8C6">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lang w:val="en-US" w:eastAsia="zh-CN"/>
              </w:rPr>
              <w:t>7</w:t>
            </w:r>
            <w:r>
              <w:rPr>
                <w:rFonts w:hint="default"/>
                <w:b/>
                <w:color w:val="auto"/>
                <w:sz w:val="24"/>
                <w:highlight w:val="none"/>
                <w:shd w:val="clear" w:color="auto" w:fill="auto"/>
              </w:rPr>
              <w:t>）环境风险</w:t>
            </w:r>
            <w:r>
              <w:rPr>
                <w:rFonts w:hint="eastAsia"/>
                <w:b/>
                <w:color w:val="auto"/>
                <w:sz w:val="24"/>
                <w:highlight w:val="none"/>
                <w:shd w:val="clear" w:color="auto" w:fill="auto"/>
              </w:rPr>
              <w:t>分析</w:t>
            </w:r>
          </w:p>
          <w:p w14:paraId="101059FA">
            <w:pPr>
              <w:keepNext w:val="0"/>
              <w:keepLines w:val="0"/>
              <w:suppressLineNumbers w:val="0"/>
              <w:shd w:val="clear"/>
              <w:adjustRightInd w:val="0"/>
              <w:snapToGrid w:val="0"/>
              <w:spacing w:before="0" w:beforeAutospacing="0" w:after="0" w:afterAutospacing="0" w:line="360" w:lineRule="auto"/>
              <w:ind w:left="0" w:right="0" w:firstLine="480" w:firstLineChars="200"/>
              <w:outlineLvl w:val="0"/>
              <w:rPr>
                <w:rFonts w:hint="default"/>
                <w:color w:val="auto"/>
                <w:sz w:val="24"/>
                <w:highlight w:val="none"/>
                <w:shd w:val="clear" w:color="auto" w:fill="auto"/>
              </w:rPr>
            </w:pPr>
            <w:bookmarkStart w:id="38" w:name="_Toc25275"/>
            <w:bookmarkStart w:id="39" w:name="_Toc7605"/>
            <w:bookmarkStart w:id="40" w:name="_Toc12534"/>
            <w:bookmarkStart w:id="41" w:name="_Toc17737"/>
            <w:bookmarkStart w:id="42" w:name="_Toc476926933"/>
            <w:bookmarkStart w:id="43" w:name="_Toc466621401"/>
            <w:r>
              <w:rPr>
                <w:rFonts w:hint="eastAsia" w:cs="宋体"/>
                <w:color w:val="auto"/>
                <w:sz w:val="24"/>
                <w:highlight w:val="none"/>
                <w:shd w:val="clear" w:color="auto" w:fill="auto"/>
              </w:rPr>
              <w:t>环境风险评价的目的是分析和预测建设项目存在的潜在危险、有害因素，项目建设和运营期间可能发生的突发性事件或事故，引起有毒有害和易燃易爆等物质的泄漏，所造成的人身安全与环境影响和损害程度，提出合理可行的防范、应急与减缓措施，以使建设项目事故率、损失和环境影响达到可接受的水平。</w:t>
            </w:r>
            <w:r>
              <w:rPr>
                <w:rFonts w:hint="default"/>
                <w:color w:val="auto"/>
                <w:sz w:val="24"/>
                <w:highlight w:val="none"/>
                <w:shd w:val="clear" w:color="auto" w:fill="auto"/>
              </w:rPr>
              <w:t>本次评价根据《建设项目环境风险评价技术导则》（HJ 169-2018）要求进行评价。</w:t>
            </w:r>
            <w:bookmarkEnd w:id="38"/>
            <w:bookmarkEnd w:id="39"/>
            <w:bookmarkEnd w:id="40"/>
            <w:bookmarkEnd w:id="41"/>
          </w:p>
          <w:bookmarkEnd w:id="42"/>
          <w:bookmarkEnd w:id="43"/>
          <w:p w14:paraId="3755DF12">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eastAsia"/>
                <w:b/>
                <w:bCs/>
                <w:color w:val="auto"/>
                <w:szCs w:val="21"/>
                <w:highlight w:val="none"/>
                <w:shd w:val="clear" w:color="auto" w:fill="auto"/>
              </w:rPr>
            </w:pPr>
            <w:bookmarkStart w:id="44" w:name="_Toc32632"/>
            <w:bookmarkStart w:id="45" w:name="_Toc7379"/>
            <w:bookmarkStart w:id="46" w:name="_Toc27693"/>
            <w:bookmarkStart w:id="47" w:name="_Toc11767"/>
            <w:r>
              <w:rPr>
                <w:rFonts w:hint="eastAsia" w:cs="宋体"/>
                <w:b/>
                <w:bCs/>
                <w:color w:val="auto"/>
                <w:sz w:val="24"/>
                <w:highlight w:val="none"/>
                <w:shd w:val="clear" w:color="auto" w:fill="auto"/>
              </w:rPr>
              <w:t>1）风险调查</w:t>
            </w:r>
            <w:bookmarkEnd w:id="44"/>
            <w:bookmarkEnd w:id="45"/>
            <w:bookmarkEnd w:id="46"/>
            <w:bookmarkEnd w:id="47"/>
          </w:p>
          <w:p w14:paraId="39470330">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w:t>
            </w:r>
            <w:r>
              <w:rPr>
                <w:rFonts w:hint="default"/>
                <w:b/>
                <w:bCs/>
                <w:color w:val="auto"/>
                <w:szCs w:val="21"/>
                <w:highlight w:val="none"/>
                <w:shd w:val="clear" w:color="auto" w:fill="auto"/>
              </w:rPr>
              <w:t>4-</w:t>
            </w:r>
            <w:r>
              <w:rPr>
                <w:rFonts w:hint="eastAsia"/>
                <w:b/>
                <w:bCs/>
                <w:color w:val="auto"/>
                <w:szCs w:val="21"/>
                <w:highlight w:val="none"/>
                <w:shd w:val="clear" w:color="auto" w:fill="auto"/>
              </w:rPr>
              <w:t>1</w:t>
            </w:r>
            <w:r>
              <w:rPr>
                <w:rFonts w:hint="eastAsia"/>
                <w:b/>
                <w:bCs/>
                <w:color w:val="auto"/>
                <w:szCs w:val="21"/>
                <w:highlight w:val="none"/>
                <w:shd w:val="clear" w:color="auto" w:fill="auto"/>
                <w:lang w:val="en-US" w:eastAsia="zh-CN"/>
              </w:rPr>
              <w:t>2</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项目涉及的危险物质情况一览表</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6"/>
              <w:gridCol w:w="912"/>
              <w:gridCol w:w="3737"/>
              <w:gridCol w:w="1636"/>
            </w:tblGrid>
            <w:tr w14:paraId="678C8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7" w:type="pct"/>
                  <w:tcBorders>
                    <w:top w:val="single" w:color="000000" w:sz="4" w:space="0"/>
                    <w:left w:val="single" w:color="000000" w:sz="4" w:space="0"/>
                    <w:bottom w:val="single" w:color="000000" w:sz="4" w:space="0"/>
                    <w:right w:val="single" w:color="000000" w:sz="4" w:space="0"/>
                  </w:tcBorders>
                  <w:vAlign w:val="center"/>
                </w:tcPr>
                <w:p w14:paraId="6A8303DF">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危险物质</w:t>
                  </w:r>
                </w:p>
              </w:tc>
              <w:tc>
                <w:tcPr>
                  <w:tcW w:w="574" w:type="pct"/>
                  <w:tcBorders>
                    <w:top w:val="single" w:color="000000" w:sz="4" w:space="0"/>
                    <w:left w:val="single" w:color="000000" w:sz="4" w:space="0"/>
                    <w:bottom w:val="single" w:color="000000" w:sz="4" w:space="0"/>
                    <w:right w:val="single" w:color="000000" w:sz="4" w:space="0"/>
                  </w:tcBorders>
                  <w:vAlign w:val="center"/>
                </w:tcPr>
                <w:p w14:paraId="35B7F3B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形态</w:t>
                  </w:r>
                </w:p>
              </w:tc>
              <w:tc>
                <w:tcPr>
                  <w:tcW w:w="2355" w:type="pct"/>
                  <w:tcBorders>
                    <w:top w:val="single" w:color="000000" w:sz="4" w:space="0"/>
                    <w:left w:val="single" w:color="000000" w:sz="4" w:space="0"/>
                    <w:bottom w:val="single" w:color="000000" w:sz="4" w:space="0"/>
                    <w:right w:val="single" w:color="000000" w:sz="4" w:space="0"/>
                  </w:tcBorders>
                  <w:vAlign w:val="center"/>
                </w:tcPr>
                <w:p w14:paraId="0700B95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最大储存量</w:t>
                  </w:r>
                </w:p>
              </w:tc>
              <w:tc>
                <w:tcPr>
                  <w:tcW w:w="1031" w:type="pct"/>
                  <w:tcBorders>
                    <w:top w:val="single" w:color="000000" w:sz="4" w:space="0"/>
                    <w:left w:val="single" w:color="000000" w:sz="4" w:space="0"/>
                    <w:bottom w:val="single" w:color="000000" w:sz="4" w:space="0"/>
                    <w:right w:val="single" w:color="000000" w:sz="4" w:space="0"/>
                  </w:tcBorders>
                  <w:vAlign w:val="center"/>
                </w:tcPr>
                <w:p w14:paraId="7630234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备注</w:t>
                  </w:r>
                </w:p>
              </w:tc>
            </w:tr>
            <w:tr w14:paraId="0DF9D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5" w:hRule="atLeast"/>
                <w:jc w:val="center"/>
              </w:trPr>
              <w:tc>
                <w:tcPr>
                  <w:tcW w:w="1037" w:type="pct"/>
                  <w:tcBorders>
                    <w:top w:val="single" w:color="000000" w:sz="4" w:space="0"/>
                    <w:left w:val="single" w:color="000000" w:sz="4" w:space="0"/>
                    <w:bottom w:val="single" w:color="000000" w:sz="4" w:space="0"/>
                    <w:right w:val="single" w:color="000000" w:sz="4" w:space="0"/>
                  </w:tcBorders>
                  <w:vAlign w:val="center"/>
                </w:tcPr>
                <w:p w14:paraId="44A7206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变压器油</w:t>
                  </w:r>
                </w:p>
              </w:tc>
              <w:tc>
                <w:tcPr>
                  <w:tcW w:w="574" w:type="pct"/>
                  <w:tcBorders>
                    <w:top w:val="single" w:color="000000" w:sz="4" w:space="0"/>
                    <w:left w:val="single" w:color="000000" w:sz="4" w:space="0"/>
                    <w:bottom w:val="single" w:color="000000" w:sz="4" w:space="0"/>
                    <w:right w:val="single" w:color="000000" w:sz="4" w:space="0"/>
                  </w:tcBorders>
                  <w:vAlign w:val="center"/>
                </w:tcPr>
                <w:p w14:paraId="41C4B97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液态</w:t>
                  </w:r>
                </w:p>
              </w:tc>
              <w:tc>
                <w:tcPr>
                  <w:tcW w:w="2355" w:type="pct"/>
                  <w:tcBorders>
                    <w:top w:val="single" w:color="000000" w:sz="4" w:space="0"/>
                    <w:left w:val="single" w:color="000000" w:sz="4" w:space="0"/>
                    <w:bottom w:val="single" w:color="000000" w:sz="4" w:space="0"/>
                    <w:right w:val="single" w:color="000000" w:sz="4" w:space="0"/>
                  </w:tcBorders>
                  <w:vAlign w:val="center"/>
                </w:tcPr>
                <w:p w14:paraId="2D25B96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eastAsia="宋体"/>
                      <w:bCs/>
                      <w:color w:val="auto"/>
                      <w:sz w:val="21"/>
                      <w:szCs w:val="21"/>
                      <w:highlight w:val="none"/>
                      <w:shd w:val="clear" w:color="auto" w:fill="auto"/>
                      <w:lang w:eastAsia="zh-CN"/>
                    </w:rPr>
                  </w:pPr>
                  <w:r>
                    <w:rPr>
                      <w:rFonts w:hint="eastAsia"/>
                      <w:bCs/>
                      <w:color w:val="auto"/>
                      <w:sz w:val="21"/>
                      <w:szCs w:val="21"/>
                      <w:highlight w:val="none"/>
                      <w:shd w:val="clear" w:color="auto" w:fill="auto"/>
                      <w:lang w:val="en-US" w:eastAsia="zh-CN"/>
                    </w:rPr>
                    <w:t>30.28</w:t>
                  </w:r>
                  <w:r>
                    <w:rPr>
                      <w:rFonts w:hint="eastAsia"/>
                      <w:bCs/>
                      <w:color w:val="auto"/>
                      <w:sz w:val="21"/>
                      <w:szCs w:val="21"/>
                      <w:highlight w:val="none"/>
                      <w:shd w:val="clear" w:color="auto" w:fill="auto"/>
                    </w:rPr>
                    <w:t>t</w:t>
                  </w:r>
                  <w:r>
                    <w:rPr>
                      <w:rFonts w:hint="eastAsia"/>
                      <w:bCs/>
                      <w:color w:val="auto"/>
                      <w:sz w:val="21"/>
                      <w:szCs w:val="21"/>
                      <w:highlight w:val="none"/>
                      <w:shd w:val="clear" w:color="auto" w:fill="auto"/>
                      <w:lang w:eastAsia="zh-CN"/>
                    </w:rPr>
                    <w:t>（</w:t>
                  </w:r>
                  <w:r>
                    <w:rPr>
                      <w:rFonts w:hint="eastAsia"/>
                      <w:bCs/>
                      <w:color w:val="auto"/>
                      <w:sz w:val="21"/>
                      <w:szCs w:val="21"/>
                      <w:highlight w:val="none"/>
                      <w:shd w:val="clear" w:color="auto" w:fill="auto"/>
                      <w:lang w:val="en-US" w:eastAsia="zh-CN"/>
                    </w:rPr>
                    <w:t>其中</w:t>
                  </w:r>
                  <w:r>
                    <w:rPr>
                      <w:rFonts w:hint="eastAsia"/>
                      <w:color w:val="auto"/>
                      <w:sz w:val="21"/>
                      <w:szCs w:val="21"/>
                      <w:highlight w:val="none"/>
                      <w:shd w:val="clear" w:color="auto" w:fill="auto"/>
                    </w:rPr>
                    <w:t>S</w:t>
                  </w:r>
                  <w:r>
                    <w:rPr>
                      <w:rFonts w:hint="eastAsia"/>
                      <w:color w:val="auto"/>
                      <w:sz w:val="21"/>
                      <w:szCs w:val="21"/>
                      <w:highlight w:val="none"/>
                      <w:shd w:val="clear" w:color="auto" w:fill="auto"/>
                      <w:lang w:val="en-US" w:eastAsia="zh-CN"/>
                    </w:rPr>
                    <w:t>20</w:t>
                  </w:r>
                  <w:r>
                    <w:rPr>
                      <w:rFonts w:hint="eastAsia"/>
                      <w:color w:val="auto"/>
                      <w:sz w:val="21"/>
                      <w:szCs w:val="21"/>
                      <w:highlight w:val="none"/>
                      <w:shd w:val="clear" w:color="auto" w:fill="auto"/>
                    </w:rPr>
                    <w:t>-</w:t>
                  </w:r>
                  <w:r>
                    <w:rPr>
                      <w:rFonts w:hint="eastAsia"/>
                      <w:color w:val="auto"/>
                      <w:sz w:val="21"/>
                      <w:szCs w:val="21"/>
                      <w:highlight w:val="none"/>
                      <w:shd w:val="clear" w:color="auto" w:fill="auto"/>
                      <w:lang w:val="en-US" w:eastAsia="zh-CN"/>
                    </w:rPr>
                    <w:t>2600</w:t>
                  </w:r>
                  <w:r>
                    <w:rPr>
                      <w:rFonts w:hint="eastAsia"/>
                      <w:color w:val="auto"/>
                      <w:sz w:val="21"/>
                      <w:szCs w:val="21"/>
                      <w:highlight w:val="none"/>
                      <w:shd w:val="clear" w:color="auto" w:fill="auto"/>
                    </w:rPr>
                    <w:t>型箱变每台油重约1.</w:t>
                  </w:r>
                  <w:r>
                    <w:rPr>
                      <w:rFonts w:hint="eastAsia"/>
                      <w:color w:val="auto"/>
                      <w:sz w:val="21"/>
                      <w:szCs w:val="21"/>
                      <w:highlight w:val="none"/>
                      <w:shd w:val="clear" w:color="auto" w:fill="auto"/>
                      <w:lang w:val="en-US" w:eastAsia="zh-CN"/>
                    </w:rPr>
                    <w:t>99</w:t>
                  </w:r>
                  <w:r>
                    <w:rPr>
                      <w:rFonts w:hint="eastAsia"/>
                      <w:color w:val="auto"/>
                      <w:sz w:val="21"/>
                      <w:szCs w:val="21"/>
                      <w:highlight w:val="none"/>
                      <w:shd w:val="clear" w:color="auto" w:fill="auto"/>
                    </w:rPr>
                    <w:t>t，S</w:t>
                  </w:r>
                  <w:r>
                    <w:rPr>
                      <w:rFonts w:hint="eastAsia"/>
                      <w:color w:val="auto"/>
                      <w:sz w:val="21"/>
                      <w:szCs w:val="21"/>
                      <w:highlight w:val="none"/>
                      <w:shd w:val="clear" w:color="auto" w:fill="auto"/>
                      <w:lang w:val="en-US" w:eastAsia="zh-CN"/>
                    </w:rPr>
                    <w:t>20</w:t>
                  </w:r>
                  <w:r>
                    <w:rPr>
                      <w:rFonts w:hint="eastAsia"/>
                      <w:color w:val="auto"/>
                      <w:sz w:val="21"/>
                      <w:szCs w:val="21"/>
                      <w:highlight w:val="none"/>
                      <w:shd w:val="clear" w:color="auto" w:fill="auto"/>
                    </w:rPr>
                    <w:t>-</w:t>
                  </w:r>
                  <w:r>
                    <w:rPr>
                      <w:rFonts w:hint="eastAsia"/>
                      <w:color w:val="auto"/>
                      <w:sz w:val="21"/>
                      <w:szCs w:val="21"/>
                      <w:highlight w:val="none"/>
                      <w:shd w:val="clear" w:color="auto" w:fill="auto"/>
                      <w:lang w:val="en-US" w:eastAsia="zh-CN"/>
                    </w:rPr>
                    <w:t>3200</w:t>
                  </w:r>
                  <w:r>
                    <w:rPr>
                      <w:rFonts w:hint="eastAsia"/>
                      <w:color w:val="auto"/>
                      <w:sz w:val="21"/>
                      <w:szCs w:val="21"/>
                      <w:highlight w:val="none"/>
                      <w:shd w:val="clear" w:color="auto" w:fill="auto"/>
                    </w:rPr>
                    <w:t>型箱变每台油重约</w:t>
                  </w:r>
                  <w:r>
                    <w:rPr>
                      <w:rFonts w:hint="eastAsia"/>
                      <w:color w:val="auto"/>
                      <w:sz w:val="21"/>
                      <w:szCs w:val="21"/>
                      <w:highlight w:val="none"/>
                      <w:shd w:val="clear" w:color="auto" w:fill="auto"/>
                      <w:lang w:val="en-US" w:eastAsia="zh-CN"/>
                    </w:rPr>
                    <w:t>2.13</w:t>
                  </w:r>
                  <w:r>
                    <w:rPr>
                      <w:rFonts w:hint="eastAsia"/>
                      <w:color w:val="auto"/>
                      <w:sz w:val="21"/>
                      <w:szCs w:val="21"/>
                      <w:highlight w:val="none"/>
                      <w:shd w:val="clear" w:color="auto" w:fill="auto"/>
                    </w:rPr>
                    <w:t>t，S</w:t>
                  </w:r>
                  <w:r>
                    <w:rPr>
                      <w:rFonts w:hint="eastAsia"/>
                      <w:color w:val="auto"/>
                      <w:sz w:val="21"/>
                      <w:szCs w:val="21"/>
                      <w:highlight w:val="none"/>
                      <w:shd w:val="clear" w:color="auto" w:fill="auto"/>
                      <w:lang w:val="en-US" w:eastAsia="zh-CN"/>
                    </w:rPr>
                    <w:t>20</w:t>
                  </w:r>
                  <w:r>
                    <w:rPr>
                      <w:rFonts w:hint="eastAsia"/>
                      <w:color w:val="auto"/>
                      <w:sz w:val="21"/>
                      <w:szCs w:val="21"/>
                      <w:highlight w:val="none"/>
                      <w:shd w:val="clear" w:color="auto" w:fill="auto"/>
                    </w:rPr>
                    <w:t>-</w:t>
                  </w:r>
                  <w:r>
                    <w:rPr>
                      <w:rFonts w:hint="eastAsia"/>
                      <w:color w:val="auto"/>
                      <w:sz w:val="21"/>
                      <w:szCs w:val="21"/>
                      <w:highlight w:val="none"/>
                      <w:shd w:val="clear" w:color="auto" w:fill="auto"/>
                      <w:lang w:val="en-US" w:eastAsia="zh-CN"/>
                    </w:rPr>
                    <w:t>36</w:t>
                  </w:r>
                  <w:r>
                    <w:rPr>
                      <w:rFonts w:hint="eastAsia"/>
                      <w:color w:val="auto"/>
                      <w:sz w:val="21"/>
                      <w:szCs w:val="21"/>
                      <w:highlight w:val="none"/>
                      <w:shd w:val="clear" w:color="auto" w:fill="auto"/>
                    </w:rPr>
                    <w:t>00型箱变每台油重约</w:t>
                  </w:r>
                  <w:r>
                    <w:rPr>
                      <w:rFonts w:hint="eastAsia"/>
                      <w:color w:val="auto"/>
                      <w:sz w:val="21"/>
                      <w:szCs w:val="21"/>
                      <w:highlight w:val="none"/>
                      <w:shd w:val="clear" w:color="auto" w:fill="auto"/>
                      <w:lang w:val="en-US" w:eastAsia="zh-CN"/>
                    </w:rPr>
                    <w:t>2.33</w:t>
                  </w:r>
                  <w:r>
                    <w:rPr>
                      <w:rFonts w:hint="eastAsia"/>
                      <w:color w:val="auto"/>
                      <w:sz w:val="21"/>
                      <w:szCs w:val="21"/>
                      <w:highlight w:val="none"/>
                      <w:shd w:val="clear" w:color="auto" w:fill="auto"/>
                    </w:rPr>
                    <w:t>t，S</w:t>
                  </w:r>
                  <w:r>
                    <w:rPr>
                      <w:rFonts w:hint="eastAsia"/>
                      <w:color w:val="auto"/>
                      <w:sz w:val="21"/>
                      <w:szCs w:val="21"/>
                      <w:highlight w:val="none"/>
                      <w:shd w:val="clear" w:color="auto" w:fill="auto"/>
                      <w:lang w:val="en-US" w:eastAsia="zh-CN"/>
                    </w:rPr>
                    <w:t>20</w:t>
                  </w:r>
                  <w:r>
                    <w:rPr>
                      <w:rFonts w:hint="eastAsia"/>
                      <w:color w:val="auto"/>
                      <w:sz w:val="21"/>
                      <w:szCs w:val="21"/>
                      <w:highlight w:val="none"/>
                      <w:shd w:val="clear" w:color="auto" w:fill="auto"/>
                    </w:rPr>
                    <w:t>-3</w:t>
                  </w:r>
                  <w:r>
                    <w:rPr>
                      <w:rFonts w:hint="eastAsia"/>
                      <w:color w:val="auto"/>
                      <w:sz w:val="21"/>
                      <w:szCs w:val="21"/>
                      <w:highlight w:val="none"/>
                      <w:shd w:val="clear" w:color="auto" w:fill="auto"/>
                      <w:lang w:val="en-US" w:eastAsia="zh-CN"/>
                    </w:rPr>
                    <w:t>900</w:t>
                  </w:r>
                  <w:r>
                    <w:rPr>
                      <w:rFonts w:hint="eastAsia"/>
                      <w:color w:val="auto"/>
                      <w:sz w:val="21"/>
                      <w:szCs w:val="21"/>
                      <w:highlight w:val="none"/>
                      <w:shd w:val="clear" w:color="auto" w:fill="auto"/>
                    </w:rPr>
                    <w:t>型箱变每台油重约</w:t>
                  </w:r>
                  <w:r>
                    <w:rPr>
                      <w:rFonts w:hint="eastAsia"/>
                      <w:color w:val="auto"/>
                      <w:sz w:val="21"/>
                      <w:szCs w:val="21"/>
                      <w:highlight w:val="none"/>
                      <w:shd w:val="clear" w:color="auto" w:fill="auto"/>
                      <w:lang w:val="en-US" w:eastAsia="zh-CN"/>
                    </w:rPr>
                    <w:t>2.53</w:t>
                  </w:r>
                  <w:r>
                    <w:rPr>
                      <w:rFonts w:hint="eastAsia"/>
                      <w:color w:val="auto"/>
                      <w:sz w:val="21"/>
                      <w:szCs w:val="21"/>
                      <w:highlight w:val="none"/>
                      <w:shd w:val="clear" w:color="auto" w:fill="auto"/>
                    </w:rPr>
                    <w:t>t</w:t>
                  </w:r>
                  <w:r>
                    <w:rPr>
                      <w:rFonts w:hint="eastAsia"/>
                      <w:bCs/>
                      <w:color w:val="auto"/>
                      <w:sz w:val="21"/>
                      <w:szCs w:val="21"/>
                      <w:highlight w:val="none"/>
                      <w:shd w:val="clear" w:color="auto" w:fill="auto"/>
                      <w:lang w:eastAsia="zh-CN"/>
                    </w:rPr>
                    <w:t>）</w:t>
                  </w:r>
                </w:p>
              </w:tc>
              <w:tc>
                <w:tcPr>
                  <w:tcW w:w="1031" w:type="pct"/>
                  <w:tcBorders>
                    <w:top w:val="single" w:color="000000" w:sz="4" w:space="0"/>
                    <w:left w:val="single" w:color="000000" w:sz="4" w:space="0"/>
                    <w:bottom w:val="single" w:color="000000" w:sz="4" w:space="0"/>
                    <w:right w:val="single" w:color="000000" w:sz="4" w:space="0"/>
                  </w:tcBorders>
                  <w:vAlign w:val="center"/>
                </w:tcPr>
                <w:p w14:paraId="58CE873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贮存在变压器内</w:t>
                  </w:r>
                </w:p>
              </w:tc>
            </w:tr>
            <w:tr w14:paraId="4F83B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1037" w:type="pct"/>
                  <w:tcBorders>
                    <w:top w:val="single" w:color="000000" w:sz="4" w:space="0"/>
                    <w:left w:val="single" w:color="000000" w:sz="4" w:space="0"/>
                    <w:bottom w:val="single" w:color="000000" w:sz="4" w:space="0"/>
                    <w:right w:val="single" w:color="000000" w:sz="4" w:space="0"/>
                  </w:tcBorders>
                  <w:vAlign w:val="center"/>
                </w:tcPr>
                <w:p w14:paraId="3ACD976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bookmarkStart w:id="48" w:name="_Toc27488"/>
                  <w:bookmarkStart w:id="49" w:name="_Toc6842"/>
                  <w:bookmarkStart w:id="50" w:name="_Toc7534"/>
                  <w:bookmarkStart w:id="51" w:name="_Toc11567"/>
                  <w:r>
                    <w:rPr>
                      <w:rFonts w:hint="eastAsia"/>
                      <w:bCs/>
                      <w:color w:val="auto"/>
                      <w:szCs w:val="21"/>
                      <w:highlight w:val="none"/>
                      <w:shd w:val="clear" w:color="auto" w:fill="auto"/>
                      <w:lang w:val="en-US" w:eastAsia="zh-CN"/>
                    </w:rPr>
                    <w:t>废变压器油（单次维修废油）</w:t>
                  </w:r>
                </w:p>
              </w:tc>
              <w:tc>
                <w:tcPr>
                  <w:tcW w:w="574" w:type="pct"/>
                  <w:tcBorders>
                    <w:top w:val="single" w:color="000000" w:sz="4" w:space="0"/>
                    <w:left w:val="single" w:color="000000" w:sz="4" w:space="0"/>
                    <w:bottom w:val="single" w:color="000000" w:sz="4" w:space="0"/>
                    <w:right w:val="single" w:color="000000" w:sz="4" w:space="0"/>
                  </w:tcBorders>
                  <w:vAlign w:val="center"/>
                </w:tcPr>
                <w:p w14:paraId="06E4C6C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bCs/>
                      <w:color w:val="auto"/>
                      <w:sz w:val="21"/>
                      <w:szCs w:val="21"/>
                      <w:highlight w:val="none"/>
                      <w:shd w:val="clear" w:color="auto" w:fill="auto"/>
                    </w:rPr>
                    <w:t>液态</w:t>
                  </w:r>
                </w:p>
              </w:tc>
              <w:tc>
                <w:tcPr>
                  <w:tcW w:w="2355" w:type="pct"/>
                  <w:tcBorders>
                    <w:top w:val="single" w:color="000000" w:sz="4" w:space="0"/>
                    <w:left w:val="single" w:color="000000" w:sz="4" w:space="0"/>
                    <w:bottom w:val="single" w:color="000000" w:sz="4" w:space="0"/>
                    <w:right w:val="single" w:color="000000" w:sz="4" w:space="0"/>
                  </w:tcBorders>
                  <w:vAlign w:val="center"/>
                </w:tcPr>
                <w:p w14:paraId="7C3C311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1.51</w:t>
                  </w:r>
                  <w:r>
                    <w:rPr>
                      <w:rFonts w:hint="eastAsia" w:ascii="Times New Roman" w:hAnsi="Times New Roman" w:cs="Times New Roman"/>
                      <w:color w:val="auto"/>
                      <w:sz w:val="21"/>
                      <w:szCs w:val="21"/>
                      <w:highlight w:val="none"/>
                      <w:shd w:val="clear" w:color="auto" w:fill="auto"/>
                      <w:lang w:val="en-US" w:eastAsia="zh-CN"/>
                    </w:rPr>
                    <w:t>t（桶装）</w:t>
                  </w:r>
                </w:p>
              </w:tc>
              <w:tc>
                <w:tcPr>
                  <w:tcW w:w="1031" w:type="pct"/>
                  <w:tcBorders>
                    <w:top w:val="single" w:color="000000" w:sz="4" w:space="0"/>
                    <w:left w:val="single" w:color="000000" w:sz="4" w:space="0"/>
                    <w:bottom w:val="single" w:color="000000" w:sz="4" w:space="0"/>
                    <w:right w:val="single" w:color="000000" w:sz="4" w:space="0"/>
                  </w:tcBorders>
                  <w:vAlign w:val="center"/>
                </w:tcPr>
                <w:p w14:paraId="6B92FE9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宋体" w:hAnsi="宋体" w:eastAsia="宋体" w:cs="宋体"/>
                      <w:color w:val="auto"/>
                      <w:kern w:val="0"/>
                      <w:sz w:val="21"/>
                      <w:szCs w:val="21"/>
                      <w:lang w:val="en-US" w:eastAsia="zh-CN" w:bidi="ar"/>
                    </w:rPr>
                    <w:t>危废</w:t>
                  </w:r>
                  <w:r>
                    <w:rPr>
                      <w:rFonts w:hint="eastAsia" w:ascii="宋体" w:hAnsi="宋体" w:cs="宋体"/>
                      <w:color w:val="auto"/>
                      <w:kern w:val="0"/>
                      <w:sz w:val="21"/>
                      <w:szCs w:val="21"/>
                      <w:lang w:val="en-US" w:eastAsia="zh-CN" w:bidi="ar"/>
                    </w:rPr>
                    <w:t>贮存库</w:t>
                  </w:r>
                  <w:r>
                    <w:rPr>
                      <w:rFonts w:hint="eastAsia" w:ascii="宋体" w:hAnsi="宋体" w:eastAsia="宋体" w:cs="宋体"/>
                      <w:color w:val="auto"/>
                      <w:kern w:val="0"/>
                      <w:sz w:val="21"/>
                      <w:szCs w:val="21"/>
                      <w:lang w:val="en-US" w:eastAsia="zh-CN" w:bidi="ar"/>
                    </w:rPr>
                    <w:t>暂存</w:t>
                  </w:r>
                </w:p>
              </w:tc>
            </w:tr>
            <w:tr w14:paraId="0F8E6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8" w:hRule="atLeast"/>
                <w:jc w:val="center"/>
              </w:trPr>
              <w:tc>
                <w:tcPr>
                  <w:tcW w:w="1037" w:type="pct"/>
                  <w:tcBorders>
                    <w:top w:val="single" w:color="000000" w:sz="4" w:space="0"/>
                    <w:left w:val="single" w:color="000000" w:sz="4" w:space="0"/>
                    <w:bottom w:val="single" w:color="000000" w:sz="4" w:space="0"/>
                    <w:right w:val="single" w:color="000000" w:sz="4" w:space="0"/>
                  </w:tcBorders>
                  <w:vAlign w:val="center"/>
                </w:tcPr>
                <w:p w14:paraId="3300DD3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事故废油</w:t>
                  </w:r>
                </w:p>
              </w:tc>
              <w:tc>
                <w:tcPr>
                  <w:tcW w:w="574" w:type="pct"/>
                  <w:tcBorders>
                    <w:top w:val="single" w:color="000000" w:sz="4" w:space="0"/>
                    <w:left w:val="single" w:color="000000" w:sz="4" w:space="0"/>
                    <w:bottom w:val="single" w:color="000000" w:sz="4" w:space="0"/>
                    <w:right w:val="single" w:color="000000" w:sz="4" w:space="0"/>
                  </w:tcBorders>
                  <w:vAlign w:val="center"/>
                </w:tcPr>
                <w:p w14:paraId="38E096F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rPr>
                  </w:pPr>
                  <w:r>
                    <w:rPr>
                      <w:rFonts w:hint="eastAsia"/>
                      <w:bCs/>
                      <w:color w:val="auto"/>
                      <w:sz w:val="21"/>
                      <w:szCs w:val="21"/>
                      <w:highlight w:val="none"/>
                      <w:shd w:val="clear" w:color="auto" w:fill="auto"/>
                    </w:rPr>
                    <w:t>液态</w:t>
                  </w:r>
                </w:p>
              </w:tc>
              <w:tc>
                <w:tcPr>
                  <w:tcW w:w="2355" w:type="pct"/>
                  <w:tcBorders>
                    <w:top w:val="single" w:color="000000" w:sz="4" w:space="0"/>
                    <w:left w:val="single" w:color="000000" w:sz="4" w:space="0"/>
                    <w:bottom w:val="single" w:color="000000" w:sz="4" w:space="0"/>
                    <w:right w:val="single" w:color="000000" w:sz="4" w:space="0"/>
                  </w:tcBorders>
                  <w:vAlign w:val="center"/>
                </w:tcPr>
                <w:p w14:paraId="29CFD97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2.42</w:t>
                  </w:r>
                  <w:r>
                    <w:rPr>
                      <w:rFonts w:hint="eastAsia"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cs="Times New Roman"/>
                      <w:color w:val="auto"/>
                      <w:sz w:val="21"/>
                      <w:szCs w:val="21"/>
                      <w:highlight w:val="none"/>
                      <w:shd w:val="clear" w:color="auto" w:fill="auto"/>
                      <w:lang w:val="en-US" w:eastAsia="zh-CN"/>
                    </w:rPr>
                    <w:t>（桶装）</w:t>
                  </w:r>
                </w:p>
              </w:tc>
              <w:tc>
                <w:tcPr>
                  <w:tcW w:w="1031" w:type="pct"/>
                  <w:tcBorders>
                    <w:top w:val="single" w:color="000000" w:sz="4" w:space="0"/>
                    <w:left w:val="single" w:color="000000" w:sz="4" w:space="0"/>
                    <w:bottom w:val="single" w:color="000000" w:sz="4" w:space="0"/>
                    <w:right w:val="single" w:color="000000" w:sz="4" w:space="0"/>
                  </w:tcBorders>
                  <w:vAlign w:val="center"/>
                </w:tcPr>
                <w:p w14:paraId="3058A20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宋体" w:hAnsi="宋体" w:eastAsia="宋体" w:cs="宋体"/>
                      <w:color w:val="auto"/>
                      <w:kern w:val="0"/>
                      <w:sz w:val="20"/>
                      <w:szCs w:val="20"/>
                      <w:lang w:val="en-US" w:eastAsia="zh-CN" w:bidi="ar"/>
                    </w:rPr>
                  </w:pPr>
                  <w:r>
                    <w:rPr>
                      <w:rFonts w:hint="eastAsia" w:cs="Times New Roman"/>
                      <w:b w:val="0"/>
                      <w:bCs w:val="0"/>
                      <w:color w:val="auto"/>
                      <w:sz w:val="21"/>
                      <w:szCs w:val="21"/>
                      <w:lang w:val="en-US" w:eastAsia="zh-CN"/>
                    </w:rPr>
                    <w:t>竹园沟</w:t>
                  </w:r>
                  <w:r>
                    <w:rPr>
                      <w:rFonts w:hint="default" w:ascii="Times New Roman" w:hAnsi="Times New Roman" w:eastAsia="宋体" w:cs="Times New Roman"/>
                      <w:b w:val="0"/>
                      <w:bCs w:val="0"/>
                      <w:color w:val="auto"/>
                      <w:sz w:val="21"/>
                      <w:szCs w:val="21"/>
                      <w:lang w:val="en-US" w:eastAsia="zh-CN"/>
                    </w:rPr>
                    <w:t>光伏发电项目</w:t>
                  </w:r>
                  <w:r>
                    <w:rPr>
                      <w:rFonts w:hint="eastAsia" w:ascii="宋体" w:hAnsi="宋体" w:eastAsia="宋体" w:cs="宋体"/>
                      <w:color w:val="auto"/>
                      <w:kern w:val="0"/>
                      <w:sz w:val="21"/>
                      <w:szCs w:val="21"/>
                      <w:lang w:val="en-US" w:eastAsia="zh-CN" w:bidi="ar"/>
                    </w:rPr>
                    <w:t>危废</w:t>
                  </w:r>
                  <w:r>
                    <w:rPr>
                      <w:rFonts w:hint="eastAsia" w:ascii="宋体" w:hAnsi="宋体" w:cs="宋体"/>
                      <w:color w:val="auto"/>
                      <w:kern w:val="0"/>
                      <w:sz w:val="21"/>
                      <w:szCs w:val="21"/>
                      <w:lang w:val="en-US" w:eastAsia="zh-CN" w:bidi="ar"/>
                    </w:rPr>
                    <w:t>贮存库</w:t>
                  </w:r>
                  <w:r>
                    <w:rPr>
                      <w:rFonts w:hint="eastAsia" w:ascii="宋体" w:hAnsi="宋体" w:eastAsia="宋体" w:cs="宋体"/>
                      <w:color w:val="auto"/>
                      <w:kern w:val="0"/>
                      <w:sz w:val="21"/>
                      <w:szCs w:val="21"/>
                      <w:lang w:val="en-US" w:eastAsia="zh-CN" w:bidi="ar"/>
                    </w:rPr>
                    <w:t>暂存</w:t>
                  </w:r>
                </w:p>
              </w:tc>
            </w:tr>
          </w:tbl>
          <w:p w14:paraId="0C25AFDE">
            <w:pPr>
              <w:keepNext w:val="0"/>
              <w:keepLines w:val="0"/>
              <w:suppressLineNumbers w:val="0"/>
              <w:shd w:val="clear"/>
              <w:adjustRightInd w:val="0"/>
              <w:snapToGrid w:val="0"/>
              <w:spacing w:before="0" w:beforeAutospacing="0" w:after="0" w:afterAutospacing="0" w:line="360" w:lineRule="auto"/>
              <w:ind w:left="0" w:right="0" w:firstLine="480" w:firstLineChars="200"/>
              <w:outlineLvl w:val="0"/>
              <w:rPr>
                <w:rFonts w:hint="default" w:cs="宋体"/>
                <w:color w:val="auto"/>
                <w:sz w:val="24"/>
                <w:highlight w:val="none"/>
                <w:shd w:val="clear" w:color="auto" w:fill="auto"/>
              </w:rPr>
            </w:pPr>
            <w:r>
              <w:rPr>
                <w:rFonts w:hint="eastAsia" w:cs="宋体"/>
                <w:color w:val="auto"/>
                <w:sz w:val="24"/>
                <w:highlight w:val="none"/>
                <w:shd w:val="clear" w:color="auto" w:fill="auto"/>
              </w:rPr>
              <w:t>本项目所涉及的环境风险物质的危险特性及理化性质如下：</w:t>
            </w:r>
            <w:bookmarkEnd w:id="48"/>
            <w:bookmarkEnd w:id="49"/>
            <w:bookmarkEnd w:id="50"/>
            <w:bookmarkEnd w:id="51"/>
          </w:p>
          <w:p w14:paraId="37AAD7EE">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3</w:t>
            </w:r>
            <w:r>
              <w:rPr>
                <w:rFonts w:hint="eastAsia"/>
                <w:b/>
                <w:bCs/>
                <w:color w:val="auto"/>
                <w:szCs w:val="21"/>
                <w:highlight w:val="none"/>
                <w:shd w:val="clear" w:color="auto" w:fill="auto"/>
              </w:rPr>
              <w:t xml:space="preserve">  变压器油理化性质</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6950"/>
            </w:tblGrid>
            <w:tr w14:paraId="4903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Align w:val="center"/>
                </w:tcPr>
                <w:p w14:paraId="0E6F6FA6">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名称</w:t>
                  </w:r>
                </w:p>
              </w:tc>
              <w:tc>
                <w:tcPr>
                  <w:tcW w:w="4380" w:type="pct"/>
                  <w:vAlign w:val="center"/>
                </w:tcPr>
                <w:p w14:paraId="462F663A">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理化性质</w:t>
                  </w:r>
                </w:p>
              </w:tc>
            </w:tr>
            <w:tr w14:paraId="28A2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Align w:val="center"/>
                </w:tcPr>
                <w:p w14:paraId="29EB28E1">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Cs/>
                      <w:color w:val="auto"/>
                      <w:szCs w:val="21"/>
                      <w:highlight w:val="none"/>
                      <w:shd w:val="clear" w:color="auto" w:fill="auto"/>
                    </w:rPr>
                  </w:pPr>
                  <w:r>
                    <w:rPr>
                      <w:rFonts w:hint="default" w:hAnsi="宋体"/>
                      <w:color w:val="auto"/>
                      <w:szCs w:val="21"/>
                      <w:highlight w:val="none"/>
                      <w:shd w:val="clear" w:color="auto" w:fill="auto"/>
                    </w:rPr>
                    <w:t>变压器油</w:t>
                  </w:r>
                </w:p>
              </w:tc>
              <w:tc>
                <w:tcPr>
                  <w:tcW w:w="4380" w:type="pct"/>
                  <w:vAlign w:val="center"/>
                </w:tcPr>
                <w:p w14:paraId="55D19843">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外观与性状：稍有粘稠半透明液体；</w:t>
                  </w:r>
                </w:p>
                <w:p w14:paraId="29819321">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相对密度（水</w:t>
                  </w:r>
                  <w:r>
                    <w:rPr>
                      <w:rFonts w:hint="default"/>
                      <w:color w:val="auto"/>
                      <w:szCs w:val="21"/>
                      <w:highlight w:val="none"/>
                      <w:shd w:val="clear" w:color="auto" w:fill="auto"/>
                    </w:rPr>
                    <w:t>=1</w:t>
                  </w:r>
                  <w:r>
                    <w:rPr>
                      <w:rFonts w:hint="default" w:hAnsi="宋体"/>
                      <w:color w:val="auto"/>
                      <w:szCs w:val="21"/>
                      <w:highlight w:val="none"/>
                      <w:shd w:val="clear" w:color="auto" w:fill="auto"/>
                    </w:rPr>
                    <w:t>）：</w:t>
                  </w:r>
                  <w:r>
                    <w:rPr>
                      <w:rFonts w:hint="default"/>
                      <w:color w:val="auto"/>
                      <w:szCs w:val="21"/>
                      <w:highlight w:val="none"/>
                      <w:shd w:val="clear" w:color="auto" w:fill="auto"/>
                    </w:rPr>
                    <w:t>0.86~0.895</w:t>
                  </w:r>
                  <w:r>
                    <w:rPr>
                      <w:rFonts w:hint="default" w:hAnsi="宋体"/>
                      <w:color w:val="auto"/>
                      <w:szCs w:val="21"/>
                      <w:highlight w:val="none"/>
                      <w:shd w:val="clear" w:color="auto" w:fill="auto"/>
                    </w:rPr>
                    <w:t>；</w:t>
                  </w:r>
                </w:p>
                <w:p w14:paraId="3261CD77">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相对蒸气密度（空气</w:t>
                  </w:r>
                  <w:r>
                    <w:rPr>
                      <w:rFonts w:hint="default"/>
                      <w:color w:val="auto"/>
                      <w:szCs w:val="21"/>
                      <w:highlight w:val="none"/>
                      <w:shd w:val="clear" w:color="auto" w:fill="auto"/>
                    </w:rPr>
                    <w:t>=1</w:t>
                  </w:r>
                  <w:r>
                    <w:rPr>
                      <w:rFonts w:hint="default" w:hAnsi="宋体"/>
                      <w:color w:val="auto"/>
                      <w:szCs w:val="21"/>
                      <w:highlight w:val="none"/>
                      <w:shd w:val="clear" w:color="auto" w:fill="auto"/>
                    </w:rPr>
                    <w:t>）：</w:t>
                  </w:r>
                  <w:r>
                    <w:rPr>
                      <w:rFonts w:hint="default"/>
                      <w:color w:val="auto"/>
                      <w:szCs w:val="21"/>
                      <w:highlight w:val="none"/>
                      <w:shd w:val="clear" w:color="auto" w:fill="auto"/>
                    </w:rPr>
                    <w:t>1.4</w:t>
                  </w:r>
                  <w:r>
                    <w:rPr>
                      <w:rFonts w:hint="default" w:hAnsi="宋体"/>
                      <w:color w:val="auto"/>
                      <w:szCs w:val="21"/>
                      <w:highlight w:val="none"/>
                      <w:shd w:val="clear" w:color="auto" w:fill="auto"/>
                    </w:rPr>
                    <w:t>；</w:t>
                  </w:r>
                </w:p>
                <w:p w14:paraId="00755A4F">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闪点（</w:t>
                  </w:r>
                  <w:r>
                    <w:rPr>
                      <w:rFonts w:hint="default" w:ascii="宋体" w:hAnsi="宋体"/>
                      <w:color w:val="auto"/>
                      <w:szCs w:val="21"/>
                      <w:highlight w:val="none"/>
                      <w:shd w:val="clear" w:color="auto" w:fill="auto"/>
                    </w:rPr>
                    <w:t>℃</w:t>
                  </w:r>
                  <w:r>
                    <w:rPr>
                      <w:rFonts w:hint="default" w:hAnsi="宋体"/>
                      <w:color w:val="auto"/>
                      <w:szCs w:val="21"/>
                      <w:highlight w:val="none"/>
                      <w:shd w:val="clear" w:color="auto" w:fill="auto"/>
                    </w:rPr>
                    <w:t>）：</w:t>
                  </w:r>
                  <w:r>
                    <w:rPr>
                      <w:rFonts w:hint="default"/>
                      <w:color w:val="auto"/>
                      <w:szCs w:val="21"/>
                      <w:highlight w:val="none"/>
                      <w:shd w:val="clear" w:color="auto" w:fill="auto"/>
                    </w:rPr>
                    <w:t>≥135</w:t>
                  </w:r>
                  <w:r>
                    <w:rPr>
                      <w:rFonts w:hint="default" w:hAnsi="宋体"/>
                      <w:color w:val="auto"/>
                      <w:szCs w:val="21"/>
                      <w:highlight w:val="none"/>
                      <w:shd w:val="clear" w:color="auto" w:fill="auto"/>
                    </w:rPr>
                    <w:t>；</w:t>
                  </w:r>
                </w:p>
                <w:p w14:paraId="20042A8F">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eastAsia" w:eastAsia="宋体"/>
                      <w:color w:val="auto"/>
                      <w:szCs w:val="21"/>
                      <w:highlight w:val="none"/>
                      <w:shd w:val="clear" w:color="auto" w:fill="auto"/>
                      <w:lang w:eastAsia="zh-CN"/>
                    </w:rPr>
                  </w:pPr>
                  <w:r>
                    <w:rPr>
                      <w:rFonts w:hint="default" w:hAnsi="宋体"/>
                      <w:color w:val="auto"/>
                      <w:szCs w:val="21"/>
                      <w:highlight w:val="none"/>
                      <w:shd w:val="clear" w:color="auto" w:fill="auto"/>
                    </w:rPr>
                    <w:t>溶解性：不溶于水</w:t>
                  </w:r>
                  <w:r>
                    <w:rPr>
                      <w:rFonts w:hint="eastAsia" w:hAnsi="宋体" w:eastAsia="宋体"/>
                      <w:color w:val="auto"/>
                      <w:szCs w:val="21"/>
                      <w:highlight w:val="none"/>
                      <w:shd w:val="clear" w:color="auto" w:fill="auto"/>
                      <w:lang w:eastAsia="zh-CN"/>
                    </w:rPr>
                    <w:t>；</w:t>
                  </w:r>
                </w:p>
                <w:p w14:paraId="2C8576C3">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eastAsia" w:eastAsia="宋体"/>
                      <w:color w:val="auto"/>
                      <w:szCs w:val="21"/>
                      <w:highlight w:val="none"/>
                      <w:shd w:val="clear" w:color="auto" w:fill="auto"/>
                      <w:lang w:eastAsia="zh-CN"/>
                    </w:rPr>
                  </w:pPr>
                  <w:r>
                    <w:rPr>
                      <w:rFonts w:hint="default" w:hAnsi="宋体"/>
                      <w:color w:val="auto"/>
                      <w:szCs w:val="21"/>
                      <w:highlight w:val="none"/>
                      <w:shd w:val="clear" w:color="auto" w:fill="auto"/>
                    </w:rPr>
                    <w:t>火灾类别：丙类，可燃液体</w:t>
                  </w:r>
                  <w:r>
                    <w:rPr>
                      <w:rFonts w:hint="eastAsia" w:hAnsi="宋体" w:eastAsia="宋体"/>
                      <w:color w:val="auto"/>
                      <w:szCs w:val="21"/>
                      <w:highlight w:val="none"/>
                      <w:shd w:val="clear" w:color="auto" w:fill="auto"/>
                      <w:lang w:eastAsia="zh-CN"/>
                    </w:rPr>
                    <w:t>；</w:t>
                  </w:r>
                </w:p>
                <w:p w14:paraId="260E3C11">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急性毒性：大鼠吸入</w:t>
                  </w:r>
                  <w:r>
                    <w:rPr>
                      <w:rFonts w:hint="default"/>
                      <w:color w:val="auto"/>
                      <w:szCs w:val="21"/>
                      <w:highlight w:val="none"/>
                      <w:shd w:val="clear" w:color="auto" w:fill="auto"/>
                    </w:rPr>
                    <w:t>LC50</w:t>
                  </w:r>
                  <w:r>
                    <w:rPr>
                      <w:rFonts w:hint="default" w:hAnsi="宋体"/>
                      <w:color w:val="auto"/>
                      <w:szCs w:val="21"/>
                      <w:highlight w:val="none"/>
                      <w:shd w:val="clear" w:color="auto" w:fill="auto"/>
                    </w:rPr>
                    <w:t>：</w:t>
                  </w:r>
                  <w:r>
                    <w:rPr>
                      <w:rFonts w:hint="default"/>
                      <w:color w:val="auto"/>
                      <w:szCs w:val="21"/>
                      <w:highlight w:val="none"/>
                      <w:shd w:val="clear" w:color="auto" w:fill="auto"/>
                    </w:rPr>
                    <w:t>300000mg/m</w:t>
                  </w:r>
                  <w:r>
                    <w:rPr>
                      <w:rFonts w:hint="default"/>
                      <w:color w:val="auto"/>
                      <w:szCs w:val="21"/>
                      <w:highlight w:val="none"/>
                      <w:shd w:val="clear" w:color="auto" w:fill="auto"/>
                      <w:vertAlign w:val="superscript"/>
                    </w:rPr>
                    <w:t>3</w:t>
                  </w:r>
                  <w:r>
                    <w:rPr>
                      <w:rFonts w:hint="default" w:hAnsi="宋体"/>
                      <w:color w:val="auto"/>
                      <w:szCs w:val="21"/>
                      <w:highlight w:val="none"/>
                      <w:shd w:val="clear" w:color="auto" w:fill="auto"/>
                    </w:rPr>
                    <w:t>（</w:t>
                  </w:r>
                  <w:r>
                    <w:rPr>
                      <w:rFonts w:hint="default"/>
                      <w:color w:val="auto"/>
                      <w:szCs w:val="21"/>
                      <w:highlight w:val="none"/>
                      <w:shd w:val="clear" w:color="auto" w:fill="auto"/>
                    </w:rPr>
                    <w:t>5</w:t>
                  </w:r>
                  <w:r>
                    <w:rPr>
                      <w:rFonts w:hint="default" w:hAnsi="宋体"/>
                      <w:color w:val="auto"/>
                      <w:szCs w:val="21"/>
                      <w:highlight w:val="none"/>
                      <w:shd w:val="clear" w:color="auto" w:fill="auto"/>
                    </w:rPr>
                    <w:t>个月）；小鼠吸入</w:t>
                  </w:r>
                  <w:r>
                    <w:rPr>
                      <w:rFonts w:hint="default"/>
                      <w:color w:val="auto"/>
                      <w:szCs w:val="21"/>
                      <w:highlight w:val="none"/>
                      <w:shd w:val="clear" w:color="auto" w:fill="auto"/>
                    </w:rPr>
                    <w:t>LC50</w:t>
                  </w:r>
                  <w:r>
                    <w:rPr>
                      <w:rFonts w:hint="default" w:hAnsi="宋体"/>
                      <w:color w:val="auto"/>
                      <w:szCs w:val="21"/>
                      <w:highlight w:val="none"/>
                      <w:shd w:val="clear" w:color="auto" w:fill="auto"/>
                    </w:rPr>
                    <w:t>：</w:t>
                  </w:r>
                  <w:r>
                    <w:rPr>
                      <w:rFonts w:hint="default"/>
                      <w:color w:val="auto"/>
                      <w:szCs w:val="21"/>
                      <w:highlight w:val="none"/>
                      <w:shd w:val="clear" w:color="auto" w:fill="auto"/>
                    </w:rPr>
                    <w:t>300000mg/m</w:t>
                  </w:r>
                  <w:r>
                    <w:rPr>
                      <w:rFonts w:hint="default"/>
                      <w:color w:val="auto"/>
                      <w:szCs w:val="21"/>
                      <w:highlight w:val="none"/>
                      <w:shd w:val="clear" w:color="auto" w:fill="auto"/>
                      <w:vertAlign w:val="superscript"/>
                    </w:rPr>
                    <w:t>3</w:t>
                  </w:r>
                  <w:r>
                    <w:rPr>
                      <w:rFonts w:hint="default" w:hAnsi="宋体"/>
                      <w:color w:val="auto"/>
                      <w:szCs w:val="21"/>
                      <w:highlight w:val="none"/>
                      <w:shd w:val="clear" w:color="auto" w:fill="auto"/>
                    </w:rPr>
                    <w:t>（</w:t>
                  </w:r>
                  <w:r>
                    <w:rPr>
                      <w:rFonts w:hint="default"/>
                      <w:color w:val="auto"/>
                      <w:szCs w:val="21"/>
                      <w:highlight w:val="none"/>
                      <w:shd w:val="clear" w:color="auto" w:fill="auto"/>
                    </w:rPr>
                    <w:t>5</w:t>
                  </w:r>
                  <w:r>
                    <w:rPr>
                      <w:rFonts w:hint="default" w:hAnsi="宋体"/>
                      <w:color w:val="auto"/>
                      <w:szCs w:val="21"/>
                      <w:highlight w:val="none"/>
                      <w:shd w:val="clear" w:color="auto" w:fill="auto"/>
                    </w:rPr>
                    <w:t>个月）。</w:t>
                  </w:r>
                </w:p>
              </w:tc>
            </w:tr>
          </w:tbl>
          <w:p w14:paraId="514E7419">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p>
          <w:p w14:paraId="0EB82126">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 xml:space="preserve">4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危险物质主要成分基本性质一览表</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1176"/>
              <w:gridCol w:w="6074"/>
            </w:tblGrid>
            <w:tr w14:paraId="66D36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0" w:type="pct"/>
                  <w:vMerge w:val="restart"/>
                  <w:tcBorders>
                    <w:top w:val="single" w:color="000000" w:sz="4" w:space="0"/>
                    <w:left w:val="single" w:color="000000" w:sz="4" w:space="0"/>
                    <w:bottom w:val="single" w:color="000000" w:sz="4" w:space="0"/>
                    <w:right w:val="single" w:color="000000" w:sz="4" w:space="0"/>
                  </w:tcBorders>
                  <w:vAlign w:val="center"/>
                </w:tcPr>
                <w:p w14:paraId="0E0D80A9">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废变压油</w:t>
                  </w:r>
                </w:p>
              </w:tc>
              <w:tc>
                <w:tcPr>
                  <w:tcW w:w="741" w:type="pct"/>
                  <w:tcBorders>
                    <w:top w:val="single" w:color="000000" w:sz="4" w:space="0"/>
                    <w:left w:val="single" w:color="000000" w:sz="4" w:space="0"/>
                    <w:bottom w:val="single" w:color="000000" w:sz="4" w:space="0"/>
                    <w:right w:val="single" w:color="000000" w:sz="4" w:space="0"/>
                  </w:tcBorders>
                  <w:vAlign w:val="center"/>
                </w:tcPr>
                <w:p w14:paraId="636168ED">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危险废物</w:t>
                  </w:r>
                </w:p>
              </w:tc>
              <w:tc>
                <w:tcPr>
                  <w:tcW w:w="3828" w:type="pct"/>
                  <w:tcBorders>
                    <w:top w:val="single" w:color="000000" w:sz="4" w:space="0"/>
                    <w:left w:val="single" w:color="000000" w:sz="4" w:space="0"/>
                    <w:bottom w:val="single" w:color="000000" w:sz="4" w:space="0"/>
                    <w:right w:val="single" w:color="000000" w:sz="4" w:space="0"/>
                  </w:tcBorders>
                  <w:vAlign w:val="center"/>
                </w:tcPr>
                <w:p w14:paraId="46955D5C">
                  <w:pPr>
                    <w:keepNext w:val="0"/>
                    <w:keepLines w:val="0"/>
                    <w:pageBreakBefore w:val="0"/>
                    <w:widowControl w:val="0"/>
                    <w:suppressLineNumbers w:val="0"/>
                    <w:shd w:val="clear"/>
                    <w:kinsoku/>
                    <w:wordWrap/>
                    <w:overflowPunct/>
                    <w:topLinePunct w:val="0"/>
                    <w:autoSpaceDE w:val="0"/>
                    <w:autoSpaceDN w:val="0"/>
                    <w:bidi w:val="0"/>
                    <w:adjustRightInd w:val="0"/>
                    <w:spacing w:before="0" w:beforeAutospacing="0" w:after="0" w:afterAutospacing="0" w:line="320" w:lineRule="exact"/>
                    <w:ind w:left="0" w:right="0"/>
                    <w:jc w:val="center"/>
                    <w:textAlignment w:val="auto"/>
                    <w:rPr>
                      <w:rFonts w:hint="default"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变压器</w:t>
                  </w:r>
                  <w:r>
                    <w:rPr>
                      <w:rFonts w:hint="eastAsia" w:ascii="宋体" w:cs="宋体"/>
                      <w:color w:val="auto"/>
                      <w:kern w:val="0"/>
                      <w:szCs w:val="21"/>
                      <w:highlight w:val="none"/>
                      <w:shd w:val="clear" w:color="auto" w:fill="auto"/>
                      <w:lang w:val="en-US" w:eastAsia="zh-CN"/>
                    </w:rPr>
                    <w:t>检修</w:t>
                  </w:r>
                  <w:r>
                    <w:rPr>
                      <w:rFonts w:hint="eastAsia" w:ascii="宋体" w:cs="宋体"/>
                      <w:color w:val="auto"/>
                      <w:kern w:val="0"/>
                      <w:szCs w:val="21"/>
                      <w:highlight w:val="none"/>
                      <w:shd w:val="clear" w:color="auto" w:fill="auto"/>
                    </w:rPr>
                    <w:t>和</w:t>
                  </w:r>
                  <w:r>
                    <w:rPr>
                      <w:rFonts w:hint="eastAsia" w:ascii="宋体" w:cs="宋体"/>
                      <w:color w:val="auto"/>
                      <w:kern w:val="0"/>
                      <w:szCs w:val="21"/>
                      <w:highlight w:val="none"/>
                      <w:shd w:val="clear" w:color="auto" w:fill="auto"/>
                      <w:lang w:val="en-US" w:eastAsia="zh-CN"/>
                    </w:rPr>
                    <w:t>事故</w:t>
                  </w:r>
                  <w:r>
                    <w:rPr>
                      <w:rFonts w:hint="eastAsia" w:ascii="宋体" w:cs="宋体"/>
                      <w:color w:val="auto"/>
                      <w:kern w:val="0"/>
                      <w:szCs w:val="21"/>
                      <w:highlight w:val="none"/>
                      <w:shd w:val="clear" w:color="auto" w:fill="auto"/>
                    </w:rPr>
                    <w:t>过程中产生的废变压器油</w:t>
                  </w:r>
                </w:p>
              </w:tc>
            </w:tr>
            <w:tr w14:paraId="41025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766EC992">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24FDEF53">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废物类别</w:t>
                  </w:r>
                </w:p>
              </w:tc>
              <w:tc>
                <w:tcPr>
                  <w:tcW w:w="3828" w:type="pct"/>
                  <w:tcBorders>
                    <w:top w:val="single" w:color="000000" w:sz="4" w:space="0"/>
                    <w:left w:val="single" w:color="000000" w:sz="4" w:space="0"/>
                    <w:bottom w:val="single" w:color="000000" w:sz="4" w:space="0"/>
                    <w:right w:val="single" w:color="000000" w:sz="4" w:space="0"/>
                  </w:tcBorders>
                  <w:vAlign w:val="center"/>
                </w:tcPr>
                <w:p w14:paraId="19354FC0">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HW08废矿物油与含矿物油废物</w:t>
                  </w:r>
                </w:p>
              </w:tc>
            </w:tr>
            <w:tr w14:paraId="660F7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5E23AAB0">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6DE70322">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危险代码</w:t>
                  </w:r>
                </w:p>
              </w:tc>
              <w:tc>
                <w:tcPr>
                  <w:tcW w:w="3828" w:type="pct"/>
                  <w:tcBorders>
                    <w:top w:val="single" w:color="000000" w:sz="4" w:space="0"/>
                    <w:left w:val="single" w:color="000000" w:sz="4" w:space="0"/>
                    <w:bottom w:val="single" w:color="000000" w:sz="4" w:space="0"/>
                    <w:right w:val="single" w:color="000000" w:sz="4" w:space="0"/>
                  </w:tcBorders>
                  <w:vAlign w:val="center"/>
                </w:tcPr>
                <w:p w14:paraId="62D8A168">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900-220-08</w:t>
                  </w:r>
                </w:p>
              </w:tc>
            </w:tr>
            <w:tr w14:paraId="68029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3821AB99">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707954C3">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危险特征</w:t>
                  </w:r>
                </w:p>
              </w:tc>
              <w:tc>
                <w:tcPr>
                  <w:tcW w:w="3828" w:type="pct"/>
                  <w:tcBorders>
                    <w:top w:val="single" w:color="000000" w:sz="4" w:space="0"/>
                    <w:left w:val="single" w:color="000000" w:sz="4" w:space="0"/>
                    <w:bottom w:val="single" w:color="000000" w:sz="4" w:space="0"/>
                    <w:right w:val="single" w:color="000000" w:sz="4" w:space="0"/>
                  </w:tcBorders>
                  <w:vAlign w:val="center"/>
                </w:tcPr>
                <w:p w14:paraId="67E9DE3E">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T（毒性），</w:t>
                  </w:r>
                  <w:r>
                    <w:rPr>
                      <w:rFonts w:hint="default"/>
                      <w:bCs/>
                      <w:color w:val="auto"/>
                      <w:szCs w:val="21"/>
                      <w:highlight w:val="none"/>
                      <w:shd w:val="clear" w:color="auto" w:fill="auto"/>
                    </w:rPr>
                    <w:t>I</w:t>
                  </w:r>
                  <w:r>
                    <w:rPr>
                      <w:rFonts w:hint="eastAsia"/>
                      <w:bCs/>
                      <w:color w:val="auto"/>
                      <w:szCs w:val="21"/>
                      <w:highlight w:val="none"/>
                      <w:shd w:val="clear" w:color="auto" w:fill="auto"/>
                    </w:rPr>
                    <w:t>（易燃性）</w:t>
                  </w:r>
                </w:p>
              </w:tc>
            </w:tr>
            <w:tr w14:paraId="67429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6685D33A">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577BE5FB">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危险特性</w:t>
                  </w:r>
                </w:p>
              </w:tc>
              <w:tc>
                <w:tcPr>
                  <w:tcW w:w="3828" w:type="pct"/>
                  <w:tcBorders>
                    <w:top w:val="single" w:color="000000" w:sz="4" w:space="0"/>
                    <w:left w:val="single" w:color="000000" w:sz="4" w:space="0"/>
                    <w:bottom w:val="single" w:color="000000" w:sz="4" w:space="0"/>
                    <w:right w:val="single" w:color="000000" w:sz="4" w:space="0"/>
                  </w:tcBorders>
                  <w:vAlign w:val="center"/>
                </w:tcPr>
                <w:p w14:paraId="6FE76392">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废变压油中含有致癌，致突变，致变形物质及废酸，重金属等物质，对人体危害极大</w:t>
                  </w:r>
                </w:p>
              </w:tc>
            </w:tr>
          </w:tbl>
          <w:p w14:paraId="1FA89E7A">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default" w:cs="宋体"/>
                <w:b/>
                <w:bCs/>
                <w:color w:val="auto"/>
                <w:sz w:val="24"/>
                <w:highlight w:val="none"/>
                <w:shd w:val="clear" w:color="auto" w:fill="auto"/>
              </w:rPr>
            </w:pPr>
            <w:bookmarkStart w:id="52" w:name="_Toc17531"/>
            <w:bookmarkStart w:id="53" w:name="_Toc4764"/>
            <w:bookmarkStart w:id="54" w:name="_Toc13985"/>
            <w:bookmarkStart w:id="55" w:name="_Toc29388"/>
            <w:r>
              <w:rPr>
                <w:rFonts w:hint="eastAsia" w:cs="宋体"/>
                <w:b/>
                <w:bCs/>
                <w:color w:val="auto"/>
                <w:sz w:val="24"/>
                <w:highlight w:val="none"/>
                <w:shd w:val="clear" w:color="auto" w:fill="auto"/>
              </w:rPr>
              <w:t>2）环境敏感目标概况</w:t>
            </w:r>
            <w:bookmarkEnd w:id="52"/>
            <w:bookmarkEnd w:id="53"/>
            <w:bookmarkEnd w:id="54"/>
            <w:bookmarkEnd w:id="55"/>
          </w:p>
          <w:p w14:paraId="670A4A61">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项目存在的风险物质发生泄漏或泄漏事故发生后燃烧、爆炸产生的次生污染物，可能对区域大气环境、地表水环境及地下水环境产生影响，项目环境风险敏感目</w:t>
            </w:r>
            <w:r>
              <w:rPr>
                <w:rFonts w:hint="eastAsia"/>
                <w:bCs/>
                <w:color w:val="auto"/>
                <w:sz w:val="24"/>
                <w:highlight w:val="none"/>
                <w:shd w:val="clear" w:color="auto" w:fill="auto"/>
                <w:lang w:val="en-US" w:eastAsia="zh-CN"/>
              </w:rPr>
              <w:t>标</w:t>
            </w:r>
            <w:r>
              <w:rPr>
                <w:rFonts w:hint="eastAsia"/>
                <w:bCs/>
                <w:color w:val="auto"/>
                <w:sz w:val="24"/>
                <w:highlight w:val="none"/>
                <w:shd w:val="clear" w:color="auto" w:fill="auto"/>
              </w:rPr>
              <w:t>详见表</w:t>
            </w:r>
            <w:r>
              <w:rPr>
                <w:rFonts w:hint="default"/>
                <w:bCs/>
                <w:color w:val="auto"/>
                <w:sz w:val="24"/>
                <w:highlight w:val="none"/>
                <w:shd w:val="clear" w:color="auto" w:fill="auto"/>
              </w:rPr>
              <w:t>3-</w:t>
            </w:r>
            <w:r>
              <w:rPr>
                <w:rFonts w:hint="eastAsia"/>
                <w:bCs/>
                <w:color w:val="auto"/>
                <w:sz w:val="24"/>
                <w:highlight w:val="none"/>
                <w:shd w:val="clear" w:color="auto" w:fill="auto"/>
                <w:lang w:val="en-US" w:eastAsia="zh-CN"/>
              </w:rPr>
              <w:t>11</w:t>
            </w:r>
            <w:r>
              <w:rPr>
                <w:rFonts w:hint="eastAsia"/>
                <w:bCs/>
                <w:color w:val="auto"/>
                <w:sz w:val="24"/>
                <w:highlight w:val="none"/>
                <w:shd w:val="clear" w:color="auto" w:fill="auto"/>
              </w:rPr>
              <w:t>，同时为防止造成地下水污染，增加项目区浅层地下水作为保护目标。</w:t>
            </w:r>
          </w:p>
          <w:p w14:paraId="7F299B75">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default"/>
                <w:bCs/>
                <w:color w:val="auto"/>
                <w:sz w:val="24"/>
                <w:highlight w:val="none"/>
                <w:shd w:val="clear" w:color="auto" w:fill="auto"/>
              </w:rPr>
            </w:pPr>
            <w:bookmarkStart w:id="56" w:name="_Toc15221"/>
            <w:bookmarkStart w:id="57" w:name="_Toc11373"/>
            <w:bookmarkStart w:id="58" w:name="_Toc31010"/>
            <w:bookmarkStart w:id="59" w:name="_Toc29300"/>
            <w:r>
              <w:rPr>
                <w:rFonts w:hint="eastAsia" w:cs="宋体"/>
                <w:b/>
                <w:bCs/>
                <w:color w:val="auto"/>
                <w:sz w:val="24"/>
                <w:highlight w:val="none"/>
                <w:shd w:val="clear" w:color="auto" w:fill="auto"/>
              </w:rPr>
              <w:t>3）风险潜势初判及评价等级</w:t>
            </w:r>
            <w:bookmarkEnd w:id="56"/>
            <w:bookmarkEnd w:id="57"/>
            <w:bookmarkEnd w:id="58"/>
            <w:bookmarkEnd w:id="59"/>
          </w:p>
          <w:p w14:paraId="046EC7B5">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根据《建设项目环境风险评价技术导则》（HJ</w:t>
            </w:r>
            <w:r>
              <w:rPr>
                <w:rFonts w:hint="eastAsia"/>
                <w:bCs/>
                <w:color w:val="auto"/>
                <w:sz w:val="24"/>
                <w:highlight w:val="none"/>
                <w:shd w:val="clear" w:color="auto" w:fill="auto"/>
              </w:rPr>
              <w:t xml:space="preserve"> </w:t>
            </w:r>
            <w:r>
              <w:rPr>
                <w:rFonts w:hint="default"/>
                <w:bCs/>
                <w:color w:val="auto"/>
                <w:sz w:val="24"/>
                <w:highlight w:val="none"/>
                <w:shd w:val="clear" w:color="auto" w:fill="auto"/>
              </w:rPr>
              <w:t>169-2018）的要求，建设项目环境风险潜势划分为Ⅰ、Ⅱ、Ⅲ、Ⅳ/Ⅳ</w:t>
            </w:r>
            <w:r>
              <w:rPr>
                <w:rFonts w:hint="default"/>
                <w:bCs/>
                <w:color w:val="auto"/>
                <w:sz w:val="24"/>
                <w:highlight w:val="none"/>
                <w:shd w:val="clear" w:color="auto" w:fill="auto"/>
                <w:vertAlign w:val="superscript"/>
              </w:rPr>
              <w:t>+</w:t>
            </w:r>
            <w:r>
              <w:rPr>
                <w:rFonts w:hint="default"/>
                <w:bCs/>
                <w:color w:val="auto"/>
                <w:sz w:val="24"/>
                <w:highlight w:val="none"/>
                <w:shd w:val="clear" w:color="auto" w:fill="auto"/>
              </w:rPr>
              <w:t>级。</w:t>
            </w:r>
          </w:p>
          <w:p w14:paraId="36940F91">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计算所涉及的每种危险物质在厂界内的最大存在总量与其在《建设项目环境风险评价技术导则》（HJ</w:t>
            </w:r>
            <w:r>
              <w:rPr>
                <w:rFonts w:hint="eastAsia"/>
                <w:bCs/>
                <w:color w:val="auto"/>
                <w:sz w:val="24"/>
                <w:highlight w:val="none"/>
                <w:shd w:val="clear" w:color="auto" w:fill="auto"/>
              </w:rPr>
              <w:t xml:space="preserve"> </w:t>
            </w:r>
            <w:r>
              <w:rPr>
                <w:rFonts w:hint="default"/>
                <w:bCs/>
                <w:color w:val="auto"/>
                <w:sz w:val="24"/>
                <w:highlight w:val="none"/>
                <w:shd w:val="clear" w:color="auto" w:fill="auto"/>
              </w:rPr>
              <w:t>169-2018）附录B中对应临界量的比值Q。在不同厂区的同一种物质，按其在厂界内的最大存在总量计算。</w:t>
            </w:r>
          </w:p>
          <w:p w14:paraId="1D00758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当只涉及一种危险物质时，计算该物质的总量与其临界量比值，即为Q；当存在多种危险物质时，则按下式计算物质总量与其临界量比值（Q）：</w:t>
            </w:r>
          </w:p>
          <w:p w14:paraId="7A757021">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Q=q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 ······+q</w:t>
            </w:r>
            <w:r>
              <w:rPr>
                <w:rFonts w:hint="default"/>
                <w:bCs/>
                <w:color w:val="auto"/>
                <w:sz w:val="24"/>
                <w:highlight w:val="none"/>
                <w:shd w:val="clear" w:color="auto" w:fill="auto"/>
                <w:vertAlign w:val="subscript"/>
              </w:rPr>
              <w:t>n</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n</w:t>
            </w:r>
          </w:p>
          <w:p w14:paraId="0DFA90DA">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式中q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n</w:t>
            </w:r>
            <w:r>
              <w:rPr>
                <w:rFonts w:hint="default"/>
                <w:bCs/>
                <w:color w:val="auto"/>
                <w:sz w:val="24"/>
                <w:highlight w:val="none"/>
                <w:shd w:val="clear" w:color="auto" w:fill="auto"/>
              </w:rPr>
              <w:t>--每种危险物质实际存在量，t；</w:t>
            </w:r>
          </w:p>
          <w:p w14:paraId="6283D102">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·····，Qn--与各危险物质相对应的生产场所或贮存区的临界量，t。</w:t>
            </w:r>
          </w:p>
          <w:p w14:paraId="5231021F">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当Q＜1时，该项目环境风险潜势为I。</w:t>
            </w:r>
          </w:p>
          <w:p w14:paraId="75C070F6">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 xml:space="preserve">当Q≥1时，将Q值划分为：（1）1≤Q＜10；（2）10≤Q＜100；（3）Q≥100。 </w:t>
            </w:r>
          </w:p>
          <w:p w14:paraId="79F3C71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项目涉及的主要危险物质最大贮存量及临界量见下表：</w:t>
            </w:r>
          </w:p>
          <w:p w14:paraId="1A8E07C8">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5</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危险物质数量与临界量比值Q计算一览表</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34" w:type="dxa"/>
                <w:bottom w:w="0" w:type="dxa"/>
                <w:right w:w="34" w:type="dxa"/>
              </w:tblCellMar>
            </w:tblPr>
            <w:tblGrid>
              <w:gridCol w:w="1523"/>
              <w:gridCol w:w="1658"/>
              <w:gridCol w:w="1204"/>
              <w:gridCol w:w="1425"/>
              <w:gridCol w:w="1017"/>
              <w:gridCol w:w="1104"/>
            </w:tblGrid>
            <w:tr w14:paraId="60033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4A829B8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危险品名称</w:t>
                  </w:r>
                </w:p>
              </w:tc>
              <w:tc>
                <w:tcPr>
                  <w:tcW w:w="1045" w:type="pct"/>
                  <w:tcBorders>
                    <w:top w:val="single" w:color="000000" w:sz="4" w:space="0"/>
                    <w:left w:val="single" w:color="000000" w:sz="4" w:space="0"/>
                    <w:bottom w:val="single" w:color="000000" w:sz="4" w:space="0"/>
                    <w:right w:val="single" w:color="000000" w:sz="4" w:space="0"/>
                  </w:tcBorders>
                  <w:vAlign w:val="center"/>
                </w:tcPr>
                <w:p w14:paraId="3CC7762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贮存设施</w:t>
                  </w:r>
                </w:p>
              </w:tc>
              <w:tc>
                <w:tcPr>
                  <w:tcW w:w="759" w:type="pct"/>
                  <w:tcBorders>
                    <w:top w:val="single" w:color="000000" w:sz="4" w:space="0"/>
                    <w:left w:val="single" w:color="000000" w:sz="4" w:space="0"/>
                    <w:bottom w:val="single" w:color="000000" w:sz="4" w:space="0"/>
                    <w:right w:val="single" w:color="000000" w:sz="4" w:space="0"/>
                  </w:tcBorders>
                  <w:vAlign w:val="center"/>
                </w:tcPr>
                <w:p w14:paraId="124ABDA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贮存方式</w:t>
                  </w:r>
                </w:p>
              </w:tc>
              <w:tc>
                <w:tcPr>
                  <w:tcW w:w="898" w:type="pct"/>
                  <w:tcBorders>
                    <w:top w:val="single" w:color="000000" w:sz="4" w:space="0"/>
                    <w:left w:val="single" w:color="000000" w:sz="4" w:space="0"/>
                    <w:bottom w:val="single" w:color="000000" w:sz="4" w:space="0"/>
                    <w:right w:val="single" w:color="000000" w:sz="4" w:space="0"/>
                  </w:tcBorders>
                  <w:vAlign w:val="center"/>
                </w:tcPr>
                <w:p w14:paraId="5CC2A87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最大贮存量（t）</w:t>
                  </w:r>
                </w:p>
              </w:tc>
              <w:tc>
                <w:tcPr>
                  <w:tcW w:w="640" w:type="pct"/>
                  <w:tcBorders>
                    <w:top w:val="single" w:color="000000" w:sz="4" w:space="0"/>
                    <w:left w:val="single" w:color="000000" w:sz="4" w:space="0"/>
                    <w:bottom w:val="single" w:color="000000" w:sz="4" w:space="0"/>
                    <w:right w:val="single" w:color="000000" w:sz="4" w:space="0"/>
                  </w:tcBorders>
                  <w:vAlign w:val="center"/>
                </w:tcPr>
                <w:p w14:paraId="47B7208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临界量（t）</w:t>
                  </w:r>
                </w:p>
              </w:tc>
              <w:tc>
                <w:tcPr>
                  <w:tcW w:w="696" w:type="pct"/>
                  <w:tcBorders>
                    <w:top w:val="single" w:color="000000" w:sz="4" w:space="0"/>
                    <w:left w:val="single" w:color="000000" w:sz="4" w:space="0"/>
                    <w:bottom w:val="single" w:color="000000" w:sz="4" w:space="0"/>
                    <w:right w:val="single" w:color="000000" w:sz="4" w:space="0"/>
                  </w:tcBorders>
                  <w:vAlign w:val="center"/>
                </w:tcPr>
                <w:p w14:paraId="48C7F9E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q/Q</w:t>
                  </w:r>
                </w:p>
              </w:tc>
            </w:tr>
            <w:tr w14:paraId="45F5F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35673FE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变压器油</w:t>
                  </w:r>
                </w:p>
              </w:tc>
              <w:tc>
                <w:tcPr>
                  <w:tcW w:w="1045" w:type="pct"/>
                  <w:tcBorders>
                    <w:top w:val="single" w:color="000000" w:sz="4" w:space="0"/>
                    <w:left w:val="single" w:color="000000" w:sz="4" w:space="0"/>
                    <w:bottom w:val="single" w:color="000000" w:sz="4" w:space="0"/>
                    <w:right w:val="single" w:color="000000" w:sz="4" w:space="0"/>
                  </w:tcBorders>
                  <w:vAlign w:val="center"/>
                </w:tcPr>
                <w:p w14:paraId="7973776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lang w:val="en-US" w:eastAsia="zh-CN"/>
                    </w:rPr>
                    <w:t>箱式</w:t>
                  </w:r>
                  <w:r>
                    <w:rPr>
                      <w:rFonts w:hint="eastAsia"/>
                      <w:bCs/>
                      <w:color w:val="auto"/>
                      <w:szCs w:val="21"/>
                      <w:highlight w:val="none"/>
                      <w:shd w:val="clear" w:color="auto" w:fill="auto"/>
                    </w:rPr>
                    <w:t>变压器内</w:t>
                  </w:r>
                </w:p>
              </w:tc>
              <w:tc>
                <w:tcPr>
                  <w:tcW w:w="759" w:type="pct"/>
                  <w:tcBorders>
                    <w:top w:val="single" w:color="000000" w:sz="4" w:space="0"/>
                    <w:left w:val="single" w:color="000000" w:sz="4" w:space="0"/>
                    <w:bottom w:val="single" w:color="000000" w:sz="4" w:space="0"/>
                    <w:right w:val="single" w:color="000000" w:sz="4" w:space="0"/>
                  </w:tcBorders>
                  <w:vAlign w:val="center"/>
                </w:tcPr>
                <w:p w14:paraId="6D9A82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w:t>
                  </w:r>
                </w:p>
              </w:tc>
              <w:tc>
                <w:tcPr>
                  <w:tcW w:w="898" w:type="pct"/>
                  <w:tcBorders>
                    <w:top w:val="single" w:color="000000" w:sz="4" w:space="0"/>
                    <w:left w:val="single" w:color="000000" w:sz="4" w:space="0"/>
                    <w:bottom w:val="single" w:color="000000" w:sz="4" w:space="0"/>
                    <w:right w:val="single" w:color="000000" w:sz="4" w:space="0"/>
                  </w:tcBorders>
                  <w:vAlign w:val="center"/>
                </w:tcPr>
                <w:p w14:paraId="76C8F47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bCs/>
                      <w:color w:val="auto"/>
                      <w:szCs w:val="21"/>
                      <w:highlight w:val="none"/>
                      <w:shd w:val="clear" w:color="auto" w:fill="auto"/>
                      <w:lang w:val="en-US" w:eastAsia="zh-CN"/>
                    </w:rPr>
                  </w:pPr>
                  <w:r>
                    <w:rPr>
                      <w:rFonts w:hint="eastAsia"/>
                      <w:bCs/>
                      <w:color w:val="auto"/>
                      <w:sz w:val="21"/>
                      <w:szCs w:val="21"/>
                      <w:highlight w:val="none"/>
                      <w:shd w:val="clear" w:color="auto" w:fill="auto"/>
                      <w:lang w:val="en-US" w:eastAsia="zh-CN"/>
                    </w:rPr>
                    <w:t>30.28</w:t>
                  </w:r>
                </w:p>
              </w:tc>
              <w:tc>
                <w:tcPr>
                  <w:tcW w:w="640" w:type="pct"/>
                  <w:tcBorders>
                    <w:top w:val="single" w:color="000000" w:sz="4" w:space="0"/>
                    <w:left w:val="single" w:color="000000" w:sz="4" w:space="0"/>
                    <w:bottom w:val="single" w:color="000000" w:sz="4" w:space="0"/>
                    <w:right w:val="single" w:color="000000" w:sz="4" w:space="0"/>
                  </w:tcBorders>
                  <w:vAlign w:val="center"/>
                </w:tcPr>
                <w:p w14:paraId="0EDB0E1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2500</w:t>
                  </w:r>
                </w:p>
              </w:tc>
              <w:tc>
                <w:tcPr>
                  <w:tcW w:w="696" w:type="pct"/>
                  <w:tcBorders>
                    <w:top w:val="single" w:color="000000" w:sz="4" w:space="0"/>
                    <w:left w:val="single" w:color="000000" w:sz="4" w:space="0"/>
                    <w:bottom w:val="single" w:color="000000" w:sz="4" w:space="0"/>
                    <w:right w:val="single" w:color="000000" w:sz="4" w:space="0"/>
                  </w:tcBorders>
                  <w:vAlign w:val="center"/>
                </w:tcPr>
                <w:p w14:paraId="4488ED6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0.012112</w:t>
                  </w:r>
                </w:p>
              </w:tc>
            </w:tr>
            <w:tr w14:paraId="50749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6BAAA9C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default"/>
                      <w:bCs/>
                      <w:color w:val="auto"/>
                      <w:szCs w:val="21"/>
                      <w:highlight w:val="none"/>
                      <w:shd w:val="clear" w:color="auto" w:fill="auto"/>
                    </w:rPr>
                    <w:t>合计</w:t>
                  </w:r>
                </w:p>
              </w:tc>
              <w:tc>
                <w:tcPr>
                  <w:tcW w:w="3343" w:type="pct"/>
                  <w:gridSpan w:val="4"/>
                  <w:tcBorders>
                    <w:top w:val="single" w:color="000000" w:sz="4" w:space="0"/>
                    <w:left w:val="single" w:color="000000" w:sz="4" w:space="0"/>
                    <w:bottom w:val="single" w:color="000000" w:sz="4" w:space="0"/>
                    <w:right w:val="single" w:color="000000" w:sz="4" w:space="0"/>
                  </w:tcBorders>
                  <w:vAlign w:val="center"/>
                </w:tcPr>
                <w:p w14:paraId="22E36BE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bCs/>
                      <w:color w:val="auto"/>
                      <w:szCs w:val="21"/>
                      <w:highlight w:val="none"/>
                      <w:shd w:val="clear" w:color="auto" w:fill="auto"/>
                      <w:lang w:val="en-US" w:eastAsia="zh-CN"/>
                    </w:rPr>
                  </w:pPr>
                  <w:r>
                    <w:rPr>
                      <w:rFonts w:hint="default"/>
                      <w:bCs/>
                      <w:color w:val="auto"/>
                      <w:szCs w:val="21"/>
                      <w:highlight w:val="none"/>
                      <w:shd w:val="clear" w:color="auto" w:fill="auto"/>
                    </w:rPr>
                    <w:t>q</w:t>
                  </w:r>
                  <w:r>
                    <w:rPr>
                      <w:rFonts w:hint="default"/>
                      <w:bCs/>
                      <w:color w:val="auto"/>
                      <w:szCs w:val="21"/>
                      <w:highlight w:val="none"/>
                      <w:shd w:val="clear" w:color="auto" w:fill="auto"/>
                      <w:vertAlign w:val="subscript"/>
                    </w:rPr>
                    <w:t>n</w:t>
                  </w:r>
                  <w:r>
                    <w:rPr>
                      <w:rFonts w:hint="default"/>
                      <w:bCs/>
                      <w:color w:val="auto"/>
                      <w:szCs w:val="21"/>
                      <w:highlight w:val="none"/>
                      <w:shd w:val="clear" w:color="auto" w:fill="auto"/>
                    </w:rPr>
                    <w:t>/Q</w:t>
                  </w:r>
                  <w:r>
                    <w:rPr>
                      <w:rFonts w:hint="default"/>
                      <w:bCs/>
                      <w:color w:val="auto"/>
                      <w:szCs w:val="21"/>
                      <w:highlight w:val="none"/>
                      <w:shd w:val="clear" w:color="auto" w:fill="auto"/>
                      <w:vertAlign w:val="subscript"/>
                    </w:rPr>
                    <w:t>n</w:t>
                  </w:r>
                </w:p>
              </w:tc>
              <w:tc>
                <w:tcPr>
                  <w:tcW w:w="696" w:type="pct"/>
                  <w:tcBorders>
                    <w:top w:val="single" w:color="000000" w:sz="4" w:space="0"/>
                    <w:left w:val="single" w:color="000000" w:sz="4" w:space="0"/>
                    <w:bottom w:val="single" w:color="000000" w:sz="4" w:space="0"/>
                    <w:right w:val="single" w:color="000000" w:sz="4" w:space="0"/>
                  </w:tcBorders>
                  <w:vAlign w:val="center"/>
                </w:tcPr>
                <w:p w14:paraId="763F1F2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0.012112</w:t>
                  </w:r>
                </w:p>
              </w:tc>
            </w:tr>
          </w:tbl>
          <w:p w14:paraId="6046022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环境风险评价工作等级划分为一级、二级、三级。根据建设项目涉及的物质及工艺系统危险性和所在地的环境敏感性确定环境风险潜势，按照下表确定评价工作等级。</w:t>
            </w:r>
          </w:p>
          <w:p w14:paraId="674D165E">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 xml:space="preserve">6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评价工作等级划分</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5"/>
              <w:gridCol w:w="1585"/>
              <w:gridCol w:w="1585"/>
              <w:gridCol w:w="1588"/>
              <w:gridCol w:w="1588"/>
            </w:tblGrid>
            <w:tr w14:paraId="609D8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tcBorders>
                    <w:top w:val="single" w:color="000000" w:sz="4" w:space="0"/>
                    <w:left w:val="single" w:color="000000" w:sz="4" w:space="0"/>
                    <w:bottom w:val="single" w:color="000000" w:sz="4" w:space="0"/>
                    <w:right w:val="single" w:color="000000" w:sz="4" w:space="0"/>
                  </w:tcBorders>
                  <w:vAlign w:val="center"/>
                </w:tcPr>
                <w:p w14:paraId="58F260C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环境风险潜势</w:t>
                  </w:r>
                </w:p>
              </w:tc>
              <w:tc>
                <w:tcPr>
                  <w:tcW w:w="999" w:type="pct"/>
                  <w:tcBorders>
                    <w:top w:val="single" w:color="000000" w:sz="4" w:space="0"/>
                    <w:left w:val="single" w:color="000000" w:sz="4" w:space="0"/>
                    <w:bottom w:val="single" w:color="000000" w:sz="4" w:space="0"/>
                    <w:right w:val="single" w:color="000000" w:sz="4" w:space="0"/>
                  </w:tcBorders>
                  <w:vAlign w:val="center"/>
                </w:tcPr>
                <w:p w14:paraId="4318DB3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Ⅳ、Ⅳ</w:t>
                  </w:r>
                  <w:r>
                    <w:rPr>
                      <w:rFonts w:hint="default"/>
                      <w:bCs/>
                      <w:color w:val="auto"/>
                      <w:szCs w:val="21"/>
                      <w:highlight w:val="none"/>
                      <w:shd w:val="clear" w:color="auto" w:fill="auto"/>
                      <w:vertAlign w:val="superscript"/>
                    </w:rPr>
                    <w:t>+</w:t>
                  </w:r>
                </w:p>
              </w:tc>
              <w:tc>
                <w:tcPr>
                  <w:tcW w:w="999" w:type="pct"/>
                  <w:tcBorders>
                    <w:top w:val="single" w:color="000000" w:sz="4" w:space="0"/>
                    <w:left w:val="single" w:color="000000" w:sz="4" w:space="0"/>
                    <w:bottom w:val="single" w:color="000000" w:sz="4" w:space="0"/>
                    <w:right w:val="single" w:color="000000" w:sz="4" w:space="0"/>
                  </w:tcBorders>
                  <w:vAlign w:val="center"/>
                </w:tcPr>
                <w:p w14:paraId="26AEE85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Ⅲ</w:t>
                  </w:r>
                </w:p>
              </w:tc>
              <w:tc>
                <w:tcPr>
                  <w:tcW w:w="1001" w:type="pct"/>
                  <w:tcBorders>
                    <w:top w:val="single" w:color="000000" w:sz="4" w:space="0"/>
                    <w:left w:val="single" w:color="000000" w:sz="4" w:space="0"/>
                    <w:bottom w:val="single" w:color="000000" w:sz="4" w:space="0"/>
                    <w:right w:val="single" w:color="000000" w:sz="4" w:space="0"/>
                  </w:tcBorders>
                  <w:vAlign w:val="center"/>
                </w:tcPr>
                <w:p w14:paraId="5B16F5E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Ⅱ</w:t>
                  </w:r>
                </w:p>
              </w:tc>
              <w:tc>
                <w:tcPr>
                  <w:tcW w:w="1001" w:type="pct"/>
                  <w:tcBorders>
                    <w:top w:val="single" w:color="000000" w:sz="4" w:space="0"/>
                    <w:left w:val="single" w:color="000000" w:sz="4" w:space="0"/>
                    <w:bottom w:val="single" w:color="000000" w:sz="4" w:space="0"/>
                    <w:right w:val="single" w:color="000000" w:sz="4" w:space="0"/>
                  </w:tcBorders>
                  <w:vAlign w:val="center"/>
                </w:tcPr>
                <w:p w14:paraId="3EDC6F0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Ⅰ</w:t>
                  </w:r>
                </w:p>
              </w:tc>
            </w:tr>
            <w:tr w14:paraId="1481E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tcBorders>
                    <w:top w:val="single" w:color="000000" w:sz="4" w:space="0"/>
                    <w:left w:val="single" w:color="000000" w:sz="4" w:space="0"/>
                    <w:bottom w:val="single" w:color="000000" w:sz="4" w:space="0"/>
                    <w:right w:val="single" w:color="000000" w:sz="4" w:space="0"/>
                  </w:tcBorders>
                  <w:vAlign w:val="center"/>
                </w:tcPr>
                <w:p w14:paraId="07747D6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评价工作等级</w:t>
                  </w:r>
                </w:p>
              </w:tc>
              <w:tc>
                <w:tcPr>
                  <w:tcW w:w="999" w:type="pct"/>
                  <w:tcBorders>
                    <w:top w:val="single" w:color="000000" w:sz="4" w:space="0"/>
                    <w:left w:val="single" w:color="000000" w:sz="4" w:space="0"/>
                    <w:bottom w:val="single" w:color="000000" w:sz="4" w:space="0"/>
                    <w:right w:val="single" w:color="000000" w:sz="4" w:space="0"/>
                  </w:tcBorders>
                  <w:vAlign w:val="center"/>
                </w:tcPr>
                <w:p w14:paraId="0332163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一</w:t>
                  </w:r>
                </w:p>
              </w:tc>
              <w:tc>
                <w:tcPr>
                  <w:tcW w:w="999" w:type="pct"/>
                  <w:tcBorders>
                    <w:top w:val="single" w:color="000000" w:sz="4" w:space="0"/>
                    <w:left w:val="single" w:color="000000" w:sz="4" w:space="0"/>
                    <w:bottom w:val="single" w:color="000000" w:sz="4" w:space="0"/>
                    <w:right w:val="single" w:color="000000" w:sz="4" w:space="0"/>
                  </w:tcBorders>
                  <w:vAlign w:val="center"/>
                </w:tcPr>
                <w:p w14:paraId="3E1558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二</w:t>
                  </w:r>
                </w:p>
              </w:tc>
              <w:tc>
                <w:tcPr>
                  <w:tcW w:w="1001" w:type="pct"/>
                  <w:tcBorders>
                    <w:top w:val="single" w:color="000000" w:sz="4" w:space="0"/>
                    <w:left w:val="single" w:color="000000" w:sz="4" w:space="0"/>
                    <w:bottom w:val="single" w:color="000000" w:sz="4" w:space="0"/>
                    <w:right w:val="single" w:color="000000" w:sz="4" w:space="0"/>
                  </w:tcBorders>
                  <w:vAlign w:val="center"/>
                </w:tcPr>
                <w:p w14:paraId="4FB4896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三</w:t>
                  </w:r>
                </w:p>
              </w:tc>
              <w:tc>
                <w:tcPr>
                  <w:tcW w:w="1001" w:type="pct"/>
                  <w:tcBorders>
                    <w:top w:val="single" w:color="000000" w:sz="4" w:space="0"/>
                    <w:left w:val="single" w:color="000000" w:sz="4" w:space="0"/>
                    <w:bottom w:val="single" w:color="000000" w:sz="4" w:space="0"/>
                    <w:right w:val="single" w:color="000000" w:sz="4" w:space="0"/>
                  </w:tcBorders>
                  <w:vAlign w:val="center"/>
                </w:tcPr>
                <w:p w14:paraId="3EF9D44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简单分析</w:t>
                  </w:r>
                </w:p>
              </w:tc>
            </w:tr>
          </w:tbl>
          <w:p w14:paraId="157272F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由上表可知，本项目危险物质与临界量的比值</w:t>
            </w:r>
            <w:r>
              <w:rPr>
                <w:rFonts w:hint="default"/>
                <w:bCs/>
                <w:color w:val="auto"/>
                <w:sz w:val="24"/>
                <w:highlight w:val="none"/>
                <w:shd w:val="clear" w:color="auto" w:fill="auto"/>
              </w:rPr>
              <w:t>Q</w:t>
            </w:r>
            <w:r>
              <w:rPr>
                <w:rFonts w:hint="eastAsia"/>
                <w:bCs/>
                <w:color w:val="auto"/>
                <w:sz w:val="24"/>
                <w:highlight w:val="none"/>
                <w:shd w:val="clear" w:color="auto" w:fill="auto"/>
              </w:rPr>
              <w:t>为</w:t>
            </w:r>
            <w:r>
              <w:rPr>
                <w:rFonts w:hint="eastAsia"/>
                <w:bCs/>
                <w:color w:val="auto"/>
                <w:sz w:val="24"/>
                <w:szCs w:val="24"/>
                <w:highlight w:val="none"/>
                <w:shd w:val="clear" w:color="auto" w:fill="auto"/>
                <w:lang w:val="en-US" w:eastAsia="zh-CN"/>
              </w:rPr>
              <w:t>0.012112</w:t>
            </w:r>
            <w:r>
              <w:rPr>
                <w:rFonts w:hint="eastAsia"/>
                <w:bCs/>
                <w:color w:val="auto"/>
                <w:sz w:val="24"/>
                <w:szCs w:val="24"/>
                <w:highlight w:val="none"/>
                <w:shd w:val="clear" w:color="auto" w:fill="auto"/>
              </w:rPr>
              <w:t>，</w:t>
            </w:r>
            <w:r>
              <w:rPr>
                <w:rFonts w:hint="default"/>
                <w:bCs/>
                <w:color w:val="auto"/>
                <w:sz w:val="24"/>
                <w:szCs w:val="24"/>
                <w:highlight w:val="none"/>
                <w:shd w:val="clear" w:color="auto" w:fill="auto"/>
              </w:rPr>
              <w:t>Q</w:t>
            </w:r>
            <w:r>
              <w:rPr>
                <w:rFonts w:hint="eastAsia"/>
                <w:bCs/>
                <w:color w:val="auto"/>
                <w:sz w:val="24"/>
                <w:szCs w:val="24"/>
                <w:highlight w:val="none"/>
                <w:shd w:val="clear" w:color="auto" w:fill="auto"/>
              </w:rPr>
              <w:t>＜</w:t>
            </w:r>
            <w:r>
              <w:rPr>
                <w:rFonts w:hint="default"/>
                <w:bCs/>
                <w:color w:val="auto"/>
                <w:sz w:val="24"/>
                <w:highlight w:val="none"/>
                <w:shd w:val="clear" w:color="auto" w:fill="auto"/>
              </w:rPr>
              <w:t>1</w:t>
            </w:r>
            <w:r>
              <w:rPr>
                <w:rFonts w:hint="eastAsia"/>
                <w:bCs/>
                <w:color w:val="auto"/>
                <w:sz w:val="24"/>
                <w:highlight w:val="none"/>
                <w:shd w:val="clear" w:color="auto" w:fill="auto"/>
              </w:rPr>
              <w:t>，确定本项目环境风险潜势为Ⅰ，环境风险评价工作等级为简单分析。</w:t>
            </w:r>
          </w:p>
          <w:p w14:paraId="5BEE2235">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b/>
                <w:bCs/>
                <w:color w:val="auto"/>
                <w:highlight w:val="none"/>
                <w:shd w:val="clear" w:color="auto" w:fill="auto"/>
              </w:rPr>
            </w:pPr>
            <w:r>
              <w:rPr>
                <w:rStyle w:val="104"/>
                <w:rFonts w:hint="default" w:ascii="Times New Roman" w:hAnsi="Times New Roman"/>
                <w:b/>
                <w:bCs/>
                <w:color w:val="auto"/>
                <w:highlight w:val="none"/>
                <w:shd w:val="clear" w:color="auto" w:fill="auto"/>
              </w:rPr>
              <w:t>4</w:t>
            </w:r>
            <w:r>
              <w:rPr>
                <w:rStyle w:val="104"/>
                <w:rFonts w:hint="eastAsia"/>
                <w:b/>
                <w:bCs/>
                <w:color w:val="auto"/>
                <w:highlight w:val="none"/>
                <w:shd w:val="clear" w:color="auto" w:fill="auto"/>
              </w:rPr>
              <w:t>）</w:t>
            </w:r>
            <w:r>
              <w:rPr>
                <w:rStyle w:val="104"/>
                <w:rFonts w:hint="eastAsia" w:ascii="Times New Roman" w:hAnsi="Times New Roman"/>
                <w:b/>
                <w:bCs/>
                <w:color w:val="auto"/>
                <w:highlight w:val="none"/>
                <w:shd w:val="clear" w:color="auto" w:fill="auto"/>
              </w:rPr>
              <w:t>环境风险识别</w:t>
            </w:r>
          </w:p>
          <w:p w14:paraId="4EDE6498">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根据项目涉及的主要危险物质的识别，可能产生的环境风险类型有变压器油在使用过程中若操作不当造成物质泄漏</w:t>
            </w:r>
            <w:r>
              <w:rPr>
                <w:rFonts w:hint="default" w:ascii="Times New Roman" w:hAnsi="Times New Roman" w:eastAsia="宋体" w:cs="Times New Roman"/>
                <w:color w:val="auto"/>
                <w:sz w:val="24"/>
                <w:szCs w:val="24"/>
                <w:lang w:val="zh-CN"/>
              </w:rPr>
              <w:t>和危险废物暂存间泄漏</w:t>
            </w:r>
            <w:r>
              <w:rPr>
                <w:rFonts w:hint="eastAsia" w:ascii="Times New Roman" w:hAnsi="Times New Roman" w:eastAsia="宋体" w:cs="Times New Roman"/>
                <w:color w:val="auto"/>
                <w:sz w:val="24"/>
                <w:szCs w:val="24"/>
                <w:lang w:val="zh-CN"/>
              </w:rPr>
              <w:t>，</w:t>
            </w:r>
            <w:r>
              <w:rPr>
                <w:rFonts w:hint="eastAsia"/>
                <w:bCs/>
                <w:color w:val="auto"/>
                <w:sz w:val="24"/>
                <w:highlight w:val="none"/>
                <w:shd w:val="clear" w:color="auto" w:fill="auto"/>
              </w:rPr>
              <w:t>泄漏后遇火源或在高温（高于闪点）等特殊情况下，将引发火灾爆炸风险。项目发生上述环境风险事故后危险物质可能向环境转移的途径、可能影响的环境敏感目标情况详见下表。</w:t>
            </w:r>
          </w:p>
          <w:p w14:paraId="7509192C">
            <w:pPr>
              <w:keepNext w:val="0"/>
              <w:keepLines w:val="0"/>
              <w:suppressLineNumbers w:val="0"/>
              <w:shd w:val="clear"/>
              <w:adjustRightInd w:val="0"/>
              <w:snapToGrid w:val="0"/>
              <w:spacing w:before="0" w:beforeAutospacing="0" w:after="0" w:afterAutospacing="0"/>
              <w:ind w:left="0" w:right="0"/>
              <w:jc w:val="center"/>
              <w:rPr>
                <w:rStyle w:val="104"/>
                <w:rFonts w:hint="default" w:cs="宋体"/>
                <w:color w:val="auto"/>
                <w:highlight w:val="none"/>
                <w:shd w:val="clear" w:color="auto" w:fill="auto"/>
              </w:rPr>
            </w:pPr>
            <w:r>
              <w:rPr>
                <w:rFonts w:hint="eastAsia"/>
                <w:b/>
                <w:color w:val="auto"/>
                <w:szCs w:val="21"/>
                <w:highlight w:val="none"/>
                <w:shd w:val="clear" w:color="auto" w:fill="auto"/>
              </w:rPr>
              <w:t>表</w:t>
            </w:r>
            <w:r>
              <w:rPr>
                <w:rFonts w:hint="default"/>
                <w:b/>
                <w:color w:val="auto"/>
                <w:szCs w:val="21"/>
                <w:highlight w:val="none"/>
                <w:shd w:val="clear" w:color="auto" w:fill="auto"/>
              </w:rPr>
              <w:t>4-1</w:t>
            </w:r>
            <w:r>
              <w:rPr>
                <w:rFonts w:hint="eastAsia"/>
                <w:b/>
                <w:color w:val="auto"/>
                <w:szCs w:val="21"/>
                <w:highlight w:val="none"/>
                <w:shd w:val="clear" w:color="auto" w:fill="auto"/>
                <w:lang w:val="en-US" w:eastAsia="zh-CN"/>
              </w:rPr>
              <w:t>7</w:t>
            </w:r>
            <w:r>
              <w:rPr>
                <w:rFonts w:hint="default"/>
                <w:b/>
                <w:color w:val="auto"/>
                <w:szCs w:val="21"/>
                <w:highlight w:val="none"/>
                <w:shd w:val="clear" w:color="auto" w:fill="auto"/>
              </w:rPr>
              <w:t xml:space="preserve"> </w:t>
            </w:r>
            <w:r>
              <w:rPr>
                <w:rFonts w:hint="eastAsia"/>
                <w:b/>
                <w:color w:val="auto"/>
                <w:szCs w:val="21"/>
                <w:highlight w:val="none"/>
                <w:shd w:val="clear" w:color="auto" w:fill="auto"/>
              </w:rPr>
              <w:t xml:space="preserve"> 项目危险物质向环境转移途径识别表</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92"/>
              <w:gridCol w:w="852"/>
              <w:gridCol w:w="4224"/>
              <w:gridCol w:w="1376"/>
            </w:tblGrid>
            <w:tr w14:paraId="5ED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14:paraId="0F90A47D">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序号</w:t>
                  </w:r>
                </w:p>
              </w:tc>
              <w:tc>
                <w:tcPr>
                  <w:tcW w:w="562" w:type="pct"/>
                  <w:vAlign w:val="center"/>
                </w:tcPr>
                <w:p w14:paraId="1A6B5AED">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危险物质</w:t>
                  </w:r>
                </w:p>
              </w:tc>
              <w:tc>
                <w:tcPr>
                  <w:tcW w:w="537" w:type="pct"/>
                  <w:vAlign w:val="center"/>
                </w:tcPr>
                <w:p w14:paraId="32158F26">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环境风险类型</w:t>
                  </w:r>
                </w:p>
              </w:tc>
              <w:tc>
                <w:tcPr>
                  <w:tcW w:w="2661" w:type="pct"/>
                  <w:vAlign w:val="center"/>
                </w:tcPr>
                <w:p w14:paraId="7DDA8673">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b/>
                      <w:bCs/>
                      <w:color w:val="auto"/>
                      <w:kern w:val="0"/>
                      <w:szCs w:val="21"/>
                      <w:highlight w:val="none"/>
                      <w:shd w:val="clear" w:color="auto" w:fill="auto"/>
                      <w:lang w:bidi="ar"/>
                    </w:rPr>
                    <w:t>影响环境的途径</w:t>
                  </w:r>
                </w:p>
              </w:tc>
              <w:tc>
                <w:tcPr>
                  <w:tcW w:w="867" w:type="pct"/>
                  <w:vAlign w:val="center"/>
                </w:tcPr>
                <w:p w14:paraId="6EB618B7">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b/>
                      <w:bCs/>
                      <w:color w:val="auto"/>
                      <w:kern w:val="0"/>
                      <w:szCs w:val="21"/>
                      <w:highlight w:val="none"/>
                      <w:shd w:val="clear" w:color="auto" w:fill="auto"/>
                      <w:lang w:bidi="ar"/>
                    </w:rPr>
                    <w:t>可能影响的环境敏感目标</w:t>
                  </w:r>
                </w:p>
              </w:tc>
            </w:tr>
            <w:tr w14:paraId="5611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14:paraId="4B1CF097">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ascii="Times New Roman" w:hAnsi="Times New Roman"/>
                      <w:b/>
                      <w:bCs/>
                      <w:color w:val="auto"/>
                      <w:sz w:val="21"/>
                      <w:szCs w:val="21"/>
                      <w:highlight w:val="none"/>
                      <w:shd w:val="clear" w:color="auto" w:fill="auto"/>
                    </w:rPr>
                  </w:pPr>
                  <w:r>
                    <w:rPr>
                      <w:rStyle w:val="104"/>
                      <w:rFonts w:hint="default" w:ascii="Times New Roman" w:hAnsi="Times New Roman"/>
                      <w:color w:val="auto"/>
                      <w:sz w:val="21"/>
                      <w:szCs w:val="21"/>
                      <w:highlight w:val="none"/>
                      <w:shd w:val="clear" w:color="auto" w:fill="auto"/>
                    </w:rPr>
                    <w:t>1</w:t>
                  </w:r>
                </w:p>
              </w:tc>
              <w:tc>
                <w:tcPr>
                  <w:tcW w:w="562" w:type="pct"/>
                  <w:vAlign w:val="center"/>
                </w:tcPr>
                <w:p w14:paraId="40229D6C">
                  <w:pPr>
                    <w:keepNext w:val="0"/>
                    <w:keepLines w:val="0"/>
                    <w:widowControl/>
                    <w:suppressLineNumbers w:val="0"/>
                    <w:shd w:val="clear"/>
                    <w:spacing w:before="0" w:beforeAutospacing="0" w:after="0" w:afterAutospacing="0" w:line="240" w:lineRule="exact"/>
                    <w:ind w:left="0" w:right="0"/>
                    <w:jc w:val="center"/>
                    <w:rPr>
                      <w:rStyle w:val="104"/>
                      <w:rFonts w:hint="eastAsia" w:eastAsia="宋体"/>
                      <w:b/>
                      <w:bCs/>
                      <w:color w:val="auto"/>
                      <w:sz w:val="21"/>
                      <w:szCs w:val="21"/>
                      <w:highlight w:val="none"/>
                      <w:shd w:val="clear" w:color="auto" w:fill="auto"/>
                      <w:lang w:val="en-US" w:eastAsia="zh-CN"/>
                    </w:rPr>
                  </w:pPr>
                  <w:r>
                    <w:rPr>
                      <w:rFonts w:hint="eastAsia" w:ascii="宋体" w:hAnsi="宋体" w:cs="宋体"/>
                      <w:color w:val="auto"/>
                      <w:kern w:val="0"/>
                      <w:szCs w:val="21"/>
                      <w:highlight w:val="none"/>
                      <w:shd w:val="clear" w:color="auto" w:fill="auto"/>
                      <w:lang w:bidi="ar"/>
                    </w:rPr>
                    <w:t>变压器油</w:t>
                  </w:r>
                </w:p>
              </w:tc>
              <w:tc>
                <w:tcPr>
                  <w:tcW w:w="537" w:type="pct"/>
                  <w:vAlign w:val="center"/>
                </w:tcPr>
                <w:p w14:paraId="00390BAE">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color w:val="auto"/>
                      <w:sz w:val="21"/>
                      <w:szCs w:val="21"/>
                      <w:highlight w:val="none"/>
                      <w:shd w:val="clear" w:color="auto" w:fill="auto"/>
                    </w:rPr>
                    <w:t>泄漏</w:t>
                  </w:r>
                </w:p>
              </w:tc>
              <w:tc>
                <w:tcPr>
                  <w:tcW w:w="2661" w:type="pct"/>
                  <w:vAlign w:val="center"/>
                </w:tcPr>
                <w:p w14:paraId="45E1C686">
                  <w:pPr>
                    <w:keepNext w:val="0"/>
                    <w:keepLines w:val="0"/>
                    <w:widowControl/>
                    <w:suppressLineNumbers w:val="0"/>
                    <w:shd w:val="clear"/>
                    <w:spacing w:before="0" w:beforeAutospacing="0" w:after="0" w:afterAutospacing="0" w:line="240" w:lineRule="exact"/>
                    <w:ind w:left="0" w:right="0"/>
                    <w:jc w:val="left"/>
                    <w:rPr>
                      <w:rFonts w:hint="default"/>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①泄漏后可能通过雨水沟进入附近水体，造成水环境污染事故。</w:t>
                  </w:r>
                </w:p>
                <w:p w14:paraId="6445E234">
                  <w:pPr>
                    <w:keepNext w:val="0"/>
                    <w:keepLines w:val="0"/>
                    <w:widowControl/>
                    <w:suppressLineNumbers w:val="0"/>
                    <w:shd w:val="clear"/>
                    <w:spacing w:before="0" w:beforeAutospacing="0" w:after="0" w:afterAutospacing="0" w:line="240" w:lineRule="exact"/>
                    <w:ind w:left="0" w:right="0"/>
                    <w:jc w:val="left"/>
                    <w:rPr>
                      <w:rFonts w:hint="default"/>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②泄漏后可能通过下渗进入地下水，造成地下水污染事故。</w:t>
                  </w:r>
                </w:p>
                <w:p w14:paraId="08C1A18F">
                  <w:pPr>
                    <w:keepNext w:val="0"/>
                    <w:keepLines w:val="0"/>
                    <w:widowControl/>
                    <w:suppressLineNumbers w:val="0"/>
                    <w:shd w:val="clear"/>
                    <w:spacing w:before="0" w:beforeAutospacing="0" w:after="0" w:afterAutospacing="0" w:line="240" w:lineRule="exact"/>
                    <w:ind w:left="0" w:right="0"/>
                    <w:jc w:val="left"/>
                    <w:rPr>
                      <w:rStyle w:val="104"/>
                      <w:rFonts w:hint="default"/>
                      <w:b/>
                      <w:bCs/>
                      <w:color w:val="auto"/>
                      <w:sz w:val="21"/>
                      <w:szCs w:val="21"/>
                      <w:highlight w:val="none"/>
                      <w:shd w:val="clear" w:color="auto" w:fill="auto"/>
                    </w:rPr>
                  </w:pPr>
                  <w:r>
                    <w:rPr>
                      <w:rFonts w:hint="eastAsia" w:ascii="宋体" w:hAnsi="宋体" w:cs="宋体"/>
                      <w:color w:val="auto"/>
                      <w:kern w:val="0"/>
                      <w:szCs w:val="21"/>
                      <w:highlight w:val="none"/>
                      <w:shd w:val="clear" w:color="auto" w:fill="auto"/>
                      <w:lang w:bidi="ar"/>
                    </w:rPr>
                    <w:t>③泄漏后，发生火灾、爆炸所产生的液体挥发形成的蒸汽，以及次生污染物，将对周边大气产生环境污染。</w:t>
                  </w:r>
                </w:p>
              </w:tc>
              <w:tc>
                <w:tcPr>
                  <w:tcW w:w="867" w:type="pct"/>
                  <w:vAlign w:val="center"/>
                </w:tcPr>
                <w:p w14:paraId="1BE26AD6">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color w:val="auto"/>
                      <w:kern w:val="0"/>
                      <w:szCs w:val="21"/>
                      <w:highlight w:val="none"/>
                      <w:shd w:val="clear" w:color="auto" w:fill="auto"/>
                      <w:lang w:bidi="ar"/>
                    </w:rPr>
                    <w:t>大气、地表水、地下水</w:t>
                  </w:r>
                </w:p>
              </w:tc>
            </w:tr>
          </w:tbl>
          <w:p w14:paraId="31FC3848">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b/>
                <w:bCs/>
                <w:color w:val="auto"/>
                <w:highlight w:val="none"/>
                <w:shd w:val="clear" w:color="auto" w:fill="auto"/>
              </w:rPr>
            </w:pPr>
            <w:r>
              <w:rPr>
                <w:rStyle w:val="104"/>
                <w:rFonts w:hint="default" w:ascii="Times New Roman" w:hAnsi="Times New Roman"/>
                <w:b/>
                <w:bCs/>
                <w:color w:val="auto"/>
                <w:highlight w:val="none"/>
                <w:shd w:val="clear" w:color="auto" w:fill="auto"/>
              </w:rPr>
              <w:t>5）环境风险分析</w:t>
            </w:r>
          </w:p>
          <w:p w14:paraId="2D2C7C10">
            <w:pPr>
              <w:keepNext w:val="0"/>
              <w:keepLines w:val="0"/>
              <w:suppressLineNumbers w:val="0"/>
              <w:adjustRightInd w:val="0"/>
              <w:snapToGrid w:val="0"/>
              <w:spacing w:before="0" w:beforeAutospacing="0" w:after="0" w:afterAutospacing="0" w:line="360" w:lineRule="auto"/>
              <w:ind w:left="0" w:right="0" w:firstLine="482"/>
              <w:rPr>
                <w:rStyle w:val="104"/>
                <w:rFonts w:hint="default" w:ascii="Times New Roman" w:hAnsi="Times New Roman"/>
                <w:color w:val="auto"/>
              </w:rPr>
            </w:pPr>
            <w:r>
              <w:rPr>
                <w:rStyle w:val="104"/>
                <w:rFonts w:hint="default" w:ascii="Times New Roman" w:hAnsi="Times New Roman"/>
                <w:color w:val="auto"/>
              </w:rPr>
              <w:t>①火灾、爆炸风险分析</w:t>
            </w:r>
          </w:p>
          <w:p w14:paraId="25EA773F">
            <w:pPr>
              <w:pStyle w:val="54"/>
              <w:keepNext w:val="0"/>
              <w:keepLines w:val="0"/>
              <w:suppressLineNumbers w:val="0"/>
              <w:spacing w:before="0" w:beforeAutospacing="0" w:after="0" w:afterAutospacing="0"/>
              <w:ind w:left="0" w:right="0" w:firstLine="480" w:firstLineChars="200"/>
              <w:jc w:val="both"/>
              <w:rPr>
                <w:rStyle w:val="104"/>
                <w:rFonts w:hint="default" w:ascii="Times New Roman" w:hAnsi="Times New Roman"/>
                <w:bCs/>
                <w:color w:val="auto"/>
              </w:rPr>
            </w:pPr>
            <w:r>
              <w:rPr>
                <w:rStyle w:val="104"/>
                <w:rFonts w:hint="default" w:ascii="Times New Roman" w:hAnsi="Times New Roman"/>
                <w:bCs/>
                <w:color w:val="auto"/>
              </w:rPr>
              <w:t>变压器油在使用、储运过程中若操作不当或设</w:t>
            </w:r>
            <w:r>
              <w:rPr>
                <w:rStyle w:val="104"/>
                <w:rFonts w:hint="default" w:ascii="Times New Roman" w:hAnsi="Times New Roman" w:eastAsia="宋体" w:cs="Times New Roman"/>
                <w:bCs/>
                <w:color w:val="auto"/>
              </w:rPr>
              <w:t>备损坏造成物质泄漏，</w:t>
            </w:r>
            <w:r>
              <w:rPr>
                <w:rStyle w:val="104"/>
                <w:rFonts w:hint="eastAsia" w:ascii="Times New Roman" w:hAnsi="Times New Roman" w:eastAsia="宋体" w:cs="Times New Roman"/>
                <w:bCs/>
                <w:color w:val="auto"/>
                <w:lang w:val="en-US" w:eastAsia="zh-CN"/>
              </w:rPr>
              <w:t>单次维修废油和</w:t>
            </w:r>
            <w:r>
              <w:rPr>
                <w:rStyle w:val="104"/>
                <w:rFonts w:hint="default" w:ascii="Times New Roman" w:hAnsi="Times New Roman" w:eastAsia="宋体" w:cs="Times New Roman"/>
                <w:bCs/>
                <w:color w:val="auto"/>
              </w:rPr>
              <w:t>事故废油储运过程中发生泄漏，泄漏后遇</w:t>
            </w:r>
            <w:r>
              <w:rPr>
                <w:rStyle w:val="104"/>
                <w:rFonts w:hint="default" w:ascii="Times New Roman" w:hAnsi="Times New Roman"/>
                <w:bCs/>
                <w:color w:val="auto"/>
              </w:rPr>
              <w:t>火源或在高温（高于闪点）等特殊情况下，将引发火灾爆炸风</w:t>
            </w:r>
            <w:r>
              <w:rPr>
                <w:rStyle w:val="104"/>
                <w:rFonts w:hint="default" w:ascii="Times New Roman" w:hAnsi="Times New Roman" w:eastAsia="宋体" w:cs="Times New Roman"/>
                <w:bCs/>
                <w:color w:val="auto"/>
                <w:kern w:val="2"/>
              </w:rPr>
              <w:t>险，将对周边大气产生较为严重的环境污染。由于变压器油泄漏后可进入集油坑，暴露在空气中的量较小，通过加强巡检等措施后可以及时发生泄漏，切断泄漏源，并及时用油桶收容泄漏物，在采取以上应急措施后引起火灾爆炸的可能性较小。</w:t>
            </w:r>
          </w:p>
          <w:p w14:paraId="022744E6">
            <w:pPr>
              <w:keepNext w:val="0"/>
              <w:keepLines w:val="0"/>
              <w:widowControl/>
              <w:suppressLineNumbers w:val="0"/>
              <w:spacing w:before="0" w:beforeAutospacing="0" w:after="0" w:afterAutospacing="0" w:line="360" w:lineRule="auto"/>
              <w:ind w:left="0" w:right="0" w:firstLine="480" w:firstLineChars="200"/>
              <w:jc w:val="left"/>
              <w:rPr>
                <w:rStyle w:val="104"/>
                <w:rFonts w:hint="default" w:ascii="Times New Roman" w:hAnsi="Times New Roman"/>
                <w:bCs/>
                <w:color w:val="auto"/>
              </w:rPr>
            </w:pPr>
            <w:r>
              <w:rPr>
                <w:rStyle w:val="104"/>
                <w:rFonts w:hint="default" w:ascii="Times New Roman" w:hAnsi="Times New Roman"/>
                <w:bCs/>
                <w:color w:val="auto"/>
              </w:rPr>
              <w:t>建设单位需强化禁火区域安全管理，严禁烟火，将生产、储存装置区域列为禁火区，区内加强火源管理，严禁吸烟。在变压器附近，配置推车式泡沫灭火器及砂箱等灭火器材。建设单位应认真落实风险防范措施，大气环境风险可控，对周边环境影响较小。</w:t>
            </w:r>
          </w:p>
          <w:p w14:paraId="3BA44E3A">
            <w:pPr>
              <w:pStyle w:val="54"/>
              <w:keepNext w:val="0"/>
              <w:keepLines w:val="0"/>
              <w:suppressLineNumbers w:val="0"/>
              <w:spacing w:before="0" w:beforeAutospacing="0" w:after="0" w:afterAutospacing="0"/>
              <w:ind w:left="0" w:right="0" w:firstLine="480" w:firstLineChars="200"/>
              <w:jc w:val="both"/>
              <w:rPr>
                <w:rStyle w:val="104"/>
                <w:rFonts w:hint="default" w:ascii="Times New Roman" w:hAnsi="Times New Roman"/>
                <w:color w:val="auto"/>
              </w:rPr>
            </w:pPr>
            <w:r>
              <w:rPr>
                <w:rStyle w:val="104"/>
                <w:rFonts w:hint="default" w:ascii="Times New Roman" w:hAnsi="Times New Roman"/>
                <w:color w:val="auto"/>
              </w:rPr>
              <w:t>②泄漏环境风险分析</w:t>
            </w:r>
          </w:p>
          <w:p w14:paraId="185647E4">
            <w:pPr>
              <w:keepNext w:val="0"/>
              <w:keepLines w:val="0"/>
              <w:suppressLineNumbers w:val="0"/>
              <w:spacing w:before="0" w:beforeAutospacing="0" w:after="0" w:afterAutospacing="0" w:line="360" w:lineRule="auto"/>
              <w:ind w:left="0" w:right="0" w:firstLine="480" w:firstLineChars="200"/>
              <w:rPr>
                <w:rStyle w:val="104"/>
                <w:rFonts w:hint="default" w:ascii="Times New Roman" w:hAnsi="Times New Roman"/>
                <w:color w:val="auto"/>
                <w:sz w:val="24"/>
                <w:szCs w:val="24"/>
              </w:rPr>
            </w:pPr>
            <w:r>
              <w:rPr>
                <w:rStyle w:val="104"/>
                <w:rFonts w:hint="default" w:ascii="Times New Roman" w:hAnsi="Times New Roman"/>
                <w:bCs/>
                <w:color w:val="auto"/>
                <w:sz w:val="24"/>
                <w:szCs w:val="24"/>
              </w:rPr>
              <w:t>若因</w:t>
            </w:r>
            <w:r>
              <w:rPr>
                <w:rFonts w:hint="default"/>
                <w:color w:val="auto"/>
                <w:sz w:val="24"/>
                <w:szCs w:val="24"/>
              </w:rPr>
              <w:t>管理不当或设备损坏导致变压器油泄漏，可能对周边地表水、地下水、土壤造成污染。由于项目每个箱变配套设置1个</w:t>
            </w:r>
            <w:r>
              <w:rPr>
                <w:rFonts w:hint="eastAsia"/>
                <w:color w:val="auto"/>
                <w:sz w:val="24"/>
                <w:szCs w:val="24"/>
                <w:lang w:val="en-US" w:eastAsia="zh-CN"/>
              </w:rPr>
              <w:t>事故油池</w:t>
            </w:r>
            <w:r>
              <w:rPr>
                <w:rFonts w:hint="default"/>
                <w:color w:val="auto"/>
                <w:sz w:val="24"/>
                <w:szCs w:val="24"/>
              </w:rPr>
              <w:t>，若箱变发生泄漏，事故变压油将全部进入</w:t>
            </w:r>
            <w:r>
              <w:rPr>
                <w:rFonts w:hint="eastAsia"/>
                <w:color w:val="auto"/>
                <w:sz w:val="24"/>
                <w:szCs w:val="24"/>
                <w:lang w:val="en-US" w:eastAsia="zh-CN"/>
              </w:rPr>
              <w:t>事故油池</w:t>
            </w:r>
            <w:r>
              <w:rPr>
                <w:rFonts w:hint="default"/>
                <w:color w:val="auto"/>
                <w:sz w:val="24"/>
                <w:szCs w:val="24"/>
              </w:rPr>
              <w:t>，</w:t>
            </w:r>
            <w:r>
              <w:rPr>
                <w:rFonts w:hint="eastAsia"/>
                <w:color w:val="auto"/>
                <w:sz w:val="24"/>
                <w:szCs w:val="24"/>
                <w:lang w:val="en-US" w:eastAsia="zh-CN"/>
              </w:rPr>
              <w:t>事故油池</w:t>
            </w:r>
            <w:r>
              <w:rPr>
                <w:rFonts w:hint="default"/>
                <w:color w:val="auto"/>
                <w:sz w:val="24"/>
                <w:szCs w:val="24"/>
              </w:rPr>
              <w:t>设计阶段按要求采取重点防渗措施，经</w:t>
            </w:r>
            <w:r>
              <w:rPr>
                <w:rFonts w:hint="eastAsia"/>
                <w:color w:val="auto"/>
                <w:sz w:val="24"/>
                <w:szCs w:val="24"/>
                <w:lang w:val="en-US" w:eastAsia="zh-CN"/>
              </w:rPr>
              <w:t>事故油池</w:t>
            </w:r>
            <w:r>
              <w:rPr>
                <w:rFonts w:hint="default"/>
                <w:color w:val="auto"/>
                <w:sz w:val="24"/>
                <w:szCs w:val="24"/>
              </w:rPr>
              <w:t>收集的变压油最终交有资质的单位处理。</w:t>
            </w:r>
          </w:p>
          <w:p w14:paraId="6ECAF234">
            <w:pPr>
              <w:pStyle w:val="30"/>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sz w:val="24"/>
                <w:szCs w:val="24"/>
              </w:rPr>
            </w:pPr>
            <w:r>
              <w:rPr>
                <w:rFonts w:hint="default"/>
                <w:color w:val="auto"/>
                <w:sz w:val="24"/>
                <w:szCs w:val="24"/>
              </w:rPr>
              <w:t>若</w:t>
            </w:r>
            <w:r>
              <w:rPr>
                <w:rFonts w:hint="eastAsia"/>
                <w:color w:val="auto"/>
                <w:sz w:val="24"/>
                <w:szCs w:val="24"/>
                <w:lang w:val="en-US" w:eastAsia="zh-CN"/>
              </w:rPr>
              <w:t>事故油池</w:t>
            </w:r>
            <w:r>
              <w:rPr>
                <w:rFonts w:hint="default"/>
                <w:color w:val="auto"/>
                <w:sz w:val="24"/>
                <w:szCs w:val="24"/>
              </w:rPr>
              <w:t>设置的防渗层破裂或失效，事故废油下渗后可能对地下水及土壤造成污染，导致泄漏主要原因为：衬垫材料不良或施工不当引起衬垫失效；基础不均匀沉降引起的衬垫破裂；人为破坏引起衬垫失效。项目在基建期根据环评要求及</w:t>
            </w:r>
            <w:r>
              <w:rPr>
                <w:rStyle w:val="104"/>
                <w:rFonts w:hint="default" w:ascii="Times New Roman" w:hAnsi="Times New Roman"/>
                <w:color w:val="auto"/>
                <w:sz w:val="24"/>
                <w:szCs w:val="24"/>
              </w:rPr>
              <w:t>设计规范的要求</w:t>
            </w:r>
            <w:r>
              <w:rPr>
                <w:rFonts w:hint="default"/>
                <w:color w:val="auto"/>
                <w:sz w:val="24"/>
                <w:szCs w:val="24"/>
              </w:rPr>
              <w:t>严格对</w:t>
            </w:r>
            <w:r>
              <w:rPr>
                <w:rFonts w:hint="eastAsia"/>
                <w:color w:val="auto"/>
                <w:sz w:val="24"/>
                <w:szCs w:val="24"/>
                <w:lang w:val="en-US" w:eastAsia="zh-CN"/>
              </w:rPr>
              <w:t>事故油池</w:t>
            </w:r>
            <w:r>
              <w:rPr>
                <w:rFonts w:hint="default"/>
                <w:color w:val="auto"/>
                <w:sz w:val="24"/>
                <w:szCs w:val="24"/>
              </w:rPr>
              <w:t>进行重点防渗处理，重点防渗技术要求为：</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rPr>
              <w:t>，且提高工程质量。</w:t>
            </w:r>
          </w:p>
          <w:p w14:paraId="75D2F623">
            <w:pPr>
              <w:keepNext w:val="0"/>
              <w:keepLines w:val="0"/>
              <w:suppressLineNumbers w:val="0"/>
              <w:shd w:val="clear"/>
              <w:spacing w:before="0" w:beforeAutospacing="0" w:after="0" w:afterAutospacing="0" w:line="360" w:lineRule="auto"/>
              <w:ind w:left="0" w:right="0" w:firstLine="482"/>
              <w:rPr>
                <w:rStyle w:val="104"/>
                <w:rFonts w:hint="default" w:ascii="Times New Roman" w:hAnsi="Times New Roman"/>
                <w:bCs/>
                <w:color w:val="auto"/>
              </w:rPr>
            </w:pPr>
            <w:r>
              <w:rPr>
                <w:rStyle w:val="104"/>
                <w:rFonts w:hint="eastAsia" w:ascii="Times New Roman" w:hAnsi="Times New Roman"/>
                <w:color w:val="auto"/>
              </w:rPr>
              <w:t>依托的</w:t>
            </w:r>
            <w:r>
              <w:rPr>
                <w:rFonts w:hint="eastAsia" w:cs="Times New Roman"/>
                <w:b w:val="0"/>
                <w:bCs w:val="0"/>
                <w:color w:val="auto"/>
                <w:sz w:val="24"/>
                <w:szCs w:val="24"/>
                <w:lang w:val="en-US" w:eastAsia="zh-CN"/>
              </w:rPr>
              <w:t>竹园沟</w:t>
            </w:r>
            <w:r>
              <w:rPr>
                <w:rFonts w:hint="default" w:ascii="Times New Roman" w:hAnsi="Times New Roman" w:eastAsia="宋体" w:cs="Times New Roman"/>
                <w:b w:val="0"/>
                <w:bCs w:val="0"/>
                <w:color w:val="auto"/>
                <w:sz w:val="24"/>
                <w:szCs w:val="24"/>
                <w:lang w:val="en-US" w:eastAsia="zh-CN"/>
              </w:rPr>
              <w:t>光伏发电项目</w:t>
            </w:r>
            <w:r>
              <w:rPr>
                <w:rStyle w:val="104"/>
                <w:rFonts w:hint="eastAsia" w:ascii="Times New Roman" w:hAnsi="Times New Roman"/>
                <w:color w:val="auto"/>
              </w:rPr>
              <w:t>升压站</w:t>
            </w:r>
            <w:r>
              <w:rPr>
                <w:rStyle w:val="104"/>
                <w:rFonts w:hint="default" w:ascii="Times New Roman" w:hAnsi="Times New Roman"/>
                <w:color w:val="auto"/>
              </w:rPr>
              <w:t>工作人员按时巡检，能够及时发现泄漏并作出处理</w:t>
            </w:r>
            <w:r>
              <w:rPr>
                <w:rFonts w:hint="default"/>
                <w:color w:val="auto"/>
                <w:sz w:val="24"/>
              </w:rPr>
              <w:t>，</w:t>
            </w:r>
            <w:r>
              <w:rPr>
                <w:rStyle w:val="104"/>
                <w:rFonts w:hint="default" w:ascii="Times New Roman" w:hAnsi="Times New Roman"/>
                <w:bCs/>
                <w:color w:val="auto"/>
              </w:rPr>
              <w:t>若事故废油确实发生了</w:t>
            </w:r>
            <w:r>
              <w:rPr>
                <w:rFonts w:hint="default"/>
                <w:color w:val="auto"/>
                <w:sz w:val="24"/>
              </w:rPr>
              <w:t>泄漏事故，及时切断泄漏源，封闭现场，采用</w:t>
            </w:r>
            <w:r>
              <w:rPr>
                <w:rStyle w:val="104"/>
                <w:rFonts w:hint="default" w:ascii="Times New Roman" w:hAnsi="Times New Roman"/>
                <w:bCs/>
                <w:color w:val="auto"/>
              </w:rPr>
              <w:t>合适的材料收容泄漏物</w:t>
            </w:r>
            <w:r>
              <w:rPr>
                <w:rFonts w:hint="default"/>
                <w:color w:val="auto"/>
                <w:sz w:val="24"/>
              </w:rPr>
              <w:t>。</w:t>
            </w:r>
            <w:r>
              <w:rPr>
                <w:rStyle w:val="104"/>
                <w:rFonts w:hint="default" w:ascii="Times New Roman" w:hAnsi="Times New Roman"/>
                <w:bCs/>
                <w:color w:val="auto"/>
              </w:rPr>
              <w:t>通过及时采取应急措施处理后</w:t>
            </w:r>
            <w:r>
              <w:rPr>
                <w:rFonts w:hint="default"/>
                <w:color w:val="auto"/>
                <w:sz w:val="24"/>
              </w:rPr>
              <w:t>事故废油</w:t>
            </w:r>
            <w:r>
              <w:rPr>
                <w:rStyle w:val="104"/>
                <w:rFonts w:hint="default" w:ascii="Times New Roman" w:hAnsi="Times New Roman"/>
                <w:bCs/>
                <w:color w:val="auto"/>
              </w:rPr>
              <w:t>泄</w:t>
            </w:r>
            <w:r>
              <w:rPr>
                <w:rFonts w:hint="default"/>
                <w:color w:val="auto"/>
                <w:sz w:val="24"/>
              </w:rPr>
              <w:t>漏液不易进入外环境，环境风险可控</w:t>
            </w:r>
            <w:r>
              <w:rPr>
                <w:rStyle w:val="104"/>
                <w:rFonts w:hint="default" w:ascii="Times New Roman" w:hAnsi="Times New Roman"/>
                <w:bCs/>
                <w:color w:val="auto"/>
              </w:rPr>
              <w:t>。</w:t>
            </w:r>
          </w:p>
          <w:p w14:paraId="1F778696">
            <w:pPr>
              <w:keepNext w:val="0"/>
              <w:keepLines w:val="0"/>
              <w:suppressLineNumbers w:val="0"/>
              <w:shd w:val="clear"/>
              <w:spacing w:before="0" w:beforeAutospacing="0" w:after="0" w:afterAutospacing="0" w:line="360" w:lineRule="auto"/>
              <w:ind w:left="0" w:right="0" w:firstLine="482"/>
              <w:rPr>
                <w:rStyle w:val="104"/>
                <w:rFonts w:hint="default" w:ascii="Times New Roman" w:hAnsi="Times New Roman"/>
                <w:b/>
                <w:color w:val="auto"/>
                <w:highlight w:val="none"/>
                <w:shd w:val="clear" w:color="auto" w:fill="auto"/>
              </w:rPr>
            </w:pPr>
            <w:r>
              <w:rPr>
                <w:rFonts w:hint="eastAsia"/>
                <w:b/>
                <w:color w:val="auto"/>
                <w:sz w:val="24"/>
                <w:highlight w:val="none"/>
                <w:shd w:val="clear" w:color="auto" w:fill="auto"/>
              </w:rPr>
              <w:t>6</w:t>
            </w:r>
            <w:r>
              <w:rPr>
                <w:rFonts w:hint="default"/>
                <w:b/>
                <w:color w:val="auto"/>
                <w:sz w:val="24"/>
                <w:highlight w:val="none"/>
                <w:shd w:val="clear" w:color="auto" w:fill="auto"/>
              </w:rPr>
              <w:t>）</w:t>
            </w:r>
            <w:r>
              <w:rPr>
                <w:rStyle w:val="104"/>
                <w:rFonts w:hint="default" w:ascii="Times New Roman" w:hAnsi="Times New Roman"/>
                <w:b/>
                <w:color w:val="auto"/>
                <w:highlight w:val="none"/>
                <w:shd w:val="clear" w:color="auto" w:fill="auto"/>
              </w:rPr>
              <w:t>环境风险防范措施及应急要求</w:t>
            </w:r>
          </w:p>
          <w:p w14:paraId="76003DCC">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color w:val="auto"/>
                <w:highlight w:val="none"/>
                <w:shd w:val="clear" w:color="auto" w:fill="auto"/>
              </w:rPr>
            </w:pPr>
            <w:r>
              <w:rPr>
                <w:rStyle w:val="104"/>
                <w:rFonts w:hint="eastAsia" w:cs="宋体"/>
                <w:color w:val="auto"/>
                <w:highlight w:val="none"/>
                <w:shd w:val="clear" w:color="auto" w:fill="auto"/>
              </w:rPr>
              <w:t>①</w:t>
            </w:r>
            <w:r>
              <w:rPr>
                <w:rStyle w:val="104"/>
                <w:rFonts w:hint="default" w:ascii="Times New Roman" w:hAnsi="Times New Roman"/>
                <w:color w:val="auto"/>
                <w:highlight w:val="none"/>
                <w:shd w:val="clear" w:color="auto" w:fill="auto"/>
              </w:rPr>
              <w:t>防范措施</w:t>
            </w:r>
          </w:p>
          <w:p w14:paraId="2740EBFA">
            <w:pPr>
              <w:keepNext w:val="0"/>
              <w:keepLines w:val="0"/>
              <w:suppressLineNumbers w:val="0"/>
              <w:shd w:val="clear"/>
              <w:adjustRightInd w:val="0"/>
              <w:snapToGrid w:val="0"/>
              <w:spacing w:before="0" w:beforeAutospacing="0" w:after="0" w:afterAutospacing="0" w:line="360" w:lineRule="auto"/>
              <w:ind w:left="0" w:right="0" w:firstLine="480"/>
              <w:textAlignment w:val="baseline"/>
              <w:rPr>
                <w:rFonts w:hint="default"/>
                <w:color w:val="auto"/>
                <w:kern w:val="0"/>
                <w:sz w:val="24"/>
                <w:highlight w:val="none"/>
                <w:shd w:val="clear" w:color="auto" w:fill="auto"/>
              </w:rPr>
            </w:pPr>
            <w:r>
              <w:rPr>
                <w:rFonts w:hint="default"/>
                <w:color w:val="auto"/>
                <w:sz w:val="24"/>
                <w:szCs w:val="24"/>
                <w:highlight w:val="none"/>
                <w:shd w:val="clear" w:color="auto" w:fill="auto"/>
              </w:rPr>
              <w:t>A</w:t>
            </w:r>
            <w:r>
              <w:rPr>
                <w:rFonts w:hint="eastAsia"/>
                <w:color w:val="auto"/>
                <w:sz w:val="24"/>
                <w:szCs w:val="24"/>
                <w:highlight w:val="none"/>
                <w:shd w:val="clear" w:color="auto" w:fill="auto"/>
                <w:lang w:eastAsia="zh-CN"/>
              </w:rPr>
              <w:t>.</w:t>
            </w:r>
            <w:r>
              <w:rPr>
                <w:rFonts w:hint="eastAsia"/>
                <w:bCs/>
                <w:color w:val="auto"/>
                <w:sz w:val="24"/>
                <w:szCs w:val="24"/>
                <w:highlight w:val="none"/>
                <w:shd w:val="clear" w:color="auto" w:fill="auto"/>
              </w:rPr>
              <w:t>在</w:t>
            </w:r>
            <w:r>
              <w:rPr>
                <w:rFonts w:hint="default"/>
                <w:color w:val="auto"/>
                <w:kern w:val="0"/>
                <w:sz w:val="24"/>
                <w:szCs w:val="24"/>
                <w:highlight w:val="none"/>
                <w:shd w:val="clear" w:color="auto" w:fill="auto"/>
              </w:rPr>
              <w:t>箱式变压器下方基础处设置</w:t>
            </w:r>
            <w:r>
              <w:rPr>
                <w:rFonts w:hint="eastAsia"/>
                <w:color w:val="auto"/>
                <w:kern w:val="0"/>
                <w:sz w:val="24"/>
                <w:szCs w:val="24"/>
                <w:highlight w:val="none"/>
                <w:shd w:val="clear" w:color="auto" w:fill="auto"/>
                <w:lang w:val="en-US" w:eastAsia="zh-CN" w:bidi="ar"/>
              </w:rPr>
              <w:t>14</w:t>
            </w:r>
            <w:r>
              <w:rPr>
                <w:rFonts w:hint="eastAsia"/>
                <w:color w:val="auto"/>
                <w:kern w:val="0"/>
                <w:sz w:val="24"/>
                <w:szCs w:val="24"/>
                <w:highlight w:val="none"/>
                <w:shd w:val="clear" w:color="auto" w:fill="auto"/>
              </w:rPr>
              <w:t>个</w:t>
            </w:r>
            <w:r>
              <w:rPr>
                <w:rFonts w:hint="eastAsia"/>
                <w:color w:val="auto"/>
                <w:kern w:val="0"/>
                <w:sz w:val="24"/>
                <w:szCs w:val="24"/>
                <w:highlight w:val="none"/>
                <w:shd w:val="clear" w:color="auto" w:fill="auto"/>
                <w:lang w:eastAsia="zh-CN"/>
              </w:rPr>
              <w:t>事故油池</w:t>
            </w:r>
            <w:r>
              <w:rPr>
                <w:rFonts w:hint="eastAsia"/>
                <w:color w:val="auto"/>
                <w:kern w:val="0"/>
                <w:sz w:val="24"/>
                <w:szCs w:val="24"/>
                <w:highlight w:val="none"/>
                <w:shd w:val="clear" w:color="auto" w:fill="auto"/>
              </w:rPr>
              <w:t>（</w:t>
            </w:r>
            <w:r>
              <w:rPr>
                <w:rFonts w:hint="eastAsia"/>
                <w:color w:val="auto"/>
                <w:kern w:val="0"/>
                <w:sz w:val="24"/>
              </w:rPr>
              <w:t>其中</w:t>
            </w:r>
            <w:r>
              <w:rPr>
                <w:rFonts w:hint="eastAsia"/>
                <w:color w:val="auto"/>
                <w:kern w:val="0"/>
                <w:sz w:val="24"/>
                <w:lang w:val="en-US" w:eastAsia="zh-CN"/>
              </w:rPr>
              <w:t>1</w:t>
            </w:r>
            <w:r>
              <w:rPr>
                <w:rFonts w:hint="eastAsia"/>
                <w:color w:val="auto"/>
                <w:kern w:val="0"/>
                <w:sz w:val="24"/>
              </w:rPr>
              <w:t>个容积不低于</w:t>
            </w:r>
            <w:r>
              <w:rPr>
                <w:rFonts w:hint="eastAsia"/>
                <w:color w:val="auto"/>
                <w:kern w:val="0"/>
                <w:sz w:val="24"/>
                <w:lang w:val="en-US" w:eastAsia="zh-CN"/>
              </w:rPr>
              <w:t>1.8</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11</w:t>
            </w:r>
            <w:r>
              <w:rPr>
                <w:rFonts w:hint="eastAsia"/>
                <w:color w:val="auto"/>
                <w:kern w:val="0"/>
                <w:sz w:val="24"/>
              </w:rPr>
              <w:t>个容积不低于</w:t>
            </w:r>
            <w:r>
              <w:rPr>
                <w:rFonts w:hint="eastAsia"/>
                <w:color w:val="auto"/>
                <w:kern w:val="0"/>
                <w:sz w:val="24"/>
                <w:lang w:val="en-US" w:eastAsia="zh-CN"/>
              </w:rPr>
              <w:t>1.9</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w:t>
            </w:r>
            <w:r>
              <w:rPr>
                <w:rFonts w:hint="eastAsia"/>
                <w:color w:val="auto"/>
                <w:kern w:val="0"/>
                <w:sz w:val="24"/>
              </w:rPr>
              <w:t>个容积不低于2.</w:t>
            </w:r>
            <w:r>
              <w:rPr>
                <w:rFonts w:hint="eastAsia"/>
                <w:color w:val="auto"/>
                <w:kern w:val="0"/>
                <w:sz w:val="24"/>
                <w:lang w:val="en-US" w:eastAsia="zh-CN"/>
              </w:rPr>
              <w:t>1</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w:t>
            </w:r>
            <w:r>
              <w:rPr>
                <w:rFonts w:hint="eastAsia"/>
                <w:color w:val="auto"/>
                <w:kern w:val="0"/>
                <w:sz w:val="24"/>
              </w:rPr>
              <w:t>个容积不低于2.</w:t>
            </w:r>
            <w:r>
              <w:rPr>
                <w:rFonts w:hint="eastAsia"/>
                <w:color w:val="auto"/>
                <w:kern w:val="0"/>
                <w:sz w:val="24"/>
                <w:lang w:val="en-US" w:eastAsia="zh-CN"/>
              </w:rPr>
              <w:t>3</w:t>
            </w:r>
            <w:r>
              <w:rPr>
                <w:rFonts w:hint="eastAsia"/>
                <w:color w:val="auto"/>
                <w:kern w:val="0"/>
                <w:sz w:val="24"/>
              </w:rPr>
              <w:t>m</w:t>
            </w:r>
            <w:r>
              <w:rPr>
                <w:rFonts w:hint="eastAsia"/>
                <w:color w:val="auto"/>
                <w:kern w:val="0"/>
                <w:sz w:val="24"/>
                <w:vertAlign w:val="superscript"/>
              </w:rPr>
              <w:t>3</w:t>
            </w:r>
            <w:r>
              <w:rPr>
                <w:rFonts w:hint="eastAsia"/>
                <w:color w:val="auto"/>
                <w:kern w:val="0"/>
                <w:sz w:val="24"/>
                <w:szCs w:val="24"/>
                <w:highlight w:val="none"/>
                <w:shd w:val="clear" w:color="auto" w:fill="auto"/>
              </w:rPr>
              <w:t>）</w:t>
            </w:r>
            <w:r>
              <w:rPr>
                <w:rFonts w:hint="eastAsia"/>
                <w:color w:val="auto"/>
                <w:kern w:val="0"/>
                <w:sz w:val="24"/>
                <w:szCs w:val="24"/>
                <w:highlight w:val="none"/>
                <w:shd w:val="clear" w:color="auto" w:fill="auto"/>
                <w:lang w:eastAsia="zh-CN"/>
              </w:rPr>
              <w:t>，</w:t>
            </w:r>
            <w:r>
              <w:rPr>
                <w:rFonts w:hint="eastAsia"/>
                <w:color w:val="auto"/>
                <w:sz w:val="24"/>
                <w:highlight w:val="none"/>
                <w:shd w:val="clear" w:color="auto" w:fill="auto"/>
                <w:lang w:val="en-US" w:eastAsia="zh-CN"/>
              </w:rPr>
              <w:t>箱变</w:t>
            </w:r>
            <w:r>
              <w:rPr>
                <w:rFonts w:hint="default"/>
                <w:color w:val="auto"/>
                <w:sz w:val="24"/>
                <w:highlight w:val="none"/>
                <w:shd w:val="clear" w:color="auto" w:fill="auto"/>
              </w:rPr>
              <w:t>在事故情况下，</w:t>
            </w:r>
            <w:r>
              <w:rPr>
                <w:rFonts w:hint="eastAsia"/>
                <w:color w:val="auto"/>
                <w:sz w:val="24"/>
                <w:highlight w:val="none"/>
                <w:shd w:val="clear" w:color="auto" w:fill="auto"/>
              </w:rPr>
              <w:t>泄漏的变压器油自流进入</w:t>
            </w:r>
            <w:r>
              <w:rPr>
                <w:rFonts w:hint="eastAsia"/>
                <w:color w:val="auto"/>
                <w:kern w:val="0"/>
                <w:sz w:val="24"/>
                <w:szCs w:val="24"/>
                <w:highlight w:val="none"/>
                <w:shd w:val="clear" w:color="auto" w:fill="auto"/>
                <w:lang w:eastAsia="zh-CN"/>
              </w:rPr>
              <w:t>事故油池</w:t>
            </w:r>
            <w:r>
              <w:rPr>
                <w:rFonts w:hint="eastAsia"/>
                <w:color w:val="auto"/>
                <w:sz w:val="24"/>
                <w:highlight w:val="none"/>
                <w:shd w:val="clear" w:color="auto" w:fill="auto"/>
              </w:rPr>
              <w:t>存放</w:t>
            </w:r>
            <w:r>
              <w:rPr>
                <w:rFonts w:hint="default"/>
                <w:color w:val="auto"/>
                <w:kern w:val="0"/>
                <w:sz w:val="24"/>
                <w:szCs w:val="24"/>
                <w:highlight w:val="none"/>
                <w:shd w:val="clear" w:color="auto" w:fill="auto"/>
              </w:rPr>
              <w:t>。</w:t>
            </w:r>
            <w:r>
              <w:rPr>
                <w:rFonts w:hint="default"/>
                <w:color w:val="auto"/>
                <w:sz w:val="24"/>
                <w:highlight w:val="none"/>
                <w:shd w:val="clear" w:color="auto" w:fill="auto"/>
              </w:rPr>
              <w:t>严格做好防渗工程，施工期加强工程监理和环境监理，提高防渗工程质量，做好照片、录像以及相关文字说明等存档资料。</w:t>
            </w:r>
          </w:p>
          <w:p w14:paraId="377346A9">
            <w:pPr>
              <w:pStyle w:val="30"/>
              <w:keepNext w:val="0"/>
              <w:keepLines w:val="0"/>
              <w:suppressLineNumbers w:val="0"/>
              <w:shd w:val="clear"/>
              <w:adjustRightInd w:val="0"/>
              <w:snapToGrid w:val="0"/>
              <w:spacing w:before="0" w:beforeAutospacing="0" w:after="0" w:afterAutospacing="0" w:line="360" w:lineRule="auto"/>
              <w:ind w:left="0" w:right="0" w:firstLine="480" w:firstLineChars="200"/>
              <w:jc w:val="both"/>
              <w:rPr>
                <w:rFonts w:hint="default"/>
                <w:color w:val="auto"/>
                <w:sz w:val="24"/>
                <w:szCs w:val="24"/>
                <w:highlight w:val="none"/>
                <w:shd w:val="clear" w:color="auto" w:fill="auto"/>
                <w:lang w:val="zh-CN"/>
              </w:rPr>
            </w:pPr>
            <w:r>
              <w:rPr>
                <w:rFonts w:hint="eastAsia"/>
                <w:color w:val="auto"/>
                <w:sz w:val="24"/>
                <w:highlight w:val="none"/>
                <w:shd w:val="clear" w:color="auto" w:fill="auto"/>
                <w:lang w:val="en-US" w:eastAsia="zh-CN"/>
              </w:rPr>
              <w:t>箱式变压器、</w:t>
            </w:r>
            <w:r>
              <w:rPr>
                <w:rFonts w:hint="default"/>
                <w:color w:val="auto"/>
                <w:sz w:val="24"/>
                <w:highlight w:val="none"/>
                <w:shd w:val="clear" w:color="auto" w:fill="auto"/>
              </w:rPr>
              <w:t>事故油池按重点防渗区进行建设，防渗技术要求为：</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highlight w:val="none"/>
                <w:shd w:val="clear" w:color="auto" w:fill="auto"/>
              </w:rPr>
              <w:t>；</w:t>
            </w:r>
          </w:p>
          <w:p w14:paraId="66EDA47D">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lang w:val="zh-CN"/>
              </w:rPr>
            </w:pPr>
            <w:r>
              <w:rPr>
                <w:rFonts w:hint="default"/>
                <w:color w:val="auto"/>
                <w:sz w:val="24"/>
                <w:highlight w:val="none"/>
                <w:shd w:val="clear" w:color="auto" w:fill="auto"/>
              </w:rPr>
              <w:t>B</w:t>
            </w:r>
            <w:r>
              <w:rPr>
                <w:rFonts w:hint="eastAsia"/>
                <w:color w:val="auto"/>
                <w:sz w:val="24"/>
                <w:highlight w:val="none"/>
                <w:shd w:val="clear" w:color="auto" w:fill="auto"/>
                <w:lang w:eastAsia="zh-CN"/>
              </w:rPr>
              <w:t>.</w:t>
            </w:r>
            <w:r>
              <w:rPr>
                <w:rFonts w:hint="default"/>
                <w:color w:val="auto"/>
                <w:sz w:val="24"/>
                <w:highlight w:val="none"/>
                <w:shd w:val="clear" w:color="auto" w:fill="auto"/>
                <w:lang w:val="zh-CN"/>
              </w:rPr>
              <w:t>运营期定期检查</w:t>
            </w:r>
            <w:r>
              <w:rPr>
                <w:rFonts w:hint="default"/>
                <w:color w:val="auto"/>
                <w:sz w:val="24"/>
                <w:highlight w:val="none"/>
                <w:shd w:val="clear" w:color="auto" w:fill="auto"/>
              </w:rPr>
              <w:t>各储存设施</w:t>
            </w:r>
            <w:r>
              <w:rPr>
                <w:rFonts w:hint="eastAsia"/>
                <w:color w:val="auto"/>
                <w:sz w:val="24"/>
                <w:highlight w:val="none"/>
                <w:shd w:val="clear" w:color="auto" w:fill="auto"/>
              </w:rPr>
              <w:t>，避免出现泄漏等不良情况</w:t>
            </w:r>
            <w:r>
              <w:rPr>
                <w:rFonts w:hint="default"/>
                <w:color w:val="auto"/>
                <w:sz w:val="24"/>
                <w:highlight w:val="none"/>
                <w:shd w:val="clear" w:color="auto" w:fill="auto"/>
                <w:lang w:val="zh-CN"/>
              </w:rPr>
              <w:t>；</w:t>
            </w:r>
          </w:p>
          <w:p w14:paraId="75903E9B">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default" w:eastAsia="宋体"/>
                <w:color w:val="auto"/>
                <w:szCs w:val="24"/>
                <w:highlight w:val="none"/>
                <w:shd w:val="clear" w:color="auto" w:fill="auto"/>
              </w:rPr>
              <w:t>C</w:t>
            </w:r>
            <w:r>
              <w:rPr>
                <w:rFonts w:hint="eastAsia" w:eastAsia="宋体"/>
                <w:color w:val="auto"/>
                <w:szCs w:val="24"/>
                <w:highlight w:val="none"/>
                <w:shd w:val="clear" w:color="auto" w:fill="auto"/>
                <w:lang w:eastAsia="zh-CN"/>
              </w:rPr>
              <w:t>.</w:t>
            </w:r>
            <w:r>
              <w:rPr>
                <w:rFonts w:hint="default"/>
                <w:color w:val="auto"/>
                <w:sz w:val="24"/>
                <w:highlight w:val="none"/>
                <w:shd w:val="clear" w:color="auto" w:fill="auto"/>
              </w:rPr>
              <w:t>加强对操作人员的岗位培训，建立健全的环保管理机制和各项环保规章制度，落实岗位环保责任制，加强环境风险防范工作，防止事故排放导致环境问题</w:t>
            </w:r>
            <w:r>
              <w:rPr>
                <w:rFonts w:hint="eastAsia"/>
                <w:color w:val="auto"/>
                <w:sz w:val="24"/>
                <w:highlight w:val="none"/>
                <w:shd w:val="clear" w:color="auto" w:fill="auto"/>
              </w:rPr>
              <w:t>。</w:t>
            </w:r>
          </w:p>
          <w:p w14:paraId="2513AA82">
            <w:pPr>
              <w:keepNext w:val="0"/>
              <w:keepLines w:val="0"/>
              <w:suppressLineNumbers w:val="0"/>
              <w:shd w:val="clear"/>
              <w:snapToGrid w:val="0"/>
              <w:spacing w:before="0" w:beforeAutospacing="0" w:after="0" w:afterAutospacing="0" w:line="360" w:lineRule="auto"/>
              <w:ind w:left="0" w:right="0" w:firstLine="482"/>
              <w:outlineLvl w:val="0"/>
              <w:rPr>
                <w:rFonts w:hint="default"/>
                <w:color w:val="auto"/>
                <w:sz w:val="24"/>
                <w:highlight w:val="none"/>
                <w:shd w:val="clear" w:color="auto" w:fill="auto"/>
              </w:rPr>
            </w:pPr>
            <w:bookmarkStart w:id="60" w:name="_Toc32303"/>
            <w:bookmarkStart w:id="61" w:name="_Toc29463"/>
            <w:bookmarkStart w:id="62" w:name="_Toc75973087"/>
            <w:bookmarkStart w:id="63" w:name="_Toc3985"/>
            <w:bookmarkStart w:id="64" w:name="_Toc6135"/>
            <w:r>
              <w:rPr>
                <w:rFonts w:hint="eastAsia"/>
                <w:color w:val="auto"/>
                <w:sz w:val="24"/>
                <w:highlight w:val="none"/>
                <w:shd w:val="clear" w:color="auto" w:fill="auto"/>
              </w:rPr>
              <w:t>②</w:t>
            </w:r>
            <w:r>
              <w:rPr>
                <w:rFonts w:hint="default"/>
                <w:color w:val="auto"/>
                <w:sz w:val="24"/>
                <w:highlight w:val="none"/>
                <w:shd w:val="clear" w:color="auto" w:fill="auto"/>
              </w:rPr>
              <w:t>突发环境风险事件应急预案</w:t>
            </w:r>
            <w:bookmarkEnd w:id="60"/>
            <w:bookmarkEnd w:id="61"/>
            <w:bookmarkEnd w:id="62"/>
            <w:bookmarkEnd w:id="63"/>
            <w:bookmarkEnd w:id="64"/>
          </w:p>
          <w:p w14:paraId="18F8FE94">
            <w:pPr>
              <w:keepNext w:val="0"/>
              <w:keepLines w:val="0"/>
              <w:suppressLineNumbers w:val="0"/>
              <w:shd w:val="clear"/>
              <w:spacing w:before="0" w:beforeAutospacing="0" w:after="0" w:afterAutospacing="0" w:line="360" w:lineRule="auto"/>
              <w:ind w:left="0" w:right="0" w:firstLine="480"/>
              <w:rPr>
                <w:rFonts w:hint="default"/>
                <w:b/>
                <w:color w:val="auto"/>
                <w:sz w:val="24"/>
                <w:highlight w:val="none"/>
                <w:shd w:val="clear" w:color="auto" w:fill="auto"/>
              </w:rPr>
            </w:pPr>
            <w:r>
              <w:rPr>
                <w:rFonts w:hint="default"/>
                <w:color w:val="auto"/>
                <w:sz w:val="24"/>
                <w:highlight w:val="none"/>
                <w:shd w:val="clear" w:color="auto" w:fill="auto"/>
              </w:rPr>
              <w:t>针对本项目可能发生的突发事故，为了将风险事故率降低到最小，建设单位应编制突发环境事件应急预案并报</w:t>
            </w:r>
            <w:r>
              <w:rPr>
                <w:rFonts w:hint="eastAsia"/>
                <w:color w:val="auto"/>
                <w:sz w:val="24"/>
                <w:highlight w:val="none"/>
                <w:shd w:val="clear" w:color="auto" w:fill="auto"/>
                <w:lang w:val="en-US" w:eastAsia="zh-CN"/>
              </w:rPr>
              <w:t>昆明市</w:t>
            </w:r>
            <w:r>
              <w:rPr>
                <w:rFonts w:hint="default"/>
                <w:color w:val="auto"/>
                <w:sz w:val="24"/>
                <w:highlight w:val="none"/>
                <w:shd w:val="clear" w:color="auto" w:fill="auto"/>
              </w:rPr>
              <w:t>生态环境局</w:t>
            </w:r>
            <w:r>
              <w:rPr>
                <w:rFonts w:hint="eastAsia"/>
                <w:color w:val="auto"/>
                <w:sz w:val="24"/>
                <w:highlight w:val="none"/>
                <w:shd w:val="clear" w:color="auto" w:fill="auto"/>
                <w:lang w:val="en-US" w:eastAsia="zh-CN"/>
              </w:rPr>
              <w:t>寻甸</w:t>
            </w:r>
            <w:r>
              <w:rPr>
                <w:rFonts w:hint="default"/>
                <w:color w:val="auto"/>
                <w:sz w:val="24"/>
                <w:highlight w:val="none"/>
                <w:shd w:val="clear" w:color="auto" w:fill="auto"/>
              </w:rPr>
              <w:t>分局备案。建设单位应严格按照《企业突发环境事件风险分级方法》</w:t>
            </w:r>
            <w:r>
              <w:rPr>
                <w:rFonts w:hint="eastAsia"/>
                <w:color w:val="auto"/>
                <w:sz w:val="24"/>
                <w:highlight w:val="none"/>
                <w:shd w:val="clear" w:color="auto" w:fill="auto"/>
                <w:lang w:eastAsia="zh-CN"/>
              </w:rPr>
              <w:t>（</w:t>
            </w:r>
            <w:r>
              <w:rPr>
                <w:rFonts w:hint="default"/>
                <w:color w:val="auto"/>
                <w:sz w:val="24"/>
                <w:highlight w:val="none"/>
                <w:shd w:val="clear" w:color="auto" w:fill="auto"/>
              </w:rPr>
              <w:t>HJ941-2018</w:t>
            </w:r>
            <w:r>
              <w:rPr>
                <w:rFonts w:hint="eastAsia"/>
                <w:color w:val="auto"/>
                <w:sz w:val="24"/>
                <w:highlight w:val="none"/>
                <w:shd w:val="clear" w:color="auto" w:fill="auto"/>
                <w:lang w:eastAsia="zh-CN"/>
              </w:rPr>
              <w:t>）</w:t>
            </w:r>
            <w:r>
              <w:rPr>
                <w:rFonts w:hint="default"/>
                <w:color w:val="auto"/>
                <w:sz w:val="24"/>
                <w:highlight w:val="none"/>
                <w:shd w:val="clear" w:color="auto" w:fill="auto"/>
              </w:rPr>
              <w:t>、《企业突发环境事件应急预案编制指南》和《企业突发环境事件风险评估指南（试行）》开展应急预案的编制工作，包括环境风险评估报告、环境应急资源调查报告和突发环境事件应急预案三个报告。</w:t>
            </w:r>
          </w:p>
          <w:p w14:paraId="21C111C4">
            <w:pPr>
              <w:keepNext w:val="0"/>
              <w:keepLines w:val="0"/>
              <w:suppressLineNumbers w:val="0"/>
              <w:shd w:val="clear"/>
              <w:adjustRightInd w:val="0"/>
              <w:snapToGrid w:val="0"/>
              <w:spacing w:before="0" w:beforeAutospacing="0" w:after="0" w:afterAutospacing="0" w:line="360" w:lineRule="auto"/>
              <w:ind w:left="0" w:right="0" w:firstLine="482"/>
              <w:rPr>
                <w:rFonts w:hint="default"/>
                <w:b/>
                <w:bCs/>
                <w:color w:val="auto"/>
                <w:sz w:val="24"/>
                <w:highlight w:val="none"/>
                <w:shd w:val="clear" w:color="auto" w:fill="auto"/>
              </w:rPr>
            </w:pPr>
            <w:r>
              <w:rPr>
                <w:rFonts w:hint="eastAsia"/>
                <w:b/>
                <w:bCs/>
                <w:color w:val="auto"/>
                <w:sz w:val="24"/>
                <w:highlight w:val="none"/>
                <w:shd w:val="clear" w:color="auto" w:fill="auto"/>
              </w:rPr>
              <w:t>7</w:t>
            </w:r>
            <w:r>
              <w:rPr>
                <w:rFonts w:hint="default"/>
                <w:b/>
                <w:bCs/>
                <w:color w:val="auto"/>
                <w:sz w:val="24"/>
                <w:highlight w:val="none"/>
                <w:shd w:val="clear" w:color="auto" w:fill="auto"/>
              </w:rPr>
              <w:t>）环境风险分析结论</w:t>
            </w:r>
          </w:p>
          <w:p w14:paraId="4511CCB4">
            <w:pPr>
              <w:keepNext w:val="0"/>
              <w:keepLines w:val="0"/>
              <w:suppressLineNumbers w:val="0"/>
              <w:shd w:val="clear"/>
              <w:adjustRightInd w:val="0"/>
              <w:snapToGrid w:val="0"/>
              <w:spacing w:before="0" w:beforeAutospacing="0" w:after="0" w:afterAutospacing="0" w:line="360" w:lineRule="auto"/>
              <w:ind w:left="0" w:right="0" w:firstLine="480" w:firstLineChars="200"/>
              <w:rPr>
                <w:rStyle w:val="105"/>
                <w:rFonts w:hint="default"/>
                <w:bCs/>
                <w:color w:val="auto"/>
                <w:sz w:val="24"/>
                <w:highlight w:val="none"/>
                <w:shd w:val="clear" w:color="auto" w:fill="auto"/>
              </w:rPr>
            </w:pPr>
            <w:r>
              <w:rPr>
                <w:rFonts w:hint="eastAsia"/>
                <w:bCs/>
                <w:color w:val="auto"/>
                <w:sz w:val="24"/>
                <w:highlight w:val="none"/>
                <w:shd w:val="clear" w:color="auto" w:fill="auto"/>
              </w:rPr>
              <w:t>本</w:t>
            </w:r>
            <w:r>
              <w:rPr>
                <w:rFonts w:hint="default"/>
                <w:bCs/>
                <w:color w:val="auto"/>
                <w:sz w:val="24"/>
                <w:highlight w:val="none"/>
                <w:shd w:val="clear" w:color="auto" w:fill="auto"/>
              </w:rPr>
              <w:t>项目环境风险潜势为I，则不设评价等级，仅进行简单分析。</w:t>
            </w:r>
            <w:r>
              <w:rPr>
                <w:rStyle w:val="105"/>
                <w:rFonts w:hint="eastAsia"/>
                <w:bCs/>
                <w:color w:val="auto"/>
                <w:sz w:val="24"/>
                <w:highlight w:val="none"/>
                <w:shd w:val="clear" w:color="auto" w:fill="auto"/>
              </w:rPr>
              <w:t>项目环境风险主要为变压器油</w:t>
            </w:r>
            <w:r>
              <w:rPr>
                <w:rStyle w:val="105"/>
                <w:rFonts w:hint="eastAsia"/>
                <w:bCs/>
                <w:color w:val="auto"/>
                <w:sz w:val="24"/>
                <w:highlight w:val="none"/>
                <w:shd w:val="clear" w:color="auto" w:fill="auto"/>
                <w:lang w:eastAsia="zh-CN"/>
              </w:rPr>
              <w:t>、</w:t>
            </w:r>
            <w:r>
              <w:rPr>
                <w:rFonts w:hint="eastAsia"/>
                <w:bCs/>
                <w:color w:val="auto"/>
                <w:sz w:val="24"/>
                <w:szCs w:val="24"/>
                <w:highlight w:val="none"/>
                <w:shd w:val="clear" w:color="auto" w:fill="auto"/>
                <w:lang w:val="en-US" w:eastAsia="zh-CN"/>
              </w:rPr>
              <w:t>废变压器油（单次维修废油）、事故废油</w:t>
            </w:r>
            <w:r>
              <w:rPr>
                <w:rStyle w:val="105"/>
                <w:rFonts w:hint="eastAsia"/>
                <w:bCs/>
                <w:color w:val="auto"/>
                <w:sz w:val="24"/>
                <w:highlight w:val="none"/>
                <w:shd w:val="clear" w:color="auto" w:fill="auto"/>
              </w:rPr>
              <w:t>的燃烧爆炸产生的次生污染物对环境的影响，只要建设单位按照本报告提出的环境管理措施实施，项目环境风险影响范围较小，环境风险可接受。</w:t>
            </w:r>
          </w:p>
          <w:p w14:paraId="636D57AB">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sz w:val="24"/>
              </w:rPr>
            </w:pPr>
            <w:r>
              <w:rPr>
                <w:rFonts w:hint="default"/>
                <w:b/>
                <w:bCs/>
                <w:color w:val="auto"/>
                <w:sz w:val="24"/>
              </w:rPr>
              <w:t>（</w:t>
            </w:r>
            <w:r>
              <w:rPr>
                <w:rFonts w:hint="eastAsia"/>
                <w:b/>
                <w:bCs/>
                <w:color w:val="auto"/>
                <w:sz w:val="24"/>
                <w:lang w:val="en-US" w:eastAsia="zh-CN"/>
              </w:rPr>
              <w:t>8</w:t>
            </w:r>
            <w:r>
              <w:rPr>
                <w:rFonts w:hint="default"/>
                <w:b/>
                <w:bCs/>
                <w:color w:val="auto"/>
                <w:sz w:val="24"/>
              </w:rPr>
              <w:t>）</w:t>
            </w:r>
            <w:r>
              <w:rPr>
                <w:rFonts w:hint="eastAsia"/>
                <w:b/>
                <w:bCs/>
                <w:color w:val="auto"/>
                <w:sz w:val="24"/>
                <w:lang w:val="en-US" w:eastAsia="zh-CN"/>
              </w:rPr>
              <w:t>地下水、</w:t>
            </w:r>
            <w:r>
              <w:rPr>
                <w:rFonts w:hint="default"/>
                <w:b/>
                <w:bCs/>
                <w:color w:val="auto"/>
                <w:sz w:val="24"/>
              </w:rPr>
              <w:t>土壤环境影响分析</w:t>
            </w:r>
          </w:p>
          <w:p w14:paraId="0238EFCD">
            <w:pPr>
              <w:keepNext w:val="0"/>
              <w:keepLines w:val="0"/>
              <w:widowControl/>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本项目属于光伏发电项目。根据《环境影响评价技术导则  地下水环境》（HJ610-2016）附录A可知，项目属于</w:t>
            </w:r>
            <w:r>
              <w:rPr>
                <w:rFonts w:hint="eastAsia" w:ascii="宋体" w:hAnsi="宋体" w:eastAsia="宋体" w:cs="宋体"/>
                <w:color w:val="auto"/>
                <w:sz w:val="24"/>
              </w:rPr>
              <w:t>“</w:t>
            </w:r>
            <w:r>
              <w:rPr>
                <w:rFonts w:hint="default"/>
                <w:color w:val="auto"/>
                <w:sz w:val="24"/>
              </w:rPr>
              <w:t>E 电力</w:t>
            </w:r>
            <w:r>
              <w:rPr>
                <w:rFonts w:hint="eastAsia" w:ascii="宋体" w:hAnsi="宋体" w:eastAsia="宋体" w:cs="宋体"/>
                <w:color w:val="auto"/>
                <w:sz w:val="24"/>
              </w:rPr>
              <w:t>”大类中“</w:t>
            </w:r>
            <w:r>
              <w:rPr>
                <w:rFonts w:hint="default"/>
                <w:color w:val="auto"/>
                <w:sz w:val="24"/>
              </w:rPr>
              <w:t>34 其他能源发电—利用地热、太阳能热等</w:t>
            </w:r>
            <w:r>
              <w:rPr>
                <w:rFonts w:hint="eastAsia" w:ascii="宋体" w:hAnsi="宋体" w:eastAsia="宋体" w:cs="宋体"/>
                <w:color w:val="auto"/>
                <w:sz w:val="24"/>
              </w:rPr>
              <w:t>发电”</w:t>
            </w:r>
            <w:r>
              <w:rPr>
                <w:rFonts w:hint="default"/>
                <w:color w:val="auto"/>
                <w:sz w:val="24"/>
              </w:rPr>
              <w:t>小类，地下水环境影响评价项目类别均为Ⅳ类。Ⅳ类建设项目不开展地下水环境影响评价。根据《环境影响评价技术导则 土壤环境》（HJ964-2018），项目属于Ⅳ类项目，不需要开展土壤环境影响评价。</w:t>
            </w:r>
          </w:p>
          <w:p w14:paraId="373404DB">
            <w:pPr>
              <w:pStyle w:val="30"/>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sz w:val="24"/>
                <w:szCs w:val="24"/>
              </w:rPr>
            </w:pPr>
            <w:r>
              <w:rPr>
                <w:rFonts w:hint="default"/>
                <w:color w:val="auto"/>
                <w:sz w:val="24"/>
                <w:szCs w:val="24"/>
              </w:rPr>
              <w:t>项目箱式变压器、</w:t>
            </w:r>
            <w:r>
              <w:rPr>
                <w:rFonts w:hint="eastAsia"/>
                <w:color w:val="auto"/>
                <w:sz w:val="24"/>
                <w:szCs w:val="24"/>
                <w:lang w:val="en-US" w:eastAsia="zh-CN"/>
              </w:rPr>
              <w:t>事故油池</w:t>
            </w:r>
            <w:r>
              <w:rPr>
                <w:rFonts w:hint="default"/>
                <w:color w:val="auto"/>
                <w:sz w:val="24"/>
                <w:szCs w:val="24"/>
              </w:rPr>
              <w:t>按重点防渗进行建设，防渗技术要求为表：</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rPr>
              <w:t>。</w:t>
            </w:r>
          </w:p>
          <w:p w14:paraId="2EFB7801">
            <w:pPr>
              <w:keepNext w:val="0"/>
              <w:keepLines w:val="0"/>
              <w:widowControl/>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szCs w:val="24"/>
              </w:rPr>
              <w:t>综上，项目按要求落实防渗措施后对</w:t>
            </w:r>
            <w:r>
              <w:rPr>
                <w:rFonts w:hint="eastAsia"/>
                <w:color w:val="auto"/>
                <w:sz w:val="24"/>
                <w:szCs w:val="24"/>
                <w:lang w:val="en-US" w:eastAsia="zh-CN"/>
              </w:rPr>
              <w:t>地下水和</w:t>
            </w:r>
            <w:r>
              <w:rPr>
                <w:rFonts w:hint="default"/>
                <w:color w:val="auto"/>
                <w:sz w:val="24"/>
                <w:szCs w:val="24"/>
              </w:rPr>
              <w:t>土壤环境影响很小。</w:t>
            </w:r>
          </w:p>
          <w:p w14:paraId="4AA68080">
            <w:pPr>
              <w:keepNext w:val="0"/>
              <w:keepLines w:val="0"/>
              <w:widowControl/>
              <w:suppressLineNumbers w:val="0"/>
              <w:spacing w:before="0" w:beforeAutospacing="0" w:after="0" w:afterAutospacing="0" w:line="360" w:lineRule="auto"/>
              <w:ind w:left="0" w:right="0" w:firstLine="482" w:firstLineChars="200"/>
              <w:jc w:val="left"/>
              <w:rPr>
                <w:rFonts w:hint="default"/>
                <w:color w:val="auto"/>
              </w:rPr>
            </w:pPr>
            <w:r>
              <w:rPr>
                <w:rFonts w:hint="eastAsia"/>
                <w:b/>
                <w:bCs/>
                <w:color w:val="auto"/>
                <w:sz w:val="24"/>
              </w:rPr>
              <w:t>（</w:t>
            </w:r>
            <w:r>
              <w:rPr>
                <w:rFonts w:hint="eastAsia"/>
                <w:b/>
                <w:bCs/>
                <w:color w:val="auto"/>
                <w:sz w:val="24"/>
                <w:lang w:val="en-US" w:eastAsia="zh-CN"/>
              </w:rPr>
              <w:t>9</w:t>
            </w:r>
            <w:r>
              <w:rPr>
                <w:rFonts w:hint="eastAsia"/>
                <w:b/>
                <w:bCs/>
                <w:color w:val="auto"/>
                <w:sz w:val="24"/>
              </w:rPr>
              <w:t>）</w:t>
            </w:r>
            <w:r>
              <w:rPr>
                <w:rFonts w:hint="eastAsia" w:ascii="宋体" w:hAnsi="宋体" w:cs="宋体"/>
                <w:b/>
                <w:bCs/>
                <w:color w:val="auto"/>
                <w:kern w:val="0"/>
                <w:sz w:val="25"/>
                <w:szCs w:val="25"/>
                <w:lang w:bidi="ar"/>
              </w:rPr>
              <w:t>服务期满后环境影响分析</w:t>
            </w:r>
          </w:p>
          <w:p w14:paraId="509D035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本项目运营生产期为25年，待项目运营期满后，按国家相关要求，将对电池组件及支架、箱变、逆变器等进行全部拆除。光伏电站服务期满后影响主要为拆除的太阳能电池板、箱变、逆变器、</w:t>
            </w:r>
            <w:r>
              <w:rPr>
                <w:rFonts w:hint="eastAsia"/>
                <w:color w:val="auto"/>
                <w:kern w:val="0"/>
                <w:sz w:val="24"/>
                <w:lang w:bidi="ar"/>
              </w:rPr>
              <w:t>建筑垃圾</w:t>
            </w:r>
            <w:r>
              <w:rPr>
                <w:rFonts w:hint="default"/>
                <w:color w:val="auto"/>
                <w:kern w:val="0"/>
                <w:sz w:val="24"/>
                <w:lang w:bidi="ar"/>
              </w:rPr>
              <w:t>等固体废物影响，以及基础拆除产生的生态环境影响。光伏组件设备拆除完毕后，应做好植被恢复措施。</w:t>
            </w:r>
          </w:p>
          <w:p w14:paraId="295C438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①</w:t>
            </w:r>
            <w:r>
              <w:rPr>
                <w:rFonts w:hint="default"/>
                <w:color w:val="auto"/>
                <w:kern w:val="0"/>
                <w:sz w:val="24"/>
                <w:lang w:bidi="ar"/>
              </w:rPr>
              <w:t>光伏组件的拆除</w:t>
            </w:r>
          </w:p>
          <w:p w14:paraId="6401FBFF">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本项目服务期满后，光伏组件的转化效率降低80%，需进行拆除。拆除后的废旧光伏组件共计</w:t>
            </w:r>
            <w:r>
              <w:rPr>
                <w:rFonts w:hint="default" w:ascii="Times New Roman" w:hAnsi="Times New Roman" w:eastAsia="宋体" w:cs="Times New Roman"/>
                <w:color w:val="auto"/>
                <w:sz w:val="24"/>
                <w:szCs w:val="24"/>
                <w:lang w:val="en-US" w:eastAsia="zh-CN"/>
              </w:rPr>
              <w:t>97838</w:t>
            </w:r>
            <w:r>
              <w:rPr>
                <w:rFonts w:hint="default"/>
                <w:color w:val="auto"/>
                <w:kern w:val="0"/>
                <w:sz w:val="24"/>
                <w:lang w:bidi="ar"/>
              </w:rPr>
              <w:t>块，单块净重</w:t>
            </w:r>
            <w:r>
              <w:rPr>
                <w:rFonts w:hint="eastAsia"/>
                <w:color w:val="auto"/>
                <w:kern w:val="0"/>
                <w:sz w:val="24"/>
                <w:lang w:val="en-US" w:eastAsia="zh-CN" w:bidi="ar"/>
              </w:rPr>
              <w:t>31.5</w:t>
            </w:r>
            <w:r>
              <w:rPr>
                <w:rFonts w:hint="default"/>
                <w:color w:val="auto"/>
                <w:kern w:val="0"/>
                <w:sz w:val="24"/>
                <w:lang w:bidi="ar"/>
              </w:rPr>
              <w:t>kg，故拆除光伏组件量为</w:t>
            </w:r>
            <w:r>
              <w:rPr>
                <w:rFonts w:hint="eastAsia"/>
                <w:color w:val="auto"/>
                <w:kern w:val="0"/>
                <w:sz w:val="24"/>
                <w:lang w:val="en-US" w:eastAsia="zh-CN" w:bidi="ar"/>
              </w:rPr>
              <w:t>3081.9</w:t>
            </w:r>
            <w:r>
              <w:rPr>
                <w:rFonts w:hint="default"/>
                <w:color w:val="auto"/>
                <w:kern w:val="0"/>
                <w:sz w:val="24"/>
                <w:lang w:bidi="ar"/>
              </w:rPr>
              <w:t>t。</w:t>
            </w:r>
          </w:p>
          <w:p w14:paraId="7C6E5160">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拆除的光伏电池板属于一般固体废物，全部由专业的回收厂家回收处理，不得随意丢弃，对环境的影响较小。</w:t>
            </w:r>
          </w:p>
          <w:p w14:paraId="0DC20819">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②</w:t>
            </w:r>
            <w:r>
              <w:rPr>
                <w:rFonts w:hint="default"/>
                <w:color w:val="auto"/>
                <w:kern w:val="0"/>
                <w:sz w:val="24"/>
                <w:lang w:bidi="ar"/>
              </w:rPr>
              <w:t>电气设备的拆除</w:t>
            </w:r>
          </w:p>
          <w:p w14:paraId="3A30033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本项目电气设备主要为逆变器、箱变等，电气设备经过运营期的使用和维护，其损耗较小，可全部由设备生产商回收。</w:t>
            </w:r>
          </w:p>
          <w:p w14:paraId="33C08A57">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③</w:t>
            </w:r>
            <w:r>
              <w:rPr>
                <w:rFonts w:hint="default"/>
                <w:color w:val="auto"/>
                <w:kern w:val="0"/>
                <w:sz w:val="24"/>
                <w:lang w:bidi="ar"/>
              </w:rPr>
              <w:t>建（构）筑物的拆除</w:t>
            </w:r>
          </w:p>
          <w:p w14:paraId="3348DC96">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除各类设备以外，本项目在服务期满后需要对已建成的各类建（构）筑物进行全部拆除，以利于恢复原地表和植被。本项目主要的建（构）筑物为光伏组件基础、箱变基础。拆除过程中产生的建筑垃圾经分类收集后，可回收利用的回收利用，不可回收利用的清运至当地住建部门指定地点堆存。</w:t>
            </w:r>
          </w:p>
          <w:p w14:paraId="204FE688">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kern w:val="0"/>
                <w:sz w:val="24"/>
                <w:lang w:val="en-US" w:eastAsia="zh-CN" w:bidi="ar"/>
              </w:rPr>
              <w:t>④</w:t>
            </w:r>
            <w:r>
              <w:rPr>
                <w:rFonts w:hint="default"/>
                <w:color w:val="auto"/>
                <w:kern w:val="0"/>
                <w:sz w:val="24"/>
                <w:lang w:bidi="ar"/>
              </w:rPr>
              <w:t>恢复措施</w:t>
            </w:r>
          </w:p>
          <w:p w14:paraId="13D8FE19">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lang w:bidi="ar"/>
              </w:rPr>
              <w:t>本项目光伏发电站服务期满后拆除的生产区应进行生态恢复，拆除过程中应尽量减少对土地的扰动。</w:t>
            </w:r>
            <w:r>
              <w:rPr>
                <w:rFonts w:hint="eastAsia"/>
                <w:color w:val="auto"/>
                <w:kern w:val="0"/>
                <w:sz w:val="24"/>
                <w:lang w:val="en-US" w:eastAsia="zh-CN" w:bidi="ar"/>
              </w:rPr>
              <w:t>拆除</w:t>
            </w:r>
            <w:r>
              <w:rPr>
                <w:rFonts w:hint="default"/>
                <w:color w:val="auto"/>
                <w:kern w:val="0"/>
                <w:sz w:val="24"/>
                <w:lang w:bidi="ar"/>
              </w:rPr>
              <w:t>光伏方阵区混凝土的基础部分场地应进行恢复，覆土厚度30cm，并将光伏方阵区侵蚀沟和低洼区域填土、平整，恢复后的场地则进行洒水和压实，以固结地表，防止产生扬尘和对土壤的风蚀。光伏电站在服务期满后，要严格采取固废处置及生态恢复的环保措施，确保无遗留环保问题。光伏电站服务期满后对环境的影响较小。</w:t>
            </w:r>
          </w:p>
          <w:p w14:paraId="65571F4C">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color w:val="auto"/>
                <w:kern w:val="0"/>
                <w:sz w:val="24"/>
                <w:lang w:bidi="ar"/>
              </w:rPr>
              <w:t>项目服务期满后，植被恢复过程中依照</w:t>
            </w:r>
            <w:r>
              <w:rPr>
                <w:rFonts w:hint="eastAsia"/>
                <w:color w:val="auto"/>
                <w:kern w:val="0"/>
                <w:sz w:val="24"/>
                <w:lang w:eastAsia="zh-CN" w:bidi="ar"/>
              </w:rPr>
              <w:t>“</w:t>
            </w:r>
            <w:r>
              <w:rPr>
                <w:rFonts w:hint="default"/>
                <w:color w:val="auto"/>
                <w:kern w:val="0"/>
                <w:sz w:val="24"/>
                <w:lang w:bidi="ar"/>
              </w:rPr>
              <w:t>适地适树</w:t>
            </w:r>
            <w:r>
              <w:rPr>
                <w:rFonts w:hint="eastAsia"/>
                <w:color w:val="auto"/>
                <w:kern w:val="0"/>
                <w:sz w:val="24"/>
                <w:lang w:eastAsia="zh-CN" w:bidi="ar"/>
              </w:rPr>
              <w:t>”</w:t>
            </w:r>
            <w:r>
              <w:rPr>
                <w:rFonts w:hint="default"/>
                <w:color w:val="auto"/>
                <w:kern w:val="0"/>
                <w:sz w:val="24"/>
                <w:lang w:bidi="ar"/>
              </w:rPr>
              <w:t>、原生性、特有性、实用性的基本科学原则，种植乡土物种，</w:t>
            </w:r>
            <w:r>
              <w:rPr>
                <w:rFonts w:hint="eastAsia"/>
                <w:color w:val="auto"/>
                <w:kern w:val="0"/>
                <w:sz w:val="24"/>
                <w:lang w:val="en-US" w:eastAsia="zh-CN" w:bidi="ar"/>
              </w:rPr>
              <w:t>本项目占地</w:t>
            </w:r>
            <w:r>
              <w:rPr>
                <w:rFonts w:hint="eastAsia"/>
                <w:color w:val="auto"/>
                <w:kern w:val="0"/>
                <w:sz w:val="24"/>
                <w:highlight w:val="none"/>
                <w:lang w:val="en-US" w:eastAsia="zh-CN" w:bidi="ar"/>
              </w:rPr>
              <w:t>类型主要为其他草地、灌木林地、其他林地和交通运输用地，保证其类型不更改，</w:t>
            </w:r>
            <w:r>
              <w:rPr>
                <w:rFonts w:hint="default"/>
                <w:color w:val="auto"/>
                <w:kern w:val="0"/>
                <w:sz w:val="24"/>
                <w:lang w:bidi="ar"/>
              </w:rPr>
              <w:t>并注重乔、灌、草、层间植物有机搭配，禁止引入外来物种。</w:t>
            </w:r>
          </w:p>
        </w:tc>
      </w:tr>
      <w:tr w14:paraId="294F5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4" w:hRule="atLeast"/>
          <w:jc w:val="center"/>
        </w:trPr>
        <w:tc>
          <w:tcPr>
            <w:tcW w:w="166" w:type="pct"/>
            <w:tcMar>
              <w:left w:w="28" w:type="dxa"/>
              <w:right w:w="28" w:type="dxa"/>
            </w:tcMar>
            <w:vAlign w:val="center"/>
          </w:tcPr>
          <w:p w14:paraId="4145A7BB">
            <w:pPr>
              <w:pStyle w:val="40"/>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r>
              <w:rPr>
                <w:rFonts w:hint="default" w:ascii="Times New Roman" w:hAnsi="Times New Roman"/>
                <w:bCs/>
                <w:color w:val="auto"/>
                <w:kern w:val="2"/>
                <w:highlight w:val="none"/>
                <w:shd w:val="clear" w:color="auto" w:fill="auto"/>
              </w:rPr>
              <w:t>选址选线环境合理性分析</w:t>
            </w:r>
          </w:p>
        </w:tc>
        <w:tc>
          <w:tcPr>
            <w:tcW w:w="4833" w:type="pct"/>
          </w:tcPr>
          <w:p w14:paraId="64CCEE6F">
            <w:pPr>
              <w:pStyle w:val="76"/>
              <w:keepNext w:val="0"/>
              <w:keepLines w:val="0"/>
              <w:suppressLineNumbers w:val="0"/>
              <w:shd w:val="clear"/>
              <w:adjustRightInd w:val="0"/>
              <w:snapToGrid w:val="0"/>
              <w:spacing w:before="0" w:beforeAutospacing="0" w:after="0" w:afterAutospacing="0"/>
              <w:ind w:left="0" w:right="0" w:firstLine="482"/>
              <w:rPr>
                <w:rFonts w:hint="default" w:eastAsia="宋体"/>
                <w:b/>
                <w:bCs/>
                <w:color w:val="auto"/>
                <w:szCs w:val="24"/>
                <w:highlight w:val="none"/>
                <w:shd w:val="clear" w:color="auto" w:fill="auto"/>
              </w:rPr>
            </w:pPr>
            <w:r>
              <w:rPr>
                <w:rFonts w:hint="eastAsia" w:eastAsia="宋体"/>
                <w:b/>
                <w:bCs/>
                <w:color w:val="auto"/>
                <w:szCs w:val="24"/>
                <w:highlight w:val="none"/>
                <w:shd w:val="clear" w:color="auto" w:fill="auto"/>
              </w:rPr>
              <w:t>1、工程选址合理性分析</w:t>
            </w:r>
          </w:p>
          <w:p w14:paraId="3D7DA468">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default" w:eastAsia="宋体"/>
                <w:color w:val="auto"/>
                <w:kern w:val="0"/>
                <w:szCs w:val="24"/>
                <w:highlight w:val="none"/>
                <w:shd w:val="clear" w:color="auto" w:fill="auto"/>
              </w:rPr>
              <w:t>项目所在区域年太阳水平总辐射量为</w:t>
            </w:r>
            <w:r>
              <w:rPr>
                <w:rFonts w:hint="eastAsia"/>
                <w:color w:val="auto"/>
                <w:highlight w:val="none"/>
                <w:shd w:val="clear" w:color="auto" w:fill="auto"/>
              </w:rPr>
              <w:t>5734.80</w:t>
            </w:r>
            <w:r>
              <w:rPr>
                <w:rFonts w:hint="eastAsia"/>
                <w:color w:val="auto"/>
                <w:highlight w:val="none"/>
                <w:shd w:val="clear" w:color="auto" w:fill="auto"/>
                <w:lang w:val="en-US" w:eastAsia="zh-CN"/>
              </w:rPr>
              <w:t>MJ</w:t>
            </w:r>
            <w:r>
              <w:rPr>
                <w:rFonts w:hint="eastAsia"/>
                <w:color w:val="auto"/>
                <w:highlight w:val="none"/>
                <w:shd w:val="clear" w:color="auto" w:fill="auto"/>
              </w:rPr>
              <w:t>/</w:t>
            </w:r>
            <w:r>
              <w:rPr>
                <w:rFonts w:hint="eastAsia"/>
                <w:color w:val="auto"/>
                <w:highlight w:val="none"/>
                <w:shd w:val="clear" w:color="auto" w:fill="auto"/>
                <w:lang w:val="en-US" w:eastAsia="zh-CN"/>
              </w:rPr>
              <w:t>m</w:t>
            </w:r>
            <w:r>
              <w:rPr>
                <w:rFonts w:hint="eastAsia"/>
                <w:color w:val="auto"/>
                <w:highlight w:val="none"/>
                <w:shd w:val="clear" w:color="auto" w:fill="auto"/>
                <w:vertAlign w:val="superscript"/>
                <w:lang w:val="en-US" w:eastAsia="zh-CN"/>
              </w:rPr>
              <w:t>2</w:t>
            </w:r>
            <w:r>
              <w:rPr>
                <w:rFonts w:hint="default" w:eastAsia="宋体"/>
                <w:color w:val="auto"/>
                <w:kern w:val="0"/>
                <w:szCs w:val="24"/>
                <w:highlight w:val="none"/>
                <w:shd w:val="clear" w:color="auto" w:fill="auto"/>
              </w:rPr>
              <w:t>，其太阳能资源属于很丰富地区，具备较好的工程开发条件。所在区域太阳能资源直射比HDRR为</w:t>
            </w:r>
            <w:r>
              <w:rPr>
                <w:rFonts w:hint="eastAsia" w:eastAsia="宋体"/>
                <w:color w:val="auto"/>
                <w:highlight w:val="none"/>
                <w:shd w:val="clear" w:color="auto" w:fill="auto"/>
                <w:lang w:val="en-US" w:eastAsia="zh-CN"/>
              </w:rPr>
              <w:t>0.522</w:t>
            </w:r>
            <w:r>
              <w:rPr>
                <w:rFonts w:hint="default" w:eastAsia="宋体"/>
                <w:color w:val="auto"/>
                <w:kern w:val="0"/>
                <w:szCs w:val="24"/>
                <w:highlight w:val="none"/>
                <w:shd w:val="clear" w:color="auto" w:fill="auto"/>
              </w:rPr>
              <w:t>，</w:t>
            </w:r>
            <w:r>
              <w:rPr>
                <w:rFonts w:hint="default" w:eastAsia="宋体"/>
                <w:color w:val="auto"/>
                <w:kern w:val="0"/>
                <w:szCs w:val="24"/>
              </w:rPr>
              <w:t>太阳能资源直射比等级为</w:t>
            </w:r>
            <w:r>
              <w:rPr>
                <w:rFonts w:hint="eastAsia" w:eastAsia="宋体"/>
                <w:color w:val="auto"/>
                <w:kern w:val="0"/>
                <w:szCs w:val="24"/>
                <w:lang w:val="en-US" w:eastAsia="zh-CN"/>
              </w:rPr>
              <w:t>B</w:t>
            </w:r>
            <w:r>
              <w:rPr>
                <w:rFonts w:hint="eastAsia" w:eastAsia="宋体"/>
                <w:color w:val="auto"/>
                <w:kern w:val="0"/>
                <w:szCs w:val="24"/>
              </w:rPr>
              <w:t>级，等级名称为</w:t>
            </w:r>
            <w:r>
              <w:rPr>
                <w:rFonts w:hint="eastAsia" w:eastAsia="宋体"/>
                <w:color w:val="auto"/>
                <w:kern w:val="0"/>
                <w:szCs w:val="24"/>
                <w:lang w:val="en-US" w:eastAsia="zh-CN"/>
              </w:rPr>
              <w:t>高</w:t>
            </w:r>
            <w:r>
              <w:rPr>
                <w:rFonts w:hint="default" w:eastAsia="宋体"/>
                <w:color w:val="auto"/>
                <w:kern w:val="0"/>
                <w:szCs w:val="24"/>
              </w:rPr>
              <w:t>，</w:t>
            </w:r>
            <w:r>
              <w:rPr>
                <w:rFonts w:hint="eastAsia" w:eastAsia="宋体"/>
                <w:color w:val="auto"/>
                <w:kern w:val="0"/>
                <w:szCs w:val="24"/>
              </w:rPr>
              <w:t>项目</w:t>
            </w:r>
            <w:r>
              <w:rPr>
                <w:rFonts w:hint="default" w:eastAsia="宋体"/>
                <w:color w:val="auto"/>
                <w:kern w:val="0"/>
                <w:szCs w:val="24"/>
              </w:rPr>
              <w:t>光伏电站场区日照时数为</w:t>
            </w:r>
            <w:r>
              <w:rPr>
                <w:rFonts w:hint="eastAsia" w:eastAsia="宋体" w:cs="Times New Roman"/>
                <w:color w:val="auto"/>
                <w:kern w:val="0"/>
                <w:szCs w:val="24"/>
                <w:lang w:val="en-US" w:eastAsia="zh-CN"/>
              </w:rPr>
              <w:t>2108.8</w:t>
            </w:r>
            <w:r>
              <w:rPr>
                <w:rFonts w:hint="default" w:ascii="Times New Roman" w:hAnsi="Times New Roman" w:eastAsia="宋体" w:cs="Times New Roman"/>
                <w:color w:val="auto"/>
                <w:kern w:val="0"/>
                <w:szCs w:val="24"/>
              </w:rPr>
              <w:t>h</w:t>
            </w:r>
            <w:r>
              <w:rPr>
                <w:rFonts w:hint="default" w:eastAsia="宋体"/>
                <w:color w:val="auto"/>
                <w:kern w:val="0"/>
                <w:szCs w:val="24"/>
                <w:highlight w:val="none"/>
                <w:shd w:val="clear" w:color="auto" w:fill="auto"/>
              </w:rPr>
              <w:t>。项目所在区域太阳能资源稳定度属于</w:t>
            </w:r>
            <w:r>
              <w:rPr>
                <w:rFonts w:hint="eastAsia" w:eastAsia="宋体"/>
                <w:color w:val="auto"/>
                <w:kern w:val="0"/>
                <w:szCs w:val="24"/>
                <w:highlight w:val="none"/>
                <w:shd w:val="clear" w:color="auto" w:fill="auto"/>
                <w:lang w:val="en-US" w:eastAsia="zh-CN"/>
              </w:rPr>
              <w:t>很</w:t>
            </w:r>
            <w:r>
              <w:rPr>
                <w:rFonts w:hint="default" w:eastAsia="宋体"/>
                <w:color w:val="auto"/>
                <w:kern w:val="0"/>
                <w:szCs w:val="24"/>
                <w:highlight w:val="none"/>
                <w:shd w:val="clear" w:color="auto" w:fill="auto"/>
              </w:rPr>
              <w:t>稳定级别，年内月太阳总辐射值变化平稳，有利于电能稳定输出。</w:t>
            </w:r>
            <w:r>
              <w:rPr>
                <w:rFonts w:hint="default" w:eastAsia="宋体"/>
                <w:color w:val="auto"/>
                <w:szCs w:val="24"/>
                <w:highlight w:val="none"/>
                <w:shd w:val="clear" w:color="auto" w:fill="auto"/>
              </w:rPr>
              <w:t>场区区域构造稳定性较差，但场址距活动断裂有足够的安全距离，场地处于构造相对稳定地段，适宜</w:t>
            </w:r>
            <w:r>
              <w:rPr>
                <w:rFonts w:hint="eastAsia" w:eastAsia="宋体"/>
                <w:color w:val="auto"/>
                <w:szCs w:val="24"/>
                <w:highlight w:val="none"/>
                <w:shd w:val="clear" w:color="auto" w:fill="auto"/>
              </w:rPr>
              <w:t>项目</w:t>
            </w:r>
            <w:r>
              <w:rPr>
                <w:rFonts w:hint="default" w:eastAsia="宋体"/>
                <w:color w:val="auto"/>
                <w:szCs w:val="24"/>
                <w:highlight w:val="none"/>
                <w:shd w:val="clear" w:color="auto" w:fill="auto"/>
              </w:rPr>
              <w:t>的建设。</w:t>
            </w:r>
          </w:p>
          <w:p w14:paraId="58AE7EBC">
            <w:pPr>
              <w:pStyle w:val="76"/>
              <w:keepNext w:val="0"/>
              <w:keepLines w:val="0"/>
              <w:suppressLineNumbers w:val="0"/>
              <w:shd w:val="clear"/>
              <w:adjustRightInd w:val="0"/>
              <w:snapToGrid w:val="0"/>
              <w:spacing w:before="0" w:beforeAutospacing="0" w:after="0" w:afterAutospacing="0"/>
              <w:ind w:left="0" w:right="0" w:firstLine="482"/>
              <w:jc w:val="both"/>
              <w:rPr>
                <w:rFonts w:hint="default" w:eastAsia="宋体"/>
                <w:b/>
                <w:bCs/>
                <w:color w:val="auto"/>
                <w:szCs w:val="24"/>
                <w:highlight w:val="none"/>
                <w:shd w:val="clear" w:color="auto" w:fill="auto"/>
              </w:rPr>
            </w:pPr>
            <w:r>
              <w:rPr>
                <w:rFonts w:hint="eastAsia" w:eastAsia="宋体"/>
                <w:b/>
                <w:bCs/>
                <w:color w:val="auto"/>
                <w:szCs w:val="24"/>
                <w:highlight w:val="none"/>
                <w:shd w:val="clear" w:color="auto" w:fill="auto"/>
              </w:rPr>
              <w:t>2、环境合理性分析</w:t>
            </w:r>
          </w:p>
          <w:p w14:paraId="37D890C5">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default" w:eastAsia="宋体"/>
                <w:color w:val="auto"/>
                <w:szCs w:val="24"/>
                <w:highlight w:val="none"/>
                <w:shd w:val="clear" w:color="auto" w:fill="auto"/>
              </w:rPr>
              <w:t>（1）政府部门相关意见</w:t>
            </w:r>
          </w:p>
          <w:p w14:paraId="58C03B4E">
            <w:pPr>
              <w:keepNext w:val="0"/>
              <w:keepLines w:val="0"/>
              <w:suppressLineNumbers w:val="0"/>
              <w:shd w:val="clear"/>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本项目在选址过程中，征求了项目所在地</w:t>
            </w:r>
            <w:r>
              <w:rPr>
                <w:rFonts w:hint="eastAsia"/>
                <w:color w:val="auto"/>
                <w:kern w:val="0"/>
                <w:sz w:val="24"/>
                <w:highlight w:val="none"/>
                <w:shd w:val="clear" w:color="auto" w:fill="auto"/>
                <w:lang w:val="en-US" w:eastAsia="zh-CN"/>
              </w:rPr>
              <w:t>相关</w:t>
            </w:r>
            <w:r>
              <w:rPr>
                <w:rFonts w:hint="eastAsia"/>
                <w:color w:val="auto"/>
                <w:kern w:val="0"/>
                <w:sz w:val="24"/>
                <w:highlight w:val="none"/>
                <w:shd w:val="clear" w:color="auto" w:fill="auto"/>
              </w:rPr>
              <w:t>政府部门意见，意见</w:t>
            </w:r>
            <w:r>
              <w:rPr>
                <w:rFonts w:hint="eastAsia"/>
                <w:color w:val="auto"/>
                <w:kern w:val="0"/>
                <w:sz w:val="24"/>
                <w:highlight w:val="none"/>
                <w:shd w:val="clear" w:color="auto" w:fill="auto"/>
                <w:lang w:val="en-US" w:eastAsia="zh-CN"/>
              </w:rPr>
              <w:t>符合性</w:t>
            </w:r>
            <w:r>
              <w:rPr>
                <w:rFonts w:hint="eastAsia"/>
                <w:color w:val="auto"/>
                <w:kern w:val="0"/>
                <w:sz w:val="24"/>
                <w:highlight w:val="none"/>
                <w:shd w:val="clear" w:color="auto" w:fill="auto"/>
              </w:rPr>
              <w:t>详见表</w:t>
            </w:r>
            <w:r>
              <w:rPr>
                <w:rFonts w:hint="eastAsia"/>
                <w:color w:val="auto"/>
                <w:kern w:val="0"/>
                <w:sz w:val="24"/>
                <w:highlight w:val="none"/>
                <w:shd w:val="clear" w:color="auto" w:fill="auto"/>
                <w:lang w:val="en-US" w:eastAsia="zh-CN"/>
              </w:rPr>
              <w:t>4</w:t>
            </w:r>
            <w:r>
              <w:rPr>
                <w:rFonts w:hint="eastAsia"/>
                <w:color w:val="auto"/>
                <w:kern w:val="0"/>
                <w:sz w:val="24"/>
                <w:highlight w:val="none"/>
                <w:shd w:val="clear" w:color="auto" w:fill="auto"/>
              </w:rPr>
              <w:t>-</w:t>
            </w:r>
            <w:r>
              <w:rPr>
                <w:rFonts w:hint="eastAsia"/>
                <w:color w:val="auto"/>
                <w:kern w:val="0"/>
                <w:sz w:val="24"/>
                <w:highlight w:val="none"/>
                <w:shd w:val="clear" w:color="auto" w:fill="auto"/>
                <w:lang w:val="en-US" w:eastAsia="zh-CN"/>
              </w:rPr>
              <w:t>18</w:t>
            </w:r>
            <w:r>
              <w:rPr>
                <w:rFonts w:hint="eastAsia"/>
                <w:color w:val="auto"/>
                <w:kern w:val="0"/>
                <w:sz w:val="24"/>
                <w:highlight w:val="none"/>
                <w:shd w:val="clear" w:color="auto" w:fill="auto"/>
              </w:rPr>
              <w:t>。</w:t>
            </w:r>
          </w:p>
          <w:p w14:paraId="5651D4C3">
            <w:pPr>
              <w:keepNext w:val="0"/>
              <w:keepLines w:val="0"/>
              <w:suppressLineNumbers w:val="0"/>
              <w:shd w:val="clear"/>
              <w:adjustRightInd w:val="0"/>
              <w:snapToGrid w:val="0"/>
              <w:spacing w:before="0" w:beforeAutospacing="0" w:after="0" w:afterAutospacing="0"/>
              <w:ind w:left="0" w:right="0"/>
              <w:jc w:val="center"/>
              <w:rPr>
                <w:rFonts w:hint="default" w:eastAsia="宋体"/>
                <w:b/>
                <w:color w:val="auto"/>
                <w:kern w:val="0"/>
                <w:szCs w:val="21"/>
                <w:highlight w:val="none"/>
                <w:shd w:val="clear" w:color="auto" w:fill="auto"/>
                <w:lang w:val="en-US" w:eastAsia="zh-CN"/>
              </w:rPr>
            </w:pPr>
            <w:r>
              <w:rPr>
                <w:rFonts w:hint="eastAsia"/>
                <w:b/>
                <w:bCs/>
                <w:color w:val="auto"/>
                <w:kern w:val="0"/>
                <w:szCs w:val="21"/>
                <w:highlight w:val="none"/>
                <w:shd w:val="clear" w:color="auto" w:fill="auto"/>
              </w:rPr>
              <w:t>表</w:t>
            </w:r>
            <w:r>
              <w:rPr>
                <w:rFonts w:hint="eastAsia"/>
                <w:b/>
                <w:bCs/>
                <w:color w:val="auto"/>
                <w:kern w:val="0"/>
                <w:szCs w:val="21"/>
                <w:highlight w:val="none"/>
                <w:shd w:val="clear" w:color="auto" w:fill="auto"/>
                <w:lang w:val="en-US" w:eastAsia="zh-CN"/>
              </w:rPr>
              <w:t>4</w:t>
            </w:r>
            <w:r>
              <w:rPr>
                <w:rFonts w:hint="eastAsia"/>
                <w:b/>
                <w:bCs/>
                <w:color w:val="auto"/>
                <w:kern w:val="0"/>
                <w:szCs w:val="21"/>
                <w:highlight w:val="none"/>
                <w:shd w:val="clear" w:color="auto" w:fill="auto"/>
              </w:rPr>
              <w:t>-</w:t>
            </w:r>
            <w:r>
              <w:rPr>
                <w:rFonts w:hint="eastAsia"/>
                <w:b/>
                <w:bCs/>
                <w:color w:val="auto"/>
                <w:kern w:val="0"/>
                <w:szCs w:val="21"/>
                <w:highlight w:val="none"/>
                <w:shd w:val="clear" w:color="auto" w:fill="auto"/>
                <w:lang w:val="en-US" w:eastAsia="zh-CN"/>
              </w:rPr>
              <w:t>18</w:t>
            </w:r>
            <w:r>
              <w:rPr>
                <w:rFonts w:hint="eastAsia"/>
                <w:b/>
                <w:bCs/>
                <w:color w:val="auto"/>
                <w:kern w:val="0"/>
                <w:szCs w:val="21"/>
                <w:highlight w:val="none"/>
                <w:shd w:val="clear" w:color="auto" w:fill="auto"/>
              </w:rPr>
              <w:t xml:space="preserve">  </w:t>
            </w:r>
            <w:r>
              <w:rPr>
                <w:rFonts w:hint="eastAsia"/>
                <w:b/>
                <w:bCs/>
                <w:color w:val="auto"/>
                <w:kern w:val="0"/>
                <w:szCs w:val="21"/>
                <w:highlight w:val="none"/>
                <w:shd w:val="clear" w:color="auto" w:fill="auto"/>
                <w:lang w:val="en-US" w:eastAsia="zh-CN"/>
              </w:rPr>
              <w:t>与相关部门</w:t>
            </w:r>
            <w:r>
              <w:rPr>
                <w:rFonts w:hint="eastAsia"/>
                <w:b/>
                <w:bCs/>
                <w:color w:val="auto"/>
                <w:kern w:val="0"/>
                <w:szCs w:val="21"/>
                <w:highlight w:val="none"/>
                <w:shd w:val="clear" w:color="auto" w:fill="auto"/>
              </w:rPr>
              <w:t>意见</w:t>
            </w:r>
            <w:r>
              <w:rPr>
                <w:rFonts w:hint="eastAsia"/>
                <w:b/>
                <w:bCs/>
                <w:color w:val="auto"/>
                <w:kern w:val="0"/>
                <w:szCs w:val="21"/>
                <w:highlight w:val="none"/>
                <w:shd w:val="clear" w:color="auto" w:fill="auto"/>
                <w:lang w:val="en-US" w:eastAsia="zh-CN"/>
              </w:rPr>
              <w:t>符合性分析</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914"/>
              <w:gridCol w:w="3009"/>
              <w:gridCol w:w="3527"/>
            </w:tblGrid>
            <w:tr w14:paraId="5BEB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Align w:val="center"/>
                </w:tcPr>
                <w:p w14:paraId="26CF1356">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rPr>
                    <w:t>序号</w:t>
                  </w:r>
                </w:p>
              </w:tc>
              <w:tc>
                <w:tcPr>
                  <w:tcW w:w="576" w:type="pct"/>
                  <w:vAlign w:val="center"/>
                </w:tcPr>
                <w:p w14:paraId="6F869735">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lang w:val="en-US" w:eastAsia="zh-CN"/>
                    </w:rPr>
                    <w:t>相关</w:t>
                  </w:r>
                  <w:r>
                    <w:rPr>
                      <w:rFonts w:hint="eastAsia"/>
                      <w:b/>
                      <w:bCs/>
                      <w:color w:val="auto"/>
                      <w:spacing w:val="0"/>
                      <w:szCs w:val="21"/>
                      <w:highlight w:val="none"/>
                      <w:shd w:val="clear" w:color="auto" w:fill="auto"/>
                    </w:rPr>
                    <w:t>单位</w:t>
                  </w:r>
                </w:p>
              </w:tc>
              <w:tc>
                <w:tcPr>
                  <w:tcW w:w="1896" w:type="pct"/>
                  <w:vAlign w:val="center"/>
                </w:tcPr>
                <w:p w14:paraId="5A69E154">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rPr>
                    <w:t>主要意见</w:t>
                  </w:r>
                </w:p>
              </w:tc>
              <w:tc>
                <w:tcPr>
                  <w:tcW w:w="2223" w:type="pct"/>
                  <w:vAlign w:val="center"/>
                </w:tcPr>
                <w:p w14:paraId="6B67B0F4">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
                      <w:bCs/>
                      <w:color w:val="auto"/>
                      <w:spacing w:val="0"/>
                      <w:szCs w:val="21"/>
                      <w:highlight w:val="none"/>
                      <w:shd w:val="clear" w:color="auto" w:fill="auto"/>
                      <w:lang w:eastAsia="zh-CN"/>
                    </w:rPr>
                  </w:pPr>
                  <w:r>
                    <w:rPr>
                      <w:rFonts w:hint="eastAsia"/>
                      <w:b/>
                      <w:bCs/>
                      <w:color w:val="auto"/>
                      <w:spacing w:val="0"/>
                      <w:szCs w:val="21"/>
                      <w:highlight w:val="none"/>
                      <w:shd w:val="clear" w:color="auto" w:fill="auto"/>
                      <w:lang w:val="en-US" w:eastAsia="zh-CN"/>
                    </w:rPr>
                    <w:t>符合性分析</w:t>
                  </w:r>
                </w:p>
              </w:tc>
            </w:tr>
            <w:tr w14:paraId="1118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Align w:val="center"/>
                </w:tcPr>
                <w:p w14:paraId="4E90C12B">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val="en-US" w:eastAsia="zh-CN"/>
                    </w:rPr>
                  </w:pPr>
                  <w:r>
                    <w:rPr>
                      <w:rFonts w:hint="eastAsia"/>
                      <w:bCs/>
                      <w:color w:val="auto"/>
                      <w:spacing w:val="0"/>
                      <w:szCs w:val="21"/>
                      <w:highlight w:val="none"/>
                      <w:shd w:val="clear" w:color="auto" w:fill="auto"/>
                      <w:lang w:val="en-US" w:eastAsia="zh-CN"/>
                    </w:rPr>
                    <w:t>1</w:t>
                  </w:r>
                </w:p>
              </w:tc>
              <w:tc>
                <w:tcPr>
                  <w:tcW w:w="576" w:type="pct"/>
                  <w:vAlign w:val="center"/>
                </w:tcPr>
                <w:p w14:paraId="37FBDE92">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snapToGrid w:val="0"/>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w:t>
                  </w:r>
                  <w:r>
                    <w:rPr>
                      <w:rFonts w:hint="eastAsia"/>
                      <w:snapToGrid w:val="0"/>
                      <w:color w:val="auto"/>
                      <w:spacing w:val="0"/>
                      <w:szCs w:val="21"/>
                      <w:highlight w:val="none"/>
                      <w:shd w:val="clear" w:color="auto" w:fill="auto"/>
                      <w:lang w:val="en-US" w:eastAsia="zh-CN"/>
                    </w:rPr>
                    <w:t>自然</w:t>
                  </w:r>
                  <w:r>
                    <w:rPr>
                      <w:rFonts w:hint="eastAsia"/>
                      <w:snapToGrid w:val="0"/>
                      <w:color w:val="auto"/>
                      <w:spacing w:val="0"/>
                      <w:szCs w:val="21"/>
                      <w:highlight w:val="none"/>
                      <w:shd w:val="clear" w:color="auto" w:fill="auto"/>
                      <w:lang w:eastAsia="zh-CN"/>
                    </w:rPr>
                    <w:t>资源局</w:t>
                  </w:r>
                </w:p>
              </w:tc>
              <w:tc>
                <w:tcPr>
                  <w:tcW w:w="1896" w:type="pct"/>
                  <w:vAlign w:val="center"/>
                </w:tcPr>
                <w:p w14:paraId="6C9E9BDE">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eastAsia="宋体"/>
                      <w:color w:val="auto"/>
                      <w:spacing w:val="0"/>
                      <w:sz w:val="21"/>
                      <w:szCs w:val="21"/>
                      <w:highlight w:val="none"/>
                      <w:shd w:val="clear" w:color="auto" w:fill="auto"/>
                      <w:lang w:val="en-US" w:eastAsia="zh-CN" w:bidi="he-IL"/>
                    </w:rPr>
                  </w:pPr>
                  <w:r>
                    <w:rPr>
                      <w:rFonts w:hint="eastAsia"/>
                      <w:color w:val="auto"/>
                      <w:spacing w:val="0"/>
                      <w:sz w:val="21"/>
                      <w:szCs w:val="21"/>
                      <w:highlight w:val="none"/>
                      <w:shd w:val="clear" w:color="auto" w:fill="auto"/>
                      <w:lang w:val="en-US" w:eastAsia="zh-CN" w:bidi="he-IL"/>
                    </w:rPr>
                    <w:t>一、经我局与寻甸县生态保护红线及城镇开发边界叠加核实，寻甸白石岩、石崖、梳山、竹园沟光伏项目用地范围未涉及生态保护红线，不在城镇开发边界内。</w:t>
                  </w:r>
                </w:p>
                <w:p w14:paraId="34E3F3DA">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eastAsia="宋体"/>
                      <w:color w:val="auto"/>
                      <w:spacing w:val="0"/>
                      <w:sz w:val="21"/>
                      <w:szCs w:val="21"/>
                      <w:highlight w:val="none"/>
                      <w:shd w:val="clear" w:color="auto" w:fill="auto"/>
                      <w:lang w:val="en-US" w:eastAsia="zh-CN" w:bidi="he-IL"/>
                    </w:rPr>
                  </w:pPr>
                  <w:r>
                    <w:rPr>
                      <w:rFonts w:hint="eastAsia"/>
                      <w:color w:val="auto"/>
                      <w:spacing w:val="0"/>
                      <w:sz w:val="21"/>
                      <w:szCs w:val="21"/>
                      <w:highlight w:val="none"/>
                      <w:shd w:val="clear" w:color="auto" w:fill="auto"/>
                      <w:lang w:val="en-US" w:eastAsia="zh-CN" w:bidi="he-IL"/>
                    </w:rPr>
                    <w:t>二、经我局与寻甸县永久基本农田核实处置成果叠加核实，该项目范围未涉及寻甸县永久基本农田。</w:t>
                  </w:r>
                </w:p>
              </w:tc>
              <w:tc>
                <w:tcPr>
                  <w:tcW w:w="2223" w:type="pct"/>
                  <w:vAlign w:val="center"/>
                </w:tcPr>
                <w:p w14:paraId="333423DB">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jc w:val="left"/>
                    <w:textAlignment w:val="center"/>
                    <w:rPr>
                      <w:rFonts w:hint="eastAsia"/>
                      <w:color w:val="auto"/>
                      <w:spacing w:val="0"/>
                      <w:sz w:val="21"/>
                      <w:szCs w:val="21"/>
                      <w:highlight w:val="none"/>
                      <w:shd w:val="clear" w:color="auto" w:fill="auto"/>
                    </w:rPr>
                  </w:pPr>
                  <w:r>
                    <w:rPr>
                      <w:rFonts w:hint="eastAsia" w:ascii="Times New Roman" w:hAnsi="Times New Roman" w:eastAsia="宋体" w:cs="Times New Roman"/>
                      <w:color w:val="auto"/>
                      <w:spacing w:val="0"/>
                      <w:kern w:val="0"/>
                      <w:sz w:val="21"/>
                      <w:szCs w:val="21"/>
                      <w:highlight w:val="none"/>
                      <w:shd w:val="clear" w:color="auto" w:fill="auto"/>
                      <w:lang w:val="en-US" w:eastAsia="zh-CN" w:bidi="ar"/>
                    </w:rPr>
                    <w:t>建设单位现正严格根据相关用地</w:t>
                  </w:r>
                  <w:r>
                    <w:rPr>
                      <w:rFonts w:hint="eastAsia" w:cs="Times New Roman"/>
                      <w:color w:val="auto"/>
                      <w:spacing w:val="0"/>
                      <w:kern w:val="0"/>
                      <w:sz w:val="21"/>
                      <w:szCs w:val="21"/>
                      <w:highlight w:val="none"/>
                      <w:shd w:val="clear" w:color="auto" w:fill="auto"/>
                      <w:lang w:val="en-US" w:eastAsia="zh-CN" w:bidi="ar"/>
                    </w:rPr>
                    <w:t>法律法规</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要求按照程序办理使用手续</w:t>
                  </w:r>
                  <w:r>
                    <w:rPr>
                      <w:rFonts w:hint="eastAsia" w:cs="Times New Roman"/>
                      <w:color w:val="auto"/>
                      <w:spacing w:val="0"/>
                      <w:kern w:val="0"/>
                      <w:sz w:val="21"/>
                      <w:szCs w:val="21"/>
                      <w:highlight w:val="none"/>
                      <w:shd w:val="clear" w:color="auto" w:fill="auto"/>
                      <w:lang w:val="en-US" w:eastAsia="zh-CN" w:bidi="ar"/>
                    </w:rPr>
                    <w:t>，</w:t>
                  </w:r>
                  <w:r>
                    <w:rPr>
                      <w:rFonts w:hint="eastAsia"/>
                      <w:color w:val="auto"/>
                      <w:spacing w:val="0"/>
                      <w:kern w:val="0"/>
                      <w:szCs w:val="21"/>
                      <w:highlight w:val="none"/>
                      <w:shd w:val="clear" w:color="auto" w:fill="auto"/>
                      <w:lang w:val="en-US" w:eastAsia="zh-CN"/>
                    </w:rPr>
                    <w:t>还未开工建设，</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因此，项目建设符合</w:t>
                  </w:r>
                  <w:r>
                    <w:rPr>
                      <w:rFonts w:hint="eastAsia"/>
                      <w:snapToGrid w:val="0"/>
                      <w:color w:val="auto"/>
                      <w:spacing w:val="0"/>
                      <w:szCs w:val="21"/>
                      <w:highlight w:val="none"/>
                      <w:shd w:val="clear" w:color="auto" w:fill="auto"/>
                      <w:lang w:eastAsia="zh-CN"/>
                    </w:rPr>
                    <w:t>寻甸回族彝族自治县</w:t>
                  </w:r>
                  <w:r>
                    <w:rPr>
                      <w:rFonts w:hint="eastAsia"/>
                      <w:snapToGrid w:val="0"/>
                      <w:color w:val="auto"/>
                      <w:spacing w:val="0"/>
                      <w:szCs w:val="21"/>
                      <w:highlight w:val="none"/>
                      <w:shd w:val="clear" w:color="auto" w:fill="auto"/>
                      <w:lang w:val="en-US" w:eastAsia="zh-CN"/>
                    </w:rPr>
                    <w:t>自</w:t>
                  </w:r>
                  <w:r>
                    <w:rPr>
                      <w:rFonts w:hint="eastAsia"/>
                      <w:snapToGrid w:val="0"/>
                      <w:color w:val="auto"/>
                      <w:spacing w:val="0"/>
                      <w:szCs w:val="21"/>
                      <w:highlight w:val="none"/>
                      <w:shd w:val="clear" w:color="auto" w:fill="auto"/>
                      <w:lang w:eastAsia="zh-CN"/>
                    </w:rPr>
                    <w:t>然资源局</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意见要求。</w:t>
                  </w:r>
                </w:p>
              </w:tc>
            </w:tr>
            <w:tr w14:paraId="4FE9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vAlign w:val="center"/>
                </w:tcPr>
                <w:p w14:paraId="2507891F">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2</w:t>
                  </w:r>
                </w:p>
              </w:tc>
              <w:tc>
                <w:tcPr>
                  <w:tcW w:w="576" w:type="pct"/>
                  <w:vAlign w:val="center"/>
                </w:tcPr>
                <w:p w14:paraId="7DCA664C">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w:t>
                  </w:r>
                  <w:r>
                    <w:rPr>
                      <w:rFonts w:hint="eastAsia"/>
                      <w:snapToGrid w:val="0"/>
                      <w:color w:val="auto"/>
                      <w:spacing w:val="0"/>
                      <w:szCs w:val="21"/>
                      <w:highlight w:val="none"/>
                      <w:shd w:val="clear" w:color="auto" w:fill="auto"/>
                    </w:rPr>
                    <w:t>林业和草原局</w:t>
                  </w:r>
                </w:p>
              </w:tc>
              <w:tc>
                <w:tcPr>
                  <w:tcW w:w="1896" w:type="pct"/>
                  <w:vAlign w:val="center"/>
                </w:tcPr>
                <w:p w14:paraId="7762AD7A">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eastAsia"/>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项目选址范围涉及寻甸县境内的林、草地，经比对现行林草资料，选址地块不涉及国家公园、各级自然保护区、森林公园风景名胜区、草原公园、自然保护地等敏感因素，项目选址符合现行林草规划。</w:t>
                  </w:r>
                </w:p>
                <w:p w14:paraId="64764C30">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color w:val="auto"/>
                      <w:spacing w:val="0"/>
                      <w:szCs w:val="21"/>
                      <w:highlight w:val="yellow"/>
                      <w:shd w:val="clear" w:color="auto" w:fill="auto"/>
                      <w:lang w:bidi="he-IL"/>
                    </w:rPr>
                  </w:pPr>
                  <w:r>
                    <w:rPr>
                      <w:rFonts w:hint="eastAsia"/>
                      <w:color w:val="auto"/>
                      <w:spacing w:val="0"/>
                      <w:szCs w:val="21"/>
                      <w:highlight w:val="none"/>
                      <w:shd w:val="clear" w:color="auto" w:fill="auto"/>
                      <w:lang w:bidi="he-IL"/>
                    </w:rPr>
                    <w:t>后续实施过程中，必须严格根据现地调查情况及最新林草资料，依法办理用林用草手续后方可开工建设。</w:t>
                  </w:r>
                </w:p>
              </w:tc>
              <w:tc>
                <w:tcPr>
                  <w:tcW w:w="2223" w:type="pct"/>
                  <w:vAlign w:val="center"/>
                </w:tcPr>
                <w:p w14:paraId="0878FD80">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left"/>
                    <w:textAlignment w:val="center"/>
                    <w:rPr>
                      <w:rFonts w:hint="default"/>
                      <w:color w:val="auto"/>
                      <w:spacing w:val="0"/>
                      <w:szCs w:val="21"/>
                      <w:highlight w:val="yellow"/>
                      <w:shd w:val="clear" w:color="auto" w:fill="auto"/>
                      <w:lang w:bidi="he-IL"/>
                    </w:rPr>
                  </w:pPr>
                  <w:r>
                    <w:rPr>
                      <w:rFonts w:hint="eastAsia"/>
                      <w:color w:val="auto"/>
                      <w:kern w:val="0"/>
                      <w:szCs w:val="21"/>
                      <w:highlight w:val="none"/>
                    </w:rPr>
                    <w:t>建设单位现正严格根据相关林草</w:t>
                  </w:r>
                  <w:r>
                    <w:rPr>
                      <w:rFonts w:hint="eastAsia"/>
                      <w:color w:val="auto"/>
                      <w:kern w:val="0"/>
                      <w:szCs w:val="21"/>
                      <w:highlight w:val="none"/>
                      <w:lang w:eastAsia="zh-CN"/>
                    </w:rPr>
                    <w:t>法律法规</w:t>
                  </w:r>
                  <w:r>
                    <w:rPr>
                      <w:rFonts w:hint="eastAsia"/>
                      <w:color w:val="auto"/>
                      <w:kern w:val="0"/>
                      <w:szCs w:val="21"/>
                      <w:highlight w:val="none"/>
                    </w:rPr>
                    <w:t>要求按照程序办理使用手续，</w:t>
                  </w:r>
                  <w:r>
                    <w:rPr>
                      <w:rFonts w:hint="eastAsia"/>
                      <w:color w:val="auto"/>
                      <w:kern w:val="0"/>
                      <w:szCs w:val="21"/>
                      <w:highlight w:val="none"/>
                      <w:lang w:val="en-US" w:eastAsia="zh-CN"/>
                    </w:rPr>
                    <w:t>建设单位承诺在取得</w:t>
                  </w:r>
                  <w:r>
                    <w:rPr>
                      <w:rFonts w:hint="eastAsia"/>
                      <w:color w:val="auto"/>
                      <w:spacing w:val="0"/>
                      <w:szCs w:val="21"/>
                      <w:highlight w:val="none"/>
                      <w:shd w:val="clear" w:color="auto" w:fill="auto"/>
                      <w:lang w:bidi="he-IL"/>
                    </w:rPr>
                    <w:t>用林用草手续后</w:t>
                  </w:r>
                  <w:r>
                    <w:rPr>
                      <w:rFonts w:hint="eastAsia"/>
                      <w:color w:val="auto"/>
                      <w:spacing w:val="0"/>
                      <w:szCs w:val="21"/>
                      <w:highlight w:val="none"/>
                      <w:shd w:val="clear" w:color="auto" w:fill="auto"/>
                      <w:lang w:val="en-US" w:eastAsia="zh-CN" w:bidi="he-IL"/>
                    </w:rPr>
                    <w:t>再</w:t>
                  </w:r>
                  <w:r>
                    <w:rPr>
                      <w:rFonts w:hint="eastAsia"/>
                      <w:color w:val="auto"/>
                      <w:spacing w:val="0"/>
                      <w:szCs w:val="21"/>
                      <w:highlight w:val="none"/>
                      <w:shd w:val="clear" w:color="auto" w:fill="auto"/>
                      <w:lang w:bidi="he-IL"/>
                    </w:rPr>
                    <w:t>开工建设</w:t>
                  </w:r>
                  <w:r>
                    <w:rPr>
                      <w:rFonts w:hint="eastAsia"/>
                      <w:color w:val="auto"/>
                      <w:spacing w:val="0"/>
                      <w:szCs w:val="21"/>
                      <w:highlight w:val="none"/>
                      <w:shd w:val="clear" w:color="auto" w:fill="auto"/>
                      <w:lang w:eastAsia="zh-CN" w:bidi="he-IL"/>
                    </w:rPr>
                    <w:t>，</w:t>
                  </w:r>
                  <w:r>
                    <w:rPr>
                      <w:rFonts w:hint="eastAsia"/>
                      <w:color w:val="auto"/>
                      <w:kern w:val="0"/>
                      <w:szCs w:val="21"/>
                      <w:highlight w:val="none"/>
                    </w:rPr>
                    <w:t>因此项目建设符合</w:t>
                  </w:r>
                  <w:r>
                    <w:rPr>
                      <w:rFonts w:hint="eastAsia"/>
                      <w:color w:val="auto"/>
                      <w:kern w:val="0"/>
                      <w:szCs w:val="21"/>
                      <w:highlight w:val="none"/>
                      <w:lang w:eastAsia="zh-CN"/>
                    </w:rPr>
                    <w:t>寻甸</w:t>
                  </w:r>
                  <w:r>
                    <w:rPr>
                      <w:rFonts w:hint="eastAsia"/>
                      <w:color w:val="auto"/>
                      <w:kern w:val="0"/>
                      <w:szCs w:val="21"/>
                      <w:highlight w:val="none"/>
                    </w:rPr>
                    <w:t>县林业和草原局意见要求。</w:t>
                  </w:r>
                </w:p>
              </w:tc>
            </w:tr>
            <w:tr w14:paraId="1F5F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vAlign w:val="center"/>
                </w:tcPr>
                <w:p w14:paraId="48C312C5">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3</w:t>
                  </w:r>
                </w:p>
              </w:tc>
              <w:tc>
                <w:tcPr>
                  <w:tcW w:w="576" w:type="pct"/>
                  <w:vAlign w:val="center"/>
                </w:tcPr>
                <w:p w14:paraId="47FB37FC">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寻甸回族彝族自治县水务局</w:t>
                  </w:r>
                </w:p>
              </w:tc>
              <w:tc>
                <w:tcPr>
                  <w:tcW w:w="1896" w:type="pct"/>
                  <w:vAlign w:val="center"/>
                </w:tcPr>
                <w:p w14:paraId="1B5A04B7">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color w:val="auto"/>
                      <w:spacing w:val="0"/>
                      <w:szCs w:val="21"/>
                      <w:highlight w:val="none"/>
                      <w:shd w:val="clear" w:color="auto" w:fill="auto"/>
                      <w:lang w:val="en-US" w:bidi="he-IL"/>
                    </w:rPr>
                  </w:pPr>
                  <w:r>
                    <w:rPr>
                      <w:rFonts w:hint="eastAsia"/>
                      <w:color w:val="auto"/>
                      <w:spacing w:val="0"/>
                      <w:szCs w:val="21"/>
                      <w:highlight w:val="none"/>
                      <w:shd w:val="clear" w:color="auto" w:fill="auto"/>
                      <w:lang w:val="en-US" w:eastAsia="zh-CN" w:bidi="he-IL"/>
                    </w:rPr>
                    <w:t>经查现状水源地保护区情况，项目不涉及饮用水源地保护区，项目建设应符合水土保持相关法律法规要求，水土保持方案未经审批，不得开工建设。</w:t>
                  </w:r>
                </w:p>
              </w:tc>
              <w:tc>
                <w:tcPr>
                  <w:tcW w:w="2223" w:type="pct"/>
                  <w:vAlign w:val="center"/>
                </w:tcPr>
                <w:p w14:paraId="199D1212">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现阶段，</w:t>
                  </w:r>
                  <w:r>
                    <w:rPr>
                      <w:rFonts w:hint="eastAsia"/>
                      <w:color w:val="auto"/>
                      <w:spacing w:val="-5"/>
                      <w:szCs w:val="21"/>
                      <w:lang w:bidi="he-IL"/>
                    </w:rPr>
                    <w:t>建设单位已委托</w:t>
                  </w:r>
                  <w:r>
                    <w:rPr>
                      <w:rFonts w:hint="eastAsia"/>
                      <w:color w:val="auto"/>
                      <w:spacing w:val="-5"/>
                      <w:szCs w:val="21"/>
                      <w:lang w:val="en-US" w:eastAsia="zh-CN" w:bidi="he-IL"/>
                    </w:rPr>
                    <w:t>有资质单位</w:t>
                  </w:r>
                  <w:r>
                    <w:rPr>
                      <w:rFonts w:hint="eastAsia"/>
                      <w:color w:val="auto"/>
                      <w:spacing w:val="-5"/>
                      <w:szCs w:val="21"/>
                      <w:lang w:bidi="he-IL"/>
                    </w:rPr>
                    <w:t>编制《</w:t>
                  </w:r>
                  <w:r>
                    <w:rPr>
                      <w:rFonts w:hint="eastAsia" w:cs="Times New Roman"/>
                      <w:color w:val="auto"/>
                      <w:spacing w:val="0"/>
                      <w:szCs w:val="21"/>
                      <w:highlight w:val="none"/>
                      <w:shd w:val="clear" w:color="auto" w:fill="auto"/>
                      <w:lang w:val="en-US" w:eastAsia="zh-CN" w:bidi="he-IL"/>
                    </w:rPr>
                    <w:t>白石岩光伏发电项目</w:t>
                  </w:r>
                  <w:r>
                    <w:rPr>
                      <w:rFonts w:hint="eastAsia"/>
                      <w:color w:val="auto"/>
                      <w:spacing w:val="-5"/>
                      <w:szCs w:val="21"/>
                      <w:lang w:bidi="he-IL"/>
                    </w:rPr>
                    <w:t>水土保持方案报告书》，并按相关程序正在办理审批手续。</w:t>
                  </w:r>
                  <w:r>
                    <w:rPr>
                      <w:rFonts w:hint="eastAsia"/>
                      <w:color w:val="auto"/>
                      <w:spacing w:val="0"/>
                      <w:szCs w:val="21"/>
                      <w:highlight w:val="none"/>
                      <w:shd w:val="clear" w:color="auto" w:fill="auto"/>
                      <w:lang w:bidi="he-IL"/>
                    </w:rPr>
                    <w:t>建设单位将严格按照水保措施要求进行项目的建设和运行，履行水土流失治理义务。因此项目建设符合</w:t>
                  </w:r>
                  <w:r>
                    <w:rPr>
                      <w:rFonts w:hint="eastAsia"/>
                      <w:snapToGrid w:val="0"/>
                      <w:color w:val="auto"/>
                      <w:spacing w:val="0"/>
                      <w:szCs w:val="21"/>
                      <w:highlight w:val="none"/>
                      <w:shd w:val="clear" w:color="auto" w:fill="auto"/>
                      <w:lang w:eastAsia="zh-CN"/>
                    </w:rPr>
                    <w:t>寻甸回族彝族自治县水务局</w:t>
                  </w:r>
                  <w:r>
                    <w:rPr>
                      <w:rFonts w:hint="eastAsia"/>
                      <w:color w:val="auto"/>
                      <w:spacing w:val="0"/>
                      <w:szCs w:val="21"/>
                      <w:highlight w:val="none"/>
                      <w:shd w:val="clear" w:color="auto" w:fill="auto"/>
                      <w:lang w:bidi="he-IL"/>
                    </w:rPr>
                    <w:t>意见要求。</w:t>
                  </w:r>
                </w:p>
              </w:tc>
            </w:tr>
            <w:tr w14:paraId="75C3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jc w:val="center"/>
              </w:trPr>
              <w:tc>
                <w:tcPr>
                  <w:tcW w:w="303" w:type="pct"/>
                  <w:vAlign w:val="center"/>
                </w:tcPr>
                <w:p w14:paraId="06BDFCCD">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4</w:t>
                  </w:r>
                </w:p>
              </w:tc>
              <w:tc>
                <w:tcPr>
                  <w:tcW w:w="576" w:type="pct"/>
                  <w:vAlign w:val="center"/>
                </w:tcPr>
                <w:p w14:paraId="7253BC03">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寻甸回族彝族自治县文化和旅游局</w:t>
                  </w:r>
                </w:p>
              </w:tc>
              <w:tc>
                <w:tcPr>
                  <w:tcW w:w="1896" w:type="pct"/>
                  <w:vAlign w:val="center"/>
                </w:tcPr>
                <w:p w14:paraId="6B0E4C40">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eastAsia"/>
                      <w:color w:val="auto"/>
                      <w:spacing w:val="0"/>
                      <w:szCs w:val="21"/>
                      <w:highlight w:val="none"/>
                      <w:shd w:val="clear" w:color="auto" w:fill="auto"/>
                      <w:lang w:val="en-US" w:eastAsia="zh-CN" w:bidi="he-IL"/>
                    </w:rPr>
                  </w:pPr>
                  <w:r>
                    <w:rPr>
                      <w:rFonts w:hint="eastAsia"/>
                      <w:color w:val="auto"/>
                      <w:spacing w:val="0"/>
                      <w:szCs w:val="21"/>
                      <w:highlight w:val="none"/>
                      <w:shd w:val="clear" w:color="auto" w:fill="auto"/>
                      <w:lang w:val="en-US" w:eastAsia="zh-CN" w:bidi="he-IL"/>
                    </w:rPr>
                    <w:t>1.针对附件所报选址范围，我局无意见。</w:t>
                  </w:r>
                </w:p>
                <w:p w14:paraId="67CFF961">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eastAsia"/>
                      <w:color w:val="auto"/>
                      <w:spacing w:val="0"/>
                      <w:szCs w:val="21"/>
                      <w:highlight w:val="none"/>
                      <w:shd w:val="clear" w:color="auto" w:fill="auto"/>
                      <w:lang w:val="en-US" w:eastAsia="zh-CN" w:bidi="he-IL"/>
                    </w:rPr>
                  </w:pPr>
                  <w:r>
                    <w:rPr>
                      <w:rFonts w:hint="eastAsia"/>
                      <w:color w:val="auto"/>
                      <w:spacing w:val="0"/>
                      <w:szCs w:val="21"/>
                      <w:highlight w:val="none"/>
                      <w:shd w:val="clear" w:color="auto" w:fill="auto"/>
                      <w:lang w:val="en-US" w:eastAsia="zh-CN" w:bidi="he-IL"/>
                    </w:rPr>
                    <w:t xml:space="preserve">2.如选址范围有变动，项目建设方须第一时间向县级文物主管部门报告，按程序开展选址范围核查、文物踏勘等工作。  </w:t>
                  </w:r>
                </w:p>
                <w:p w14:paraId="5F3B0203">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val="en-US" w:eastAsia="zh-CN" w:bidi="he-IL"/>
                    </w:rPr>
                    <w:t>3.请严格按照相关要求开展施工，在施工过程中如发现文物，须立即停止工程作业，且第一时间报县级文物主管部门，按程序处理。</w:t>
                  </w:r>
                </w:p>
              </w:tc>
              <w:tc>
                <w:tcPr>
                  <w:tcW w:w="2223" w:type="pct"/>
                  <w:vAlign w:val="center"/>
                </w:tcPr>
                <w:p w14:paraId="5E571BA5">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right="0" w:rightChars="0"/>
                    <w:jc w:val="both"/>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根据意见和现场调查情况，项目所在区域不属于国家或省级规定的文物保护地，也</w:t>
                  </w:r>
                  <w:r>
                    <w:rPr>
                      <w:rFonts w:hint="eastAsia"/>
                      <w:color w:val="auto"/>
                      <w:spacing w:val="0"/>
                      <w:szCs w:val="21"/>
                      <w:highlight w:val="none"/>
                      <w:shd w:val="clear" w:color="auto" w:fill="auto"/>
                      <w:lang w:val="en-US" w:eastAsia="zh-CN" w:bidi="he-IL"/>
                    </w:rPr>
                    <w:t>未</w:t>
                  </w:r>
                  <w:r>
                    <w:rPr>
                      <w:rFonts w:hint="eastAsia"/>
                      <w:color w:val="auto"/>
                      <w:spacing w:val="0"/>
                      <w:szCs w:val="21"/>
                      <w:highlight w:val="none"/>
                      <w:shd w:val="clear" w:color="auto" w:fill="auto"/>
                      <w:lang w:bidi="he-IL"/>
                    </w:rPr>
                    <w:t>发现地表文物。同时项目正根据国家及地方相关规定依法办理相关建设审批手续</w:t>
                  </w:r>
                  <w:r>
                    <w:rPr>
                      <w:rFonts w:hint="eastAsia"/>
                      <w:color w:val="auto"/>
                      <w:spacing w:val="0"/>
                      <w:szCs w:val="21"/>
                      <w:highlight w:val="none"/>
                      <w:shd w:val="clear" w:color="auto" w:fill="auto"/>
                      <w:lang w:eastAsia="zh-CN" w:bidi="he-IL"/>
                    </w:rPr>
                    <w:t>。</w:t>
                  </w:r>
                  <w:r>
                    <w:rPr>
                      <w:rFonts w:hint="eastAsia"/>
                      <w:color w:val="auto"/>
                      <w:spacing w:val="0"/>
                      <w:szCs w:val="21"/>
                      <w:highlight w:val="none"/>
                      <w:shd w:val="clear" w:color="auto" w:fill="auto"/>
                      <w:lang w:bidi="he-IL"/>
                    </w:rPr>
                    <w:t>建设单位承诺在施工过程中，若发现文物线索后立即停工，及时报告文物部门前往处理后再复工。综上，项目建设符合</w:t>
                  </w:r>
                  <w:r>
                    <w:rPr>
                      <w:rFonts w:hint="eastAsia"/>
                      <w:snapToGrid w:val="0"/>
                      <w:color w:val="auto"/>
                      <w:spacing w:val="0"/>
                      <w:szCs w:val="21"/>
                      <w:highlight w:val="none"/>
                      <w:shd w:val="clear" w:color="auto" w:fill="auto"/>
                      <w:lang w:eastAsia="zh-CN"/>
                    </w:rPr>
                    <w:t>寻甸回族彝族自治县文化和旅游局</w:t>
                  </w:r>
                  <w:r>
                    <w:rPr>
                      <w:rFonts w:hint="eastAsia"/>
                      <w:color w:val="auto"/>
                      <w:spacing w:val="0"/>
                      <w:szCs w:val="21"/>
                      <w:highlight w:val="none"/>
                      <w:shd w:val="clear" w:color="auto" w:fill="auto"/>
                      <w:lang w:bidi="he-IL"/>
                    </w:rPr>
                    <w:t>要求。</w:t>
                  </w:r>
                </w:p>
              </w:tc>
            </w:tr>
          </w:tbl>
          <w:p w14:paraId="7758CB77">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eastAsia" w:eastAsia="宋体"/>
                <w:color w:val="auto"/>
                <w:szCs w:val="24"/>
                <w:highlight w:val="none"/>
                <w:shd w:val="clear" w:color="auto" w:fill="auto"/>
              </w:rPr>
              <w:t>（</w:t>
            </w:r>
            <w:r>
              <w:rPr>
                <w:rFonts w:hint="eastAsia" w:eastAsia="宋体"/>
                <w:color w:val="auto"/>
                <w:szCs w:val="24"/>
                <w:highlight w:val="none"/>
                <w:shd w:val="clear" w:color="auto" w:fill="auto"/>
                <w:lang w:val="en-US" w:eastAsia="zh-CN"/>
              </w:rPr>
              <w:t>2</w:t>
            </w:r>
            <w:r>
              <w:rPr>
                <w:rFonts w:hint="default" w:eastAsia="宋体"/>
                <w:color w:val="auto"/>
                <w:szCs w:val="24"/>
                <w:highlight w:val="none"/>
                <w:shd w:val="clear" w:color="auto" w:fill="auto"/>
              </w:rPr>
              <w:t>）环境敏感性分析</w:t>
            </w:r>
          </w:p>
          <w:p w14:paraId="7D5C9504">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color w:val="auto"/>
                <w:szCs w:val="24"/>
                <w:highlight w:val="none"/>
                <w:shd w:val="clear" w:color="auto" w:fill="auto"/>
              </w:rPr>
            </w:pPr>
            <w:r>
              <w:rPr>
                <w:rFonts w:hint="default"/>
                <w:color w:val="auto"/>
                <w:kern w:val="0"/>
                <w:sz w:val="24"/>
                <w:lang w:bidi="ar"/>
              </w:rPr>
              <w:t>项目</w:t>
            </w:r>
            <w:r>
              <w:rPr>
                <w:rFonts w:hint="eastAsia"/>
                <w:color w:val="auto"/>
                <w:kern w:val="0"/>
                <w:sz w:val="24"/>
                <w:lang w:bidi="ar"/>
              </w:rPr>
              <w:t>光伏阵列、集电线路、逆变器</w:t>
            </w:r>
            <w:r>
              <w:rPr>
                <w:rFonts w:hint="eastAsia"/>
                <w:color w:val="auto"/>
                <w:kern w:val="0"/>
                <w:sz w:val="24"/>
                <w:lang w:eastAsia="zh-CN" w:bidi="ar"/>
              </w:rPr>
              <w:t>、</w:t>
            </w:r>
            <w:r>
              <w:rPr>
                <w:rFonts w:hint="eastAsia"/>
                <w:color w:val="auto"/>
                <w:kern w:val="0"/>
                <w:sz w:val="24"/>
                <w:lang w:bidi="ar"/>
              </w:rPr>
              <w:t>箱式变压器及临时施工等设施</w:t>
            </w:r>
            <w:r>
              <w:rPr>
                <w:rFonts w:hint="default"/>
                <w:color w:val="auto"/>
                <w:kern w:val="0"/>
                <w:sz w:val="24"/>
                <w:lang w:bidi="ar"/>
              </w:rPr>
              <w:t>选址充分考虑了国家和云南省相关用地政策、规划、环保要求，</w:t>
            </w:r>
            <w:r>
              <w:rPr>
                <w:rFonts w:hint="eastAsia"/>
                <w:color w:val="auto"/>
                <w:kern w:val="0"/>
                <w:sz w:val="24"/>
                <w:lang w:val="en-US" w:eastAsia="zh-CN" w:bidi="ar"/>
              </w:rPr>
              <w:t>均</w:t>
            </w:r>
            <w:r>
              <w:rPr>
                <w:rFonts w:hint="default"/>
                <w:color w:val="auto"/>
                <w:kern w:val="0"/>
                <w:sz w:val="24"/>
                <w:lang w:bidi="ar"/>
              </w:rPr>
              <w:t>避让了</w:t>
            </w:r>
            <w:r>
              <w:rPr>
                <w:rFonts w:hint="eastAsia"/>
                <w:color w:val="auto"/>
                <w:kern w:val="0"/>
                <w:sz w:val="24"/>
                <w:lang w:val="en-US" w:eastAsia="zh-CN" w:bidi="ar"/>
              </w:rPr>
              <w:t>生态保护红线、</w:t>
            </w:r>
            <w:r>
              <w:rPr>
                <w:rFonts w:hint="default"/>
                <w:color w:val="auto"/>
                <w:kern w:val="0"/>
                <w:sz w:val="24"/>
                <w:lang w:bidi="ar"/>
              </w:rPr>
              <w:t>基本农田、天然</w:t>
            </w:r>
            <w:r>
              <w:rPr>
                <w:rFonts w:hint="default" w:ascii="Times New Roman" w:hAnsi="Times New Roman" w:eastAsia="宋体" w:cs="Times New Roman"/>
                <w:color w:val="auto"/>
                <w:kern w:val="0"/>
                <w:sz w:val="24"/>
                <w:lang w:bidi="ar"/>
              </w:rPr>
              <w:t>林</w:t>
            </w:r>
            <w:r>
              <w:rPr>
                <w:rFonts w:hint="eastAsia" w:ascii="Times New Roman" w:hAnsi="Times New Roman" w:eastAsia="宋体" w:cs="Times New Roman"/>
                <w:color w:val="auto"/>
                <w:kern w:val="0"/>
                <w:sz w:val="24"/>
                <w:lang w:val="en-US" w:eastAsia="zh-CN" w:bidi="ar"/>
              </w:rPr>
              <w:t>保护重点区域</w:t>
            </w:r>
            <w:r>
              <w:rPr>
                <w:rFonts w:hint="default" w:ascii="Times New Roman" w:hAnsi="Times New Roman" w:eastAsia="宋体" w:cs="Times New Roman"/>
                <w:color w:val="auto"/>
                <w:kern w:val="0"/>
                <w:sz w:val="24"/>
                <w:lang w:bidi="ar"/>
              </w:rPr>
              <w:t>、</w:t>
            </w:r>
            <w:r>
              <w:rPr>
                <w:rFonts w:hint="default" w:ascii="Times New Roman" w:hAnsi="Times New Roman" w:eastAsia="宋体" w:cs="Times New Roman"/>
                <w:color w:val="auto"/>
                <w:kern w:val="0"/>
                <w:sz w:val="24"/>
                <w:highlight w:val="none"/>
                <w:lang w:bidi="ar"/>
              </w:rPr>
              <w:t>乔</w:t>
            </w:r>
            <w:r>
              <w:rPr>
                <w:rFonts w:hint="default"/>
                <w:color w:val="auto"/>
                <w:kern w:val="0"/>
                <w:sz w:val="24"/>
                <w:highlight w:val="none"/>
                <w:lang w:bidi="ar"/>
              </w:rPr>
              <w:t>木林地、</w:t>
            </w:r>
            <w:r>
              <w:rPr>
                <w:rFonts w:hint="default"/>
                <w:color w:val="auto"/>
                <w:kern w:val="0"/>
                <w:sz w:val="24"/>
                <w:lang w:bidi="ar"/>
              </w:rPr>
              <w:t>有林地、疏林地、未成林造林地、采伐迹地、火烧迹地、覆盖度高于50%的灌木林地，避让了自然保护区、水源保护区、风景名胜区等环境敏感区，使用的土地类型为</w:t>
            </w:r>
            <w:r>
              <w:rPr>
                <w:rFonts w:hint="eastAsia"/>
                <w:color w:val="auto"/>
                <w:kern w:val="0"/>
                <w:sz w:val="24"/>
                <w:highlight w:val="none"/>
                <w:lang w:val="en-US" w:eastAsia="zh-CN" w:bidi="ar"/>
              </w:rPr>
              <w:t>其他草地、灌木林地、其他林地和交通运输用地</w:t>
            </w:r>
            <w:r>
              <w:rPr>
                <w:rFonts w:hint="default"/>
                <w:color w:val="auto"/>
                <w:kern w:val="0"/>
                <w:sz w:val="24"/>
                <w:highlight w:val="none"/>
                <w:lang w:bidi="ar"/>
              </w:rPr>
              <w:t>。</w:t>
            </w:r>
            <w:r>
              <w:rPr>
                <w:rFonts w:hint="default"/>
                <w:color w:val="auto"/>
                <w:kern w:val="0"/>
                <w:sz w:val="24"/>
                <w:lang w:bidi="ar"/>
              </w:rPr>
              <w:t>项目避让了城市群主城范围，避让了旅游地区，没有布局在城市（城镇）面山区域，对城市群未来发展无明显直接影响。项目占地区域无珍稀濒危动植物，生态环境不敏感。</w:t>
            </w:r>
          </w:p>
          <w:p w14:paraId="1A08660B">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项目区域远离村镇居民集中区，周边大部分保护目标与项目场地距离较远。</w:t>
            </w:r>
            <w:r>
              <w:rPr>
                <w:rFonts w:hint="eastAsia"/>
                <w:color w:val="auto"/>
                <w:sz w:val="24"/>
                <w:highlight w:val="none"/>
                <w:shd w:val="clear" w:color="auto" w:fill="auto"/>
              </w:rPr>
              <w:t>光伏场区施工场界与敏感点的最近距离为</w:t>
            </w:r>
            <w:r>
              <w:rPr>
                <w:rFonts w:hint="eastAsia"/>
                <w:color w:val="auto"/>
                <w:sz w:val="24"/>
                <w:highlight w:val="none"/>
                <w:shd w:val="clear" w:color="auto" w:fill="auto"/>
                <w:lang w:val="en-US" w:eastAsia="zh-CN"/>
              </w:rPr>
              <w:t>315</w:t>
            </w:r>
            <w:r>
              <w:rPr>
                <w:rFonts w:hint="eastAsia"/>
                <w:color w:val="auto"/>
                <w:sz w:val="24"/>
                <w:highlight w:val="none"/>
                <w:shd w:val="clear" w:color="auto" w:fill="auto"/>
              </w:rPr>
              <w:t>m，施工主要是光伏支架、箱变基础浇筑及光伏组件的安装，施工周期较短，噪声源强</w:t>
            </w:r>
            <w:r>
              <w:rPr>
                <w:rFonts w:hint="eastAsia"/>
                <w:color w:val="auto"/>
                <w:sz w:val="24"/>
                <w:highlight w:val="none"/>
                <w:shd w:val="clear" w:color="auto" w:fill="auto"/>
                <w:lang w:val="en-US" w:eastAsia="zh-CN"/>
              </w:rPr>
              <w:t>小</w:t>
            </w:r>
            <w:r>
              <w:rPr>
                <w:rFonts w:hint="eastAsia"/>
                <w:color w:val="auto"/>
                <w:sz w:val="24"/>
                <w:highlight w:val="none"/>
                <w:shd w:val="clear" w:color="auto" w:fill="auto"/>
              </w:rPr>
              <w:t>，噪声影响属于间断性发生，</w:t>
            </w:r>
            <w:r>
              <w:rPr>
                <w:rFonts w:hint="eastAsia"/>
                <w:color w:val="auto"/>
                <w:sz w:val="24"/>
                <w:highlight w:val="none"/>
                <w:shd w:val="clear" w:color="auto" w:fill="auto"/>
                <w:lang w:val="en-US" w:eastAsia="zh-CN"/>
              </w:rPr>
              <w:t>在采取临时围挡等措施后</w:t>
            </w:r>
            <w:r>
              <w:rPr>
                <w:rFonts w:hint="eastAsia"/>
                <w:color w:val="auto"/>
                <w:sz w:val="24"/>
                <w:highlight w:val="none"/>
                <w:shd w:val="clear" w:color="auto" w:fill="auto"/>
              </w:rPr>
              <w:t>，项目光伏场区施工对周边环境影响可以得到减缓。项目</w:t>
            </w:r>
            <w:r>
              <w:rPr>
                <w:rFonts w:hint="eastAsia"/>
                <w:color w:val="auto"/>
                <w:kern w:val="0"/>
                <w:sz w:val="24"/>
                <w:highlight w:val="none"/>
                <w:shd w:val="clear" w:color="auto" w:fill="auto"/>
              </w:rPr>
              <w:t>建设产生的污染物很少，均得到有效管控，对周围环境影响小。</w:t>
            </w:r>
          </w:p>
          <w:p w14:paraId="73578E3B">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shd w:val="clear" w:color="auto" w:fill="auto"/>
              </w:rPr>
              <w:t>项目建设符合国家能源产业发展战略，符合我省新能源发展政策，能促进当地经济发展，有利于节能减排，是落实国家实施碳达峰、碳中和目标的具体工程，同时也符合</w:t>
            </w:r>
            <w:r>
              <w:rPr>
                <w:rFonts w:hint="eastAsia"/>
                <w:b w:val="0"/>
                <w:bCs w:val="0"/>
                <w:color w:val="auto"/>
                <w:sz w:val="24"/>
                <w:szCs w:val="24"/>
                <w:highlight w:val="none"/>
                <w:shd w:val="clear" w:color="auto" w:fill="auto"/>
              </w:rPr>
              <w:t>《</w:t>
            </w:r>
            <w:r>
              <w:rPr>
                <w:rFonts w:hint="eastAsia"/>
                <w:b w:val="0"/>
                <w:bCs w:val="0"/>
                <w:color w:val="auto"/>
                <w:sz w:val="24"/>
                <w:szCs w:val="24"/>
                <w:highlight w:val="none"/>
                <w:shd w:val="clear" w:color="auto" w:fill="auto"/>
                <w:lang w:val="en-US" w:eastAsia="zh-CN"/>
              </w:rPr>
              <w:t>云南省发展和改革委员会 云南省能源局关于印发云南省2023年第一批新能源建设方案的通知</w:t>
            </w:r>
            <w:r>
              <w:rPr>
                <w:rFonts w:hint="eastAsia"/>
                <w:b w:val="0"/>
                <w:bCs w:val="0"/>
                <w:color w:val="auto"/>
                <w:sz w:val="24"/>
                <w:szCs w:val="24"/>
                <w:highlight w:val="none"/>
                <w:shd w:val="clear" w:color="auto" w:fill="auto"/>
              </w:rPr>
              <w:t>》</w:t>
            </w:r>
            <w:r>
              <w:rPr>
                <w:rFonts w:hint="default"/>
                <w:b w:val="0"/>
                <w:bCs w:val="0"/>
                <w:color w:val="auto"/>
                <w:kern w:val="0"/>
                <w:sz w:val="24"/>
                <w:szCs w:val="24"/>
                <w:highlight w:val="none"/>
                <w:lang w:bidi="ar"/>
              </w:rPr>
              <w:t>的相关要求。因此项目建设选址合理。</w:t>
            </w:r>
          </w:p>
          <w:p w14:paraId="1E1EC2F4">
            <w:pPr>
              <w:pStyle w:val="76"/>
              <w:keepNext w:val="0"/>
              <w:keepLines w:val="0"/>
              <w:suppressLineNumbers w:val="0"/>
              <w:adjustRightInd w:val="0"/>
              <w:snapToGrid w:val="0"/>
              <w:spacing w:before="0" w:beforeAutospacing="0" w:after="0" w:afterAutospacing="0"/>
              <w:ind w:left="0" w:leftChars="0" w:right="0" w:firstLine="482" w:firstLineChars="200"/>
              <w:rPr>
                <w:rFonts w:hint="eastAsia" w:eastAsia="宋体"/>
                <w:b/>
                <w:bCs/>
                <w:color w:val="auto"/>
                <w:szCs w:val="24"/>
              </w:rPr>
            </w:pPr>
            <w:r>
              <w:rPr>
                <w:rFonts w:hint="eastAsia" w:eastAsia="宋体"/>
                <w:b/>
                <w:bCs/>
                <w:color w:val="auto"/>
                <w:szCs w:val="24"/>
                <w:lang w:val="en-US" w:eastAsia="zh-CN"/>
              </w:rPr>
              <w:t>3、</w:t>
            </w:r>
            <w:r>
              <w:rPr>
                <w:rFonts w:hint="eastAsia" w:eastAsia="宋体"/>
                <w:b/>
                <w:bCs/>
                <w:color w:val="auto"/>
                <w:szCs w:val="24"/>
              </w:rPr>
              <w:t>项目总平面布置合理性分析</w:t>
            </w:r>
          </w:p>
          <w:p w14:paraId="7E69250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eastAsia="宋体"/>
                <w:b w:val="0"/>
                <w:bCs w:val="0"/>
                <w:color w:val="auto"/>
                <w:sz w:val="24"/>
                <w:szCs w:val="24"/>
              </w:rPr>
            </w:pPr>
            <w:r>
              <w:rPr>
                <w:rFonts w:hint="eastAsia" w:eastAsia="宋体"/>
                <w:b w:val="0"/>
                <w:bCs w:val="0"/>
                <w:color w:val="auto"/>
                <w:sz w:val="24"/>
                <w:szCs w:val="24"/>
              </w:rPr>
              <w:t>根据场址总体布局规划，场址位于</w:t>
            </w:r>
            <w:r>
              <w:rPr>
                <w:rFonts w:hint="eastAsia" w:ascii="宋体" w:hAnsi="宋体" w:cs="宋体"/>
                <w:color w:val="auto"/>
                <w:kern w:val="0"/>
                <w:sz w:val="24"/>
                <w:szCs w:val="24"/>
                <w:lang w:val="en-US" w:eastAsia="zh-CN" w:bidi="ar"/>
              </w:rPr>
              <w:t>寻甸回族彝族自治县河口镇、功山镇境内</w:t>
            </w:r>
            <w:r>
              <w:rPr>
                <w:rFonts w:hint="eastAsia" w:eastAsia="宋体"/>
                <w:b w:val="0"/>
                <w:bCs w:val="0"/>
                <w:color w:val="auto"/>
                <w:sz w:val="24"/>
                <w:szCs w:val="24"/>
              </w:rPr>
              <w:t>，主要布置太阳能方阵、逆变器、35</w:t>
            </w:r>
            <w:r>
              <w:rPr>
                <w:rFonts w:hint="eastAsia" w:eastAsia="宋体"/>
                <w:b w:val="0"/>
                <w:bCs w:val="0"/>
                <w:color w:val="auto"/>
                <w:sz w:val="24"/>
                <w:szCs w:val="24"/>
                <w:lang w:val="en-US" w:eastAsia="zh-CN"/>
              </w:rPr>
              <w:t>k</w:t>
            </w:r>
            <w:r>
              <w:rPr>
                <w:rFonts w:hint="eastAsia" w:eastAsia="宋体"/>
                <w:b w:val="0"/>
                <w:bCs w:val="0"/>
                <w:color w:val="auto"/>
                <w:sz w:val="24"/>
                <w:szCs w:val="24"/>
              </w:rPr>
              <w:t>V箱式变</w:t>
            </w:r>
            <w:r>
              <w:rPr>
                <w:rFonts w:hint="eastAsia" w:eastAsia="宋体"/>
                <w:b w:val="0"/>
                <w:bCs w:val="0"/>
                <w:color w:val="auto"/>
                <w:sz w:val="24"/>
                <w:szCs w:val="24"/>
                <w:lang w:val="en-US" w:eastAsia="zh-CN"/>
              </w:rPr>
              <w:t>压器</w:t>
            </w:r>
            <w:r>
              <w:rPr>
                <w:rFonts w:hint="eastAsia" w:eastAsia="宋体"/>
                <w:b w:val="0"/>
                <w:bCs w:val="0"/>
                <w:color w:val="auto"/>
                <w:sz w:val="24"/>
                <w:szCs w:val="24"/>
              </w:rPr>
              <w:t>、施工场地等。项目功能分区明显、生产生活隔开，避免了相互干扰。场内道路从场区中间的现有乡道引接，规划时充分利用场内现有道路。光伏阵列结合用地范围和地形情况，尽量避免子方阵的长宽度差异太大进行布置，以达到用地较优、节约连接电缆、日常巡查线路较短的最佳布置方案。总体来说，项目平面布局合理。</w:t>
            </w:r>
          </w:p>
          <w:p w14:paraId="75B16BC2">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4、临时工程</w:t>
            </w:r>
            <w:r>
              <w:rPr>
                <w:rFonts w:hint="default" w:ascii="Times New Roman" w:hAnsi="Times New Roman" w:eastAsia="宋体" w:cs="Times New Roman"/>
                <w:b/>
                <w:bCs/>
                <w:color w:val="auto"/>
                <w:kern w:val="2"/>
                <w:sz w:val="24"/>
                <w:szCs w:val="24"/>
                <w:lang w:val="en-US" w:eastAsia="zh-CN" w:bidi="ar-SA"/>
              </w:rPr>
              <w:t>选址合理性分析</w:t>
            </w:r>
          </w:p>
          <w:p w14:paraId="5FB6A64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szCs w:val="24"/>
                <w:highlight w:val="none"/>
                <w:shd w:val="clear" w:color="auto" w:fill="auto"/>
              </w:rPr>
            </w:pPr>
            <w:r>
              <w:rPr>
                <w:rFonts w:hint="eastAsia"/>
                <w:bCs/>
                <w:color w:val="auto"/>
                <w:sz w:val="24"/>
                <w:szCs w:val="24"/>
                <w:highlight w:val="none"/>
                <w:shd w:val="clear" w:color="auto" w:fill="auto"/>
              </w:rPr>
              <w:t>由于本</w:t>
            </w:r>
            <w:r>
              <w:rPr>
                <w:rFonts w:hint="eastAsia"/>
                <w:bCs/>
                <w:color w:val="auto"/>
                <w:sz w:val="24"/>
                <w:szCs w:val="24"/>
                <w:highlight w:val="none"/>
                <w:shd w:val="clear" w:color="auto" w:fill="auto"/>
                <w:lang w:val="en-US" w:eastAsia="zh-CN"/>
              </w:rPr>
              <w:t>项目</w:t>
            </w:r>
            <w:r>
              <w:rPr>
                <w:rFonts w:hint="eastAsia"/>
                <w:bCs/>
                <w:color w:val="auto"/>
                <w:sz w:val="24"/>
                <w:szCs w:val="24"/>
                <w:highlight w:val="none"/>
                <w:shd w:val="clear" w:color="auto" w:fill="auto"/>
              </w:rPr>
              <w:t>工期较短，</w:t>
            </w:r>
            <w:r>
              <w:rPr>
                <w:rFonts w:hint="eastAsia"/>
                <w:bCs/>
                <w:color w:val="auto"/>
                <w:sz w:val="24"/>
                <w:szCs w:val="24"/>
                <w:highlight w:val="none"/>
                <w:shd w:val="clear" w:color="auto" w:fill="auto"/>
                <w:lang w:val="en-US" w:eastAsia="zh-CN"/>
              </w:rPr>
              <w:t>本项目设置1个施工场地，位于</w:t>
            </w:r>
            <w:r>
              <w:rPr>
                <w:rFonts w:hint="eastAsia"/>
                <w:color w:val="auto"/>
                <w:sz w:val="24"/>
                <w:szCs w:val="24"/>
                <w:highlight w:val="none"/>
              </w:rPr>
              <w:t>项目区东北地块南侧公路旁空地</w:t>
            </w:r>
            <w:r>
              <w:rPr>
                <w:rFonts w:hint="default"/>
                <w:color w:val="auto"/>
                <w:sz w:val="24"/>
                <w:szCs w:val="24"/>
                <w:highlight w:val="none"/>
              </w:rPr>
              <w:t>平缓区域</w:t>
            </w:r>
            <w:r>
              <w:rPr>
                <w:rFonts w:hint="eastAsia"/>
                <w:color w:val="auto"/>
                <w:sz w:val="24"/>
                <w:szCs w:val="24"/>
                <w:highlight w:val="none"/>
              </w:rPr>
              <w:t>内</w:t>
            </w:r>
            <w:r>
              <w:rPr>
                <w:rFonts w:hint="eastAsia"/>
                <w:bCs/>
                <w:color w:val="auto"/>
                <w:sz w:val="24"/>
                <w:szCs w:val="24"/>
                <w:highlight w:val="none"/>
                <w:shd w:val="clear" w:color="auto" w:fill="auto"/>
                <w:lang w:val="en-US" w:eastAsia="zh-CN"/>
              </w:rPr>
              <w:t>，占地面积0.25hm</w:t>
            </w:r>
            <w:r>
              <w:rPr>
                <w:rFonts w:hint="eastAsia"/>
                <w:bCs/>
                <w:color w:val="auto"/>
                <w:sz w:val="24"/>
                <w:szCs w:val="24"/>
                <w:highlight w:val="none"/>
                <w:shd w:val="clear" w:color="auto" w:fill="auto"/>
                <w:vertAlign w:val="superscript"/>
                <w:lang w:val="en-US" w:eastAsia="zh-CN"/>
              </w:rPr>
              <w:t>2</w:t>
            </w:r>
            <w:r>
              <w:rPr>
                <w:rFonts w:hint="eastAsia"/>
                <w:bCs/>
                <w:color w:val="auto"/>
                <w:sz w:val="24"/>
                <w:szCs w:val="24"/>
                <w:highlight w:val="none"/>
                <w:shd w:val="clear" w:color="auto" w:fill="auto"/>
                <w:lang w:val="en-US" w:eastAsia="zh-CN"/>
              </w:rPr>
              <w:t>，施工场地距离敏感目标最近距离</w:t>
            </w:r>
            <w:r>
              <w:rPr>
                <w:rFonts w:hint="eastAsia" w:ascii="Times New Roman" w:hAnsi="Times New Roman" w:cs="Times New Roman"/>
                <w:bCs/>
                <w:color w:val="auto"/>
                <w:sz w:val="24"/>
                <w:szCs w:val="24"/>
                <w:highlight w:val="none"/>
                <w:lang w:val="en-US" w:eastAsia="zh-CN"/>
              </w:rPr>
              <w:t>在</w:t>
            </w:r>
            <w:r>
              <w:rPr>
                <w:rFonts w:hint="eastAsia" w:cs="Times New Roman"/>
                <w:bCs/>
                <w:color w:val="auto"/>
                <w:sz w:val="24"/>
                <w:szCs w:val="24"/>
                <w:highlight w:val="none"/>
                <w:lang w:val="en-US" w:eastAsia="zh-CN"/>
              </w:rPr>
              <w:t>615</w:t>
            </w:r>
            <w:r>
              <w:rPr>
                <w:rFonts w:hint="eastAsia" w:ascii="Times New Roman" w:hAnsi="Times New Roman" w:cs="Times New Roman"/>
                <w:bCs/>
                <w:color w:val="auto"/>
                <w:sz w:val="24"/>
                <w:szCs w:val="24"/>
                <w:highlight w:val="none"/>
                <w:lang w:val="en-US" w:eastAsia="zh-CN"/>
              </w:rPr>
              <w:t>m</w:t>
            </w:r>
            <w:r>
              <w:rPr>
                <w:rFonts w:hint="eastAsia" w:cs="Times New Roman"/>
                <w:bCs/>
                <w:color w:val="auto"/>
                <w:sz w:val="24"/>
                <w:szCs w:val="24"/>
                <w:highlight w:val="none"/>
                <w:lang w:val="en-US" w:eastAsia="zh-CN"/>
              </w:rPr>
              <w:t>以外</w:t>
            </w:r>
            <w:r>
              <w:rPr>
                <w:rFonts w:hint="eastAsia"/>
                <w:bCs/>
                <w:color w:val="auto"/>
                <w:sz w:val="24"/>
                <w:szCs w:val="24"/>
                <w:highlight w:val="none"/>
                <w:shd w:val="clear" w:color="auto" w:fill="auto"/>
                <w:lang w:val="en-US" w:eastAsia="zh-CN"/>
              </w:rPr>
              <w:t>，且</w:t>
            </w:r>
            <w:r>
              <w:rPr>
                <w:rFonts w:hint="eastAsia"/>
                <w:color w:val="auto"/>
                <w:sz w:val="24"/>
                <w:szCs w:val="24"/>
                <w:highlight w:val="none"/>
                <w:lang w:val="en-US" w:eastAsia="zh-CN"/>
              </w:rPr>
              <w:t>远离河道，</w:t>
            </w:r>
            <w:r>
              <w:rPr>
                <w:rFonts w:hint="eastAsia"/>
                <w:bCs/>
                <w:color w:val="auto"/>
                <w:sz w:val="24"/>
                <w:szCs w:val="24"/>
                <w:highlight w:val="none"/>
                <w:shd w:val="clear" w:color="auto" w:fill="auto"/>
                <w:lang w:val="en-US" w:eastAsia="zh-CN"/>
              </w:rPr>
              <w:t>项目在采取相应的环保措施后，对敏感目标的影响小。</w:t>
            </w:r>
          </w:p>
          <w:p w14:paraId="4598CB5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pacing w:val="-5"/>
                <w:sz w:val="24"/>
                <w:szCs w:val="24"/>
                <w:highlight w:val="none"/>
                <w:shd w:val="clear" w:color="auto" w:fill="auto"/>
              </w:rPr>
            </w:pPr>
            <w:r>
              <w:rPr>
                <w:rFonts w:hint="eastAsia"/>
                <w:bCs/>
                <w:color w:val="auto"/>
                <w:sz w:val="24"/>
                <w:szCs w:val="24"/>
                <w:highlight w:val="none"/>
                <w:shd w:val="clear" w:color="auto" w:fill="auto"/>
              </w:rPr>
              <w:t>根据本项目地形及施工布置特点，本</w:t>
            </w:r>
            <w:r>
              <w:rPr>
                <w:rFonts w:hint="eastAsia" w:ascii="宋体" w:hAnsi="宋体" w:cs="宋体"/>
                <w:color w:val="auto"/>
                <w:kern w:val="0"/>
                <w:sz w:val="24"/>
                <w:szCs w:val="24"/>
                <w:highlight w:val="none"/>
                <w:shd w:val="clear" w:color="auto" w:fill="auto"/>
                <w:lang w:bidi="ar"/>
              </w:rPr>
              <w:t>项目</w:t>
            </w:r>
            <w:r>
              <w:rPr>
                <w:rFonts w:hint="eastAsia"/>
                <w:bCs/>
                <w:color w:val="auto"/>
                <w:sz w:val="24"/>
                <w:szCs w:val="24"/>
                <w:highlight w:val="none"/>
                <w:shd w:val="clear" w:color="auto" w:fill="auto"/>
              </w:rPr>
              <w:t>挖填平衡，不设置弃渣场。</w:t>
            </w:r>
            <w:r>
              <w:rPr>
                <w:rFonts w:hint="eastAsia"/>
                <w:color w:val="auto"/>
                <w:sz w:val="24"/>
                <w:szCs w:val="24"/>
                <w:highlight w:val="none"/>
              </w:rPr>
              <w:t>工程建设不进行大开挖扰动，土建开挖仅分布于光伏支架基础、箱变基础，开挖量较小，施工结束后就地平整回填，不进行表土剥离，</w:t>
            </w:r>
            <w:r>
              <w:rPr>
                <w:rFonts w:hint="default" w:ascii="Times New Roman" w:hAnsi="Times New Roman" w:eastAsia="宋体" w:cs="Times New Roman"/>
                <w:color w:val="auto"/>
                <w:kern w:val="2"/>
                <w:sz w:val="24"/>
                <w:szCs w:val="24"/>
                <w:highlight w:val="none"/>
                <w:shd w:val="clear" w:color="auto" w:fill="auto"/>
                <w:lang w:val="en-US" w:eastAsia="zh-CN" w:bidi="ar-SA"/>
              </w:rPr>
              <w:t>不设置</w:t>
            </w:r>
            <w:r>
              <w:rPr>
                <w:rFonts w:hint="eastAsia"/>
                <w:color w:val="auto"/>
                <w:sz w:val="24"/>
                <w:szCs w:val="24"/>
                <w:highlight w:val="none"/>
              </w:rPr>
              <w:t>表土堆场。</w:t>
            </w:r>
          </w:p>
          <w:p w14:paraId="38D27DF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lang w:eastAsia="zh-CN"/>
              </w:rPr>
              <w:t>施工场地</w:t>
            </w:r>
            <w:r>
              <w:rPr>
                <w:rFonts w:hint="eastAsia"/>
                <w:color w:val="auto"/>
                <w:spacing w:val="-5"/>
                <w:sz w:val="24"/>
                <w:szCs w:val="24"/>
                <w:highlight w:val="none"/>
                <w:shd w:val="clear" w:color="auto" w:fill="auto"/>
                <w:lang w:val="en-US" w:eastAsia="zh-CN"/>
              </w:rPr>
              <w:t>不涉及生态红线、</w:t>
            </w:r>
            <w:r>
              <w:rPr>
                <w:rFonts w:hint="eastAsia"/>
                <w:color w:val="auto"/>
                <w:spacing w:val="-5"/>
                <w:sz w:val="24"/>
                <w:szCs w:val="24"/>
                <w:highlight w:val="none"/>
                <w:shd w:val="clear" w:color="auto" w:fill="auto"/>
              </w:rPr>
              <w:t>基本农田和有林地</w:t>
            </w:r>
            <w:r>
              <w:rPr>
                <w:rFonts w:hint="eastAsia"/>
                <w:color w:val="auto"/>
                <w:spacing w:val="-5"/>
                <w:sz w:val="24"/>
                <w:szCs w:val="24"/>
                <w:highlight w:val="none"/>
                <w:shd w:val="clear" w:color="auto" w:fill="auto"/>
                <w:lang w:eastAsia="zh-CN"/>
              </w:rPr>
              <w:t>、</w:t>
            </w:r>
            <w:r>
              <w:rPr>
                <w:rFonts w:hint="eastAsia"/>
                <w:color w:val="auto"/>
                <w:spacing w:val="-5"/>
                <w:sz w:val="24"/>
                <w:szCs w:val="24"/>
                <w:highlight w:val="none"/>
                <w:shd w:val="clear" w:color="auto" w:fill="auto"/>
              </w:rPr>
              <w:t>饮用水源保护区等环境敏感区，区域地质环境稳定</w:t>
            </w:r>
            <w:r>
              <w:rPr>
                <w:rFonts w:hint="eastAsia"/>
                <w:color w:val="auto"/>
                <w:sz w:val="24"/>
                <w:szCs w:val="24"/>
                <w:highlight w:val="none"/>
                <w:shd w:val="clear" w:color="auto" w:fill="auto"/>
              </w:rPr>
              <w:t>，未发现泥石流、崩塌、滑坡等不良地质现象，施工场地及表土堆场周边无保护目标</w:t>
            </w:r>
            <w:r>
              <w:rPr>
                <w:rFonts w:hint="default"/>
                <w:bCs/>
                <w:color w:val="auto"/>
                <w:sz w:val="24"/>
                <w:szCs w:val="24"/>
                <w:highlight w:val="none"/>
                <w:shd w:val="clear" w:color="auto" w:fill="auto"/>
              </w:rPr>
              <w:t>。因此，从环境</w:t>
            </w:r>
            <w:r>
              <w:rPr>
                <w:rFonts w:hint="eastAsia"/>
                <w:bCs/>
                <w:color w:val="auto"/>
                <w:sz w:val="24"/>
                <w:szCs w:val="24"/>
                <w:highlight w:val="none"/>
                <w:shd w:val="clear" w:color="auto" w:fill="auto"/>
              </w:rPr>
              <w:t>保护</w:t>
            </w:r>
            <w:r>
              <w:rPr>
                <w:rFonts w:hint="default"/>
                <w:bCs/>
                <w:color w:val="auto"/>
                <w:sz w:val="24"/>
                <w:szCs w:val="24"/>
                <w:highlight w:val="none"/>
                <w:shd w:val="clear" w:color="auto" w:fill="auto"/>
              </w:rPr>
              <w:t>角度分析施工场地的选址是合理的。</w:t>
            </w:r>
          </w:p>
          <w:p w14:paraId="589BF817">
            <w:pPr>
              <w:pStyle w:val="76"/>
              <w:keepNext w:val="0"/>
              <w:keepLines w:val="0"/>
              <w:suppressLineNumbers w:val="0"/>
              <w:shd w:val="clear"/>
              <w:adjustRightInd w:val="0"/>
              <w:snapToGrid w:val="0"/>
              <w:spacing w:before="0" w:beforeAutospacing="0" w:after="0" w:afterAutospacing="0"/>
              <w:ind w:left="0" w:right="0"/>
              <w:jc w:val="both"/>
              <w:rPr>
                <w:rFonts w:hint="eastAsia" w:eastAsia="宋体"/>
                <w:color w:val="auto"/>
                <w:szCs w:val="24"/>
                <w:highlight w:val="none"/>
                <w:shd w:val="clear" w:color="auto" w:fill="auto"/>
                <w:lang w:eastAsia="zh-CN"/>
              </w:rPr>
            </w:pPr>
            <w:r>
              <w:rPr>
                <w:rFonts w:hint="eastAsia" w:eastAsia="宋体"/>
                <w:color w:val="auto"/>
                <w:szCs w:val="24"/>
                <w:highlight w:val="none"/>
                <w:shd w:val="clear" w:color="auto" w:fill="auto"/>
                <w:lang w:val="en-US" w:eastAsia="zh-CN"/>
              </w:rPr>
              <w:t>综上</w:t>
            </w:r>
            <w:r>
              <w:rPr>
                <w:rFonts w:hint="eastAsia" w:eastAsia="宋体"/>
                <w:color w:val="auto"/>
                <w:szCs w:val="24"/>
                <w:highlight w:val="none"/>
                <w:shd w:val="clear" w:color="auto" w:fill="auto"/>
              </w:rPr>
              <w:t>，临时工程选址</w:t>
            </w:r>
            <w:r>
              <w:rPr>
                <w:rFonts w:hint="default" w:eastAsia="宋体"/>
                <w:color w:val="auto"/>
                <w:szCs w:val="24"/>
                <w:highlight w:val="none"/>
                <w:shd w:val="clear" w:color="auto" w:fill="auto"/>
              </w:rPr>
              <w:t>合理</w:t>
            </w:r>
            <w:r>
              <w:rPr>
                <w:rFonts w:hint="eastAsia" w:eastAsia="宋体"/>
                <w:color w:val="auto"/>
                <w:szCs w:val="24"/>
                <w:highlight w:val="none"/>
                <w:shd w:val="clear" w:color="auto" w:fill="auto"/>
                <w:lang w:eastAsia="zh-CN"/>
              </w:rPr>
              <w:t>。</w:t>
            </w:r>
          </w:p>
        </w:tc>
      </w:tr>
    </w:tbl>
    <w:p w14:paraId="30A684E1">
      <w:pPr>
        <w:pStyle w:val="40"/>
        <w:shd w:val="clear"/>
        <w:jc w:val="center"/>
        <w:rPr>
          <w:rFonts w:ascii="Times New Roman" w:hAnsi="Times New Roman"/>
          <w:snapToGrid w:val="0"/>
          <w:color w:val="auto"/>
          <w:sz w:val="36"/>
          <w:szCs w:val="36"/>
          <w:highlight w:val="none"/>
          <w:shd w:val="clear" w:color="auto" w:fill="auto"/>
        </w:rPr>
        <w:sectPr>
          <w:footerReference r:id="rId7" w:type="default"/>
          <w:pgSz w:w="11906" w:h="16838"/>
          <w:pgMar w:top="1417" w:right="1800" w:bottom="1417" w:left="1800" w:header="851" w:footer="1077" w:gutter="0"/>
          <w:pgNumType w:fmt="decimal"/>
          <w:cols w:space="425" w:num="1"/>
          <w:docGrid w:linePitch="312" w:charSpace="0"/>
        </w:sectPr>
      </w:pPr>
    </w:p>
    <w:p w14:paraId="79088015">
      <w:pPr>
        <w:pStyle w:val="40"/>
        <w:shd w:val="clear"/>
        <w:spacing w:before="0" w:beforeAutospacing="0" w:after="0" w:afterAutospacing="0" w:line="360" w:lineRule="auto"/>
        <w:outlineLvl w:val="0"/>
        <w:rPr>
          <w:b/>
          <w:bCs/>
          <w:snapToGrid w:val="0"/>
          <w:color w:val="auto"/>
          <w:sz w:val="30"/>
          <w:szCs w:val="30"/>
          <w:highlight w:val="none"/>
          <w:shd w:val="clear" w:color="auto" w:fill="auto"/>
        </w:rPr>
      </w:pPr>
      <w:bookmarkStart w:id="65" w:name="_Toc26551"/>
      <w:r>
        <w:rPr>
          <w:b/>
          <w:bCs/>
          <w:snapToGrid w:val="0"/>
          <w:color w:val="auto"/>
          <w:sz w:val="30"/>
          <w:szCs w:val="30"/>
          <w:highlight w:val="none"/>
          <w:shd w:val="clear" w:color="auto" w:fill="auto"/>
        </w:rPr>
        <w:t>五、主要生态环境保护措施</w:t>
      </w:r>
      <w:bookmarkEnd w:id="65"/>
    </w:p>
    <w:tbl>
      <w:tblPr>
        <w:tblStyle w:val="42"/>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02"/>
        <w:gridCol w:w="7645"/>
      </w:tblGrid>
      <w:tr w14:paraId="24A766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8" w:hRule="atLeast"/>
          <w:jc w:val="center"/>
        </w:trPr>
        <w:tc>
          <w:tcPr>
            <w:tcW w:w="475" w:type="pct"/>
            <w:tcMar>
              <w:left w:w="28" w:type="dxa"/>
              <w:right w:w="28" w:type="dxa"/>
            </w:tcMar>
            <w:vAlign w:val="center"/>
          </w:tcPr>
          <w:p w14:paraId="192727C4">
            <w:pPr>
              <w:keepNext w:val="0"/>
              <w:keepLines w:val="0"/>
              <w:suppressLineNumbers w:val="0"/>
              <w:shd w:val="clear"/>
              <w:adjustRightInd w:val="0"/>
              <w:snapToGrid w:val="0"/>
              <w:spacing w:before="0" w:beforeAutospacing="0" w:after="0" w:afterAutospacing="0"/>
              <w:ind w:left="0" w:right="0"/>
              <w:jc w:val="center"/>
              <w:rPr>
                <w:rFonts w:hint="default"/>
                <w:bCs/>
                <w:color w:val="auto"/>
                <w:sz w:val="24"/>
                <w:highlight w:val="none"/>
                <w:shd w:val="clear" w:color="auto" w:fill="auto"/>
              </w:rPr>
            </w:pPr>
            <w:r>
              <w:rPr>
                <w:rFonts w:hint="default"/>
                <w:bCs/>
                <w:color w:val="auto"/>
                <w:spacing w:val="10"/>
                <w:sz w:val="24"/>
                <w:highlight w:val="none"/>
                <w:shd w:val="clear" w:color="auto" w:fill="auto"/>
              </w:rPr>
              <w:t>施工期生态环境保护措施</w:t>
            </w:r>
          </w:p>
        </w:tc>
        <w:tc>
          <w:tcPr>
            <w:tcW w:w="4524" w:type="pct"/>
          </w:tcPr>
          <w:p w14:paraId="068E27E4">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eastAsia"/>
                <w:b/>
                <w:color w:val="auto"/>
                <w:sz w:val="24"/>
                <w:highlight w:val="none"/>
                <w:shd w:val="clear" w:color="auto" w:fill="auto"/>
              </w:rPr>
              <w:t>一、生态影响控制措施</w:t>
            </w:r>
          </w:p>
          <w:p w14:paraId="67DED61B">
            <w:pPr>
              <w:pStyle w:val="91"/>
              <w:keepNext w:val="0"/>
              <w:keepLines w:val="0"/>
              <w:suppressLineNumbers w:val="0"/>
              <w:shd w:val="clear"/>
              <w:overflowPunct w:val="0"/>
              <w:spacing w:before="0" w:beforeAutospacing="0" w:after="0" w:afterAutospacing="0" w:line="360" w:lineRule="auto"/>
              <w:ind w:left="0" w:right="0" w:firstLine="482" w:firstLineChars="200"/>
              <w:jc w:val="left"/>
              <w:rPr>
                <w:rFonts w:hint="default" w:eastAsia="宋体"/>
                <w:b/>
                <w:bCs/>
                <w:color w:val="auto"/>
                <w:sz w:val="24"/>
                <w:highlight w:val="none"/>
                <w:shd w:val="clear" w:color="auto" w:fill="auto"/>
                <w:lang w:val="en-US"/>
              </w:rPr>
            </w:pPr>
            <w:r>
              <w:rPr>
                <w:rFonts w:hint="default" w:eastAsia="宋体"/>
                <w:b/>
                <w:bCs/>
                <w:color w:val="auto"/>
                <w:sz w:val="24"/>
                <w:highlight w:val="none"/>
                <w:shd w:val="clear" w:color="auto" w:fill="auto"/>
                <w:lang w:val="en-US"/>
              </w:rPr>
              <w:t>（1）</w:t>
            </w:r>
            <w:r>
              <w:rPr>
                <w:rFonts w:hint="eastAsia"/>
                <w:b/>
                <w:bCs/>
                <w:color w:val="auto"/>
                <w:sz w:val="24"/>
                <w:highlight w:val="none"/>
                <w:shd w:val="clear" w:color="auto" w:fill="auto"/>
                <w:lang w:val="en-US"/>
              </w:rPr>
              <w:t>施工设计</w:t>
            </w:r>
            <w:r>
              <w:rPr>
                <w:rFonts w:hint="default" w:eastAsia="宋体"/>
                <w:b/>
                <w:bCs/>
                <w:color w:val="auto"/>
                <w:sz w:val="24"/>
                <w:highlight w:val="none"/>
                <w:shd w:val="clear" w:color="auto" w:fill="auto"/>
                <w:lang w:val="en-US"/>
              </w:rPr>
              <w:t>阶段</w:t>
            </w:r>
          </w:p>
          <w:p w14:paraId="35F0C16A">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eastAsia="Times New Roman"/>
                <w:color w:val="auto"/>
                <w:sz w:val="24"/>
                <w:highlight w:val="none"/>
                <w:shd w:val="clear" w:color="auto" w:fill="auto"/>
                <w:lang w:bidi="zh-CN"/>
              </w:rPr>
              <w:t>①在施工建设过程中，尽量减少施工占地及临时占地，最大限度的减少对地表原貌的生态破坏。</w:t>
            </w:r>
            <w:r>
              <w:rPr>
                <w:rFonts w:hint="eastAsia"/>
                <w:color w:val="auto"/>
                <w:spacing w:val="-5"/>
                <w:sz w:val="24"/>
                <w:szCs w:val="24"/>
                <w:highlight w:val="none"/>
                <w:shd w:val="clear" w:color="auto" w:fill="auto"/>
                <w:lang w:bidi="he-IL"/>
              </w:rPr>
              <w:t>建设涉及的林地严格按照林草相关法律法规和使用程序办理林草地使用审核审批手续后，方可使用，严禁出现未批先占等违法行为。</w:t>
            </w:r>
          </w:p>
          <w:p w14:paraId="405CBCB2">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②</w:t>
            </w:r>
            <w:r>
              <w:rPr>
                <w:rFonts w:hint="eastAsia"/>
                <w:color w:val="auto"/>
                <w:sz w:val="24"/>
                <w:highlight w:val="none"/>
                <w:shd w:val="clear" w:color="auto" w:fill="auto"/>
                <w:lang w:val="en-US"/>
              </w:rPr>
              <w:t>项目</w:t>
            </w:r>
            <w:r>
              <w:rPr>
                <w:rFonts w:hint="eastAsia" w:cs="宋体"/>
                <w:color w:val="auto"/>
                <w:sz w:val="24"/>
                <w:highlight w:val="none"/>
                <w:shd w:val="clear" w:color="auto" w:fill="auto"/>
                <w:lang w:val="en-US"/>
              </w:rPr>
              <w:t>开工前，</w:t>
            </w:r>
            <w:r>
              <w:rPr>
                <w:rFonts w:hint="default" w:eastAsia="宋体"/>
                <w:color w:val="auto"/>
                <w:sz w:val="24"/>
                <w:highlight w:val="none"/>
                <w:shd w:val="clear" w:color="auto" w:fill="auto"/>
                <w:lang w:val="en-US"/>
              </w:rPr>
              <w:t>建设前应当对</w:t>
            </w:r>
            <w:r>
              <w:rPr>
                <w:rFonts w:hint="eastAsia"/>
                <w:color w:val="auto"/>
                <w:sz w:val="24"/>
                <w:highlight w:val="none"/>
                <w:shd w:val="clear" w:color="auto" w:fill="auto"/>
                <w:lang w:val="en-US"/>
              </w:rPr>
              <w:t>项目</w:t>
            </w:r>
            <w:r>
              <w:rPr>
                <w:rFonts w:hint="default" w:eastAsia="宋体"/>
                <w:color w:val="auto"/>
                <w:sz w:val="24"/>
                <w:highlight w:val="none"/>
                <w:shd w:val="clear" w:color="auto" w:fill="auto"/>
                <w:lang w:val="en-US"/>
              </w:rPr>
              <w:t>最终设计方案与环评方案进行梳理对比，构成重大变动的应当对变动内容进行环境影响评价并重新报批</w:t>
            </w:r>
            <w:r>
              <w:rPr>
                <w:rFonts w:hint="eastAsia"/>
                <w:color w:val="auto"/>
                <w:sz w:val="24"/>
                <w:highlight w:val="none"/>
                <w:shd w:val="clear" w:color="auto" w:fill="auto"/>
                <w:lang w:val="en-US"/>
              </w:rPr>
              <w:t>，构成一般变动的应当向有审批权限的生态环境主管部门进行备案</w:t>
            </w:r>
            <w:r>
              <w:rPr>
                <w:rFonts w:hint="default" w:eastAsia="宋体"/>
                <w:color w:val="auto"/>
                <w:sz w:val="24"/>
                <w:highlight w:val="none"/>
                <w:shd w:val="clear" w:color="auto" w:fill="auto"/>
                <w:lang w:val="en-US"/>
              </w:rPr>
              <w:t>。</w:t>
            </w:r>
          </w:p>
          <w:p w14:paraId="4B2688C4">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eastAsia="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rPr>
              <w:t>③</w:t>
            </w:r>
            <w:r>
              <w:rPr>
                <w:rFonts w:hint="eastAsia"/>
                <w:color w:val="auto"/>
                <w:spacing w:val="-5"/>
                <w:sz w:val="24"/>
                <w:szCs w:val="24"/>
                <w:highlight w:val="none"/>
                <w:shd w:val="clear" w:color="auto" w:fill="auto"/>
                <w:lang w:val="en-US" w:eastAsia="zh-CN" w:bidi="he-IL"/>
              </w:rPr>
              <w:t>项目开工前请依法</w:t>
            </w:r>
            <w:r>
              <w:rPr>
                <w:rFonts w:hint="eastAsia"/>
                <w:color w:val="auto"/>
                <w:spacing w:val="-5"/>
                <w:sz w:val="24"/>
                <w:szCs w:val="24"/>
                <w:highlight w:val="none"/>
                <w:shd w:val="clear" w:color="auto" w:fill="auto"/>
                <w:lang w:bidi="he-IL"/>
              </w:rPr>
              <w:t>办理水土保持方案审批手续</w:t>
            </w:r>
            <w:r>
              <w:rPr>
                <w:rFonts w:hint="eastAsia" w:eastAsia="宋体"/>
                <w:color w:val="auto"/>
                <w:spacing w:val="-5"/>
                <w:sz w:val="24"/>
                <w:szCs w:val="24"/>
                <w:highlight w:val="none"/>
                <w:shd w:val="clear" w:color="auto" w:fill="auto"/>
                <w:lang w:eastAsia="zh-CN" w:bidi="he-IL"/>
              </w:rPr>
              <w:t>，</w:t>
            </w:r>
            <w:r>
              <w:rPr>
                <w:rFonts w:hint="eastAsia"/>
                <w:color w:val="auto"/>
                <w:spacing w:val="-5"/>
                <w:sz w:val="24"/>
                <w:szCs w:val="24"/>
                <w:highlight w:val="none"/>
                <w:shd w:val="clear" w:color="auto" w:fill="auto"/>
                <w:lang w:val="en-US" w:eastAsia="zh-CN" w:bidi="he-IL"/>
              </w:rPr>
              <w:t>施工过程中应尽量避免大挖大填，避免大范围扰动地表面积</w:t>
            </w:r>
            <w:r>
              <w:rPr>
                <w:rFonts w:hint="eastAsia"/>
                <w:color w:val="auto"/>
                <w:spacing w:val="-5"/>
                <w:sz w:val="24"/>
                <w:szCs w:val="24"/>
                <w:highlight w:val="none"/>
                <w:shd w:val="clear" w:color="auto" w:fill="auto"/>
                <w:lang w:bidi="he-IL"/>
              </w:rPr>
              <w:t>。</w:t>
            </w:r>
          </w:p>
          <w:p w14:paraId="79F562F6">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b/>
                <w:bCs/>
                <w:color w:val="auto"/>
                <w:sz w:val="24"/>
                <w:highlight w:val="none"/>
                <w:shd w:val="clear" w:color="auto" w:fill="auto"/>
                <w:lang w:val="en-US"/>
              </w:rPr>
            </w:pPr>
            <w:r>
              <w:rPr>
                <w:rFonts w:hint="eastAsia"/>
                <w:b/>
                <w:bCs/>
                <w:color w:val="auto"/>
                <w:sz w:val="24"/>
                <w:highlight w:val="none"/>
                <w:shd w:val="clear" w:color="auto" w:fill="auto"/>
                <w:lang w:val="en-US"/>
              </w:rPr>
              <w:t>（2）避让措施</w:t>
            </w:r>
          </w:p>
          <w:p w14:paraId="7808686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default"/>
                <w:color w:val="auto"/>
                <w:sz w:val="24"/>
                <w:highlight w:val="none"/>
                <w:shd w:val="clear" w:color="auto" w:fill="auto"/>
              </w:rPr>
              <w:t>施工</w:t>
            </w:r>
            <w:r>
              <w:rPr>
                <w:rFonts w:hint="eastAsia"/>
                <w:color w:val="auto"/>
                <w:sz w:val="24"/>
                <w:highlight w:val="none"/>
                <w:shd w:val="clear" w:color="auto" w:fill="auto"/>
              </w:rPr>
              <w:t>设计</w:t>
            </w:r>
            <w:r>
              <w:rPr>
                <w:rFonts w:hint="default"/>
                <w:color w:val="auto"/>
                <w:sz w:val="24"/>
                <w:highlight w:val="none"/>
                <w:shd w:val="clear" w:color="auto" w:fill="auto"/>
              </w:rPr>
              <w:t>阶段必须进行施工组织设计，合理规划</w:t>
            </w:r>
            <w:r>
              <w:rPr>
                <w:rFonts w:hint="eastAsia"/>
                <w:color w:val="auto"/>
                <w:sz w:val="24"/>
                <w:highlight w:val="none"/>
                <w:shd w:val="clear" w:color="auto" w:fill="auto"/>
                <w:lang w:val="en-US"/>
              </w:rPr>
              <w:t>临时</w:t>
            </w:r>
            <w:r>
              <w:rPr>
                <w:rFonts w:hint="default"/>
                <w:color w:val="auto"/>
                <w:sz w:val="24"/>
                <w:highlight w:val="none"/>
                <w:shd w:val="clear" w:color="auto" w:fill="auto"/>
              </w:rPr>
              <w:t>施工场地，</w:t>
            </w:r>
            <w:r>
              <w:rPr>
                <w:rFonts w:hint="default"/>
                <w:color w:val="auto"/>
                <w:sz w:val="24"/>
              </w:rPr>
              <w:t>严格选择施工附属设施的布置位置，</w:t>
            </w:r>
            <w:r>
              <w:rPr>
                <w:rFonts w:hint="eastAsia"/>
                <w:color w:val="auto"/>
                <w:sz w:val="24"/>
              </w:rPr>
              <w:t>光伏列阵应避让植被长势较好的植被区，如应避让乔木林地</w:t>
            </w:r>
            <w:r>
              <w:rPr>
                <w:rFonts w:hint="eastAsia"/>
                <w:color w:val="auto"/>
                <w:sz w:val="24"/>
                <w:lang w:val="en-US"/>
              </w:rPr>
              <w:t>，植被尽可能保留，不改变林地性质，并远离线路附近的村庄</w:t>
            </w:r>
            <w:r>
              <w:rPr>
                <w:rFonts w:hint="default"/>
                <w:color w:val="auto"/>
                <w:sz w:val="24"/>
              </w:rPr>
              <w:t>，优化布置，减少占地</w:t>
            </w:r>
            <w:r>
              <w:rPr>
                <w:rFonts w:hint="eastAsia"/>
                <w:color w:val="auto"/>
                <w:sz w:val="24"/>
              </w:rPr>
              <w:t>。</w:t>
            </w:r>
          </w:p>
          <w:p w14:paraId="4D0ED373">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eastAsia"/>
                <w:b/>
                <w:bCs/>
                <w:color w:val="auto"/>
                <w:sz w:val="24"/>
                <w:highlight w:val="none"/>
                <w:shd w:val="clear" w:color="auto" w:fill="auto"/>
                <w:lang w:val="en-US"/>
              </w:rPr>
              <w:t>（3）减缓措施</w:t>
            </w:r>
          </w:p>
          <w:p w14:paraId="263F348E">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宋体" w:hAnsi="宋体" w:eastAsia="宋体" w:cs="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①</w:t>
            </w:r>
            <w:r>
              <w:rPr>
                <w:rFonts w:hint="eastAsia" w:eastAsia="宋体"/>
                <w:color w:val="auto"/>
                <w:sz w:val="24"/>
                <w:highlight w:val="none"/>
                <w:shd w:val="clear" w:color="auto" w:fill="auto"/>
                <w:lang w:val="en-US"/>
              </w:rPr>
              <w:t>施工期临时用地应永临结合，优先利用荒地、劣地；临时占地采取隔离保护措施（如铺设草垫或棕垫），施工结束</w:t>
            </w:r>
            <w:r>
              <w:rPr>
                <w:rFonts w:hint="eastAsia" w:eastAsia="宋体"/>
                <w:color w:val="auto"/>
                <w:sz w:val="24"/>
                <w:highlight w:val="none"/>
                <w:shd w:val="clear" w:color="auto" w:fill="auto"/>
                <w:lang w:val="en-US" w:eastAsia="zh-CN"/>
              </w:rPr>
              <w:t>后</w:t>
            </w:r>
            <w:r>
              <w:rPr>
                <w:rFonts w:hint="eastAsia" w:eastAsia="宋体"/>
                <w:color w:val="auto"/>
                <w:sz w:val="24"/>
                <w:highlight w:val="none"/>
                <w:shd w:val="clear" w:color="auto" w:fill="auto"/>
                <w:lang w:val="en-US"/>
              </w:rPr>
              <w:t>将多余砂石料、混凝土残渣等及时清除，</w:t>
            </w:r>
            <w:r>
              <w:rPr>
                <w:rFonts w:hint="eastAsia" w:ascii="宋体" w:hAnsi="宋体" w:eastAsia="宋体" w:cs="宋体"/>
                <w:color w:val="auto"/>
                <w:sz w:val="24"/>
                <w:highlight w:val="none"/>
                <w:shd w:val="clear" w:color="auto" w:fill="auto"/>
                <w:lang w:val="en-US"/>
              </w:rPr>
              <w:t>做到“工完、料尽、场地清”。</w:t>
            </w:r>
          </w:p>
          <w:p w14:paraId="31AD08D6">
            <w:pPr>
              <w:pStyle w:val="91"/>
              <w:keepNext w:val="0"/>
              <w:keepLines w:val="0"/>
              <w:suppressLineNumbers w:val="0"/>
              <w:shd w:val="clear"/>
              <w:overflowPunct w:val="0"/>
              <w:spacing w:beforeAutospacing="0" w:after="0" w:afterAutospacing="0" w:line="360" w:lineRule="auto"/>
              <w:ind w:left="0" w:right="0" w:firstLine="480" w:firstLineChars="200"/>
              <w:jc w:val="left"/>
              <w:rPr>
                <w:rFonts w:hint="default" w:eastAsia="宋体"/>
                <w:color w:val="auto"/>
                <w:sz w:val="24"/>
                <w:highlight w:val="yellow"/>
                <w:shd w:val="clear" w:color="auto" w:fill="auto"/>
                <w:lang w:val="en-US"/>
              </w:rPr>
            </w:pPr>
            <w:r>
              <w:rPr>
                <w:rFonts w:hint="eastAsia" w:ascii="宋体" w:hAnsi="宋体" w:eastAsia="宋体" w:cs="宋体"/>
                <w:color w:val="auto"/>
                <w:sz w:val="24"/>
                <w:highlight w:val="none"/>
                <w:shd w:val="clear" w:color="auto" w:fill="auto"/>
                <w:lang w:val="en-US"/>
              </w:rPr>
              <w:t>②光伏场区、</w:t>
            </w:r>
            <w:r>
              <w:rPr>
                <w:rFonts w:hint="eastAsia" w:ascii="宋体" w:hAnsi="宋体" w:eastAsia="宋体" w:cs="宋体"/>
                <w:color w:val="auto"/>
                <w:sz w:val="24"/>
                <w:highlight w:val="none"/>
                <w:shd w:val="clear" w:color="auto" w:fill="auto"/>
                <w:lang w:val="en-US" w:eastAsia="zh-CN"/>
              </w:rPr>
              <w:t>集电线路</w:t>
            </w:r>
            <w:r>
              <w:rPr>
                <w:rFonts w:hint="eastAsia" w:ascii="宋体" w:hAnsi="宋体" w:eastAsia="宋体" w:cs="宋体"/>
                <w:color w:val="auto"/>
                <w:sz w:val="24"/>
                <w:highlight w:val="none"/>
                <w:shd w:val="clear" w:color="auto" w:fill="auto"/>
                <w:lang w:val="en-US"/>
              </w:rPr>
              <w:t>土石方开挖工程尽量避开雨季施工</w:t>
            </w:r>
            <w:r>
              <w:rPr>
                <w:rFonts w:hint="eastAsia"/>
                <w:color w:val="auto"/>
                <w:sz w:val="24"/>
                <w:highlight w:val="none"/>
                <w:shd w:val="clear" w:color="auto" w:fill="auto"/>
                <w:lang w:val="en-US"/>
              </w:rPr>
              <w:t>，</w:t>
            </w:r>
            <w:r>
              <w:rPr>
                <w:rFonts w:hint="eastAsia" w:ascii="宋体" w:hAnsi="宋体" w:eastAsia="宋体" w:cs="宋体"/>
                <w:color w:val="auto"/>
                <w:sz w:val="24"/>
                <w:highlight w:val="none"/>
                <w:shd w:val="clear" w:color="auto" w:fill="auto"/>
                <w:lang w:val="en-US" w:eastAsia="zh-CN"/>
              </w:rPr>
              <w:t>桩基</w:t>
            </w:r>
            <w:r>
              <w:rPr>
                <w:rFonts w:hint="eastAsia" w:ascii="宋体" w:hAnsi="宋体" w:eastAsia="宋体" w:cs="宋体"/>
                <w:color w:val="auto"/>
                <w:sz w:val="24"/>
                <w:highlight w:val="none"/>
                <w:shd w:val="clear" w:color="auto" w:fill="auto"/>
                <w:lang w:val="en-US"/>
              </w:rPr>
              <w:t>开挖</w:t>
            </w:r>
            <w:r>
              <w:rPr>
                <w:rFonts w:hint="eastAsia" w:ascii="宋体" w:hAnsi="宋体" w:eastAsia="宋体" w:cs="宋体"/>
                <w:color w:val="auto"/>
                <w:sz w:val="24"/>
                <w:highlight w:val="none"/>
                <w:shd w:val="clear" w:color="auto" w:fill="auto"/>
                <w:lang w:val="en-US" w:eastAsia="zh-CN"/>
              </w:rPr>
              <w:t>土石方及时回填、</w:t>
            </w:r>
            <w:r>
              <w:rPr>
                <w:rFonts w:hint="eastAsia" w:eastAsia="宋体"/>
                <w:color w:val="auto"/>
                <w:sz w:val="24"/>
                <w:highlight w:val="none"/>
                <w:shd w:val="clear" w:color="auto" w:fill="auto"/>
                <w:lang w:val="en-US"/>
              </w:rPr>
              <w:t>夯实、平整</w:t>
            </w:r>
            <w:r>
              <w:rPr>
                <w:rFonts w:hint="eastAsia" w:ascii="宋体" w:hAnsi="宋体" w:eastAsia="宋体" w:cs="宋体"/>
                <w:color w:val="auto"/>
                <w:sz w:val="24"/>
                <w:highlight w:val="none"/>
                <w:shd w:val="clear" w:color="auto" w:fill="auto"/>
                <w:lang w:val="en-US" w:eastAsia="zh-CN"/>
              </w:rPr>
              <w:t>，</w:t>
            </w:r>
            <w:r>
              <w:rPr>
                <w:rFonts w:hint="eastAsia" w:eastAsia="宋体"/>
                <w:color w:val="auto"/>
                <w:sz w:val="24"/>
                <w:highlight w:val="none"/>
                <w:shd w:val="clear" w:color="auto" w:fill="auto"/>
                <w:lang w:val="en-US"/>
              </w:rPr>
              <w:t>不外弃。</w:t>
            </w:r>
          </w:p>
          <w:p w14:paraId="5F675B78">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eastAsia="宋体"/>
                <w:bCs/>
                <w:color w:val="auto"/>
                <w:sz w:val="24"/>
                <w:highlight w:val="none"/>
                <w:shd w:val="clear" w:color="auto" w:fill="auto"/>
                <w:lang w:val="en-US" w:eastAsia="zh-CN"/>
              </w:rPr>
            </w:pPr>
            <w:r>
              <w:rPr>
                <w:rFonts w:hint="eastAsia" w:eastAsia="宋体"/>
                <w:bCs/>
                <w:color w:val="auto"/>
                <w:sz w:val="24"/>
                <w:highlight w:val="none"/>
                <w:shd w:val="clear" w:color="auto" w:fill="auto"/>
                <w:lang w:val="en-US" w:eastAsia="zh-CN"/>
              </w:rPr>
              <w:t>③</w:t>
            </w:r>
            <w:r>
              <w:rPr>
                <w:rFonts w:hint="eastAsia" w:eastAsia="宋体"/>
                <w:bCs/>
                <w:color w:val="auto"/>
                <w:sz w:val="24"/>
                <w:highlight w:val="none"/>
                <w:shd w:val="clear" w:color="auto" w:fill="auto"/>
                <w:lang w:val="en-US"/>
              </w:rPr>
              <w:t>施工现场加强管理，做好机械的日常维修保养，杜绝跑、冒、滴、漏现象</w:t>
            </w:r>
            <w:r>
              <w:rPr>
                <w:rFonts w:hint="eastAsia" w:eastAsia="宋体"/>
                <w:bCs/>
                <w:color w:val="auto"/>
                <w:sz w:val="24"/>
                <w:highlight w:val="none"/>
                <w:shd w:val="clear" w:color="auto" w:fill="auto"/>
                <w:lang w:val="en-US" w:eastAsia="zh-CN"/>
              </w:rPr>
              <w:t>，</w:t>
            </w:r>
            <w:r>
              <w:rPr>
                <w:rFonts w:hint="eastAsia" w:eastAsia="宋体"/>
                <w:bCs/>
                <w:color w:val="auto"/>
                <w:sz w:val="24"/>
                <w:highlight w:val="none"/>
                <w:shd w:val="clear" w:color="auto" w:fill="auto"/>
                <w:lang w:val="en-US"/>
              </w:rPr>
              <w:t>防止对土壤和水体造成污染。</w:t>
            </w:r>
          </w:p>
          <w:p w14:paraId="2EFB17C0">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ascii="Times New Roman" w:hAnsi="Times New Roman" w:eastAsia="Times New Roman" w:cs="Times New Roman"/>
                <w:color w:val="auto"/>
                <w:sz w:val="24"/>
                <w:highlight w:val="none"/>
                <w:shd w:val="clear" w:color="auto" w:fill="auto"/>
              </w:rPr>
            </w:pPr>
            <w:r>
              <w:rPr>
                <w:rFonts w:hint="eastAsia" w:eastAsia="宋体"/>
                <w:bCs/>
                <w:color w:val="auto"/>
                <w:sz w:val="24"/>
                <w:highlight w:val="none"/>
                <w:shd w:val="clear" w:color="auto" w:fill="auto"/>
                <w:lang w:val="en-US"/>
              </w:rPr>
              <w:t>④</w:t>
            </w:r>
            <w:r>
              <w:rPr>
                <w:rFonts w:hint="eastAsia" w:ascii="Times New Roman" w:hAnsi="Times New Roman" w:eastAsia="宋体" w:cs="Times New Roman"/>
                <w:color w:val="auto"/>
                <w:kern w:val="2"/>
                <w:sz w:val="24"/>
                <w:szCs w:val="24"/>
                <w:lang w:val="en-US" w:eastAsia="zh-CN" w:bidi="ar-SA"/>
              </w:rPr>
              <w:t>设专人负责施工期环境管理，加强施工人员生态保护宣传，禁止施工时乱砍滥伐、狩猎等行为，严格执行国家有关动物保护法律法规。</w:t>
            </w:r>
          </w:p>
          <w:p w14:paraId="508737FD">
            <w:pPr>
              <w:pStyle w:val="91"/>
              <w:keepNext w:val="0"/>
              <w:keepLines w:val="0"/>
              <w:suppressLineNumbers w:val="0"/>
              <w:shd w:val="clear" w:color="auto" w:fill="auto"/>
              <w:overflowPunct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⑤在鸟类繁殖期（每年</w:t>
            </w:r>
            <w:r>
              <w:rPr>
                <w:rFonts w:hint="default" w:ascii="Times New Roman" w:hAnsi="Times New Roman" w:eastAsia="宋体" w:cs="Times New Roman"/>
                <w:color w:val="auto"/>
                <w:kern w:val="2"/>
                <w:sz w:val="24"/>
                <w:szCs w:val="24"/>
                <w:lang w:val="en-US" w:eastAsia="zh-CN" w:bidi="ar-SA"/>
              </w:rPr>
              <w:t>6-8</w:t>
            </w:r>
            <w:r>
              <w:rPr>
                <w:rFonts w:hint="eastAsia" w:ascii="Times New Roman" w:hAnsi="Times New Roman" w:eastAsia="宋体" w:cs="Times New Roman"/>
                <w:color w:val="auto"/>
                <w:kern w:val="2"/>
                <w:sz w:val="24"/>
                <w:szCs w:val="24"/>
                <w:lang w:val="en-US" w:eastAsia="zh-CN" w:bidi="ar-SA"/>
              </w:rPr>
              <w:t>月），应尽量减少因施工噪声所引起的干扰鸟类繁殖的情况发生</w:t>
            </w:r>
            <w:r>
              <w:rPr>
                <w:rFonts w:hint="default" w:ascii="Times New Roman" w:hAnsi="Times New Roman" w:eastAsia="宋体" w:cs="Times New Roman"/>
                <w:color w:val="auto"/>
                <w:kern w:val="2"/>
                <w:sz w:val="24"/>
                <w:szCs w:val="24"/>
                <w:lang w:val="en-US" w:eastAsia="zh-CN" w:bidi="ar-SA"/>
              </w:rPr>
              <w:t>。</w:t>
            </w:r>
          </w:p>
          <w:p w14:paraId="2EFA7B20">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eastAsia="宋体"/>
                <w:color w:val="auto"/>
                <w:sz w:val="24"/>
                <w:highlight w:val="none"/>
                <w:shd w:val="clear" w:color="auto" w:fill="auto"/>
                <w:lang w:eastAsia="zh-CN"/>
              </w:rPr>
            </w:pPr>
            <w:r>
              <w:rPr>
                <w:rFonts w:hint="eastAsia" w:ascii="Times New Roman" w:hAnsi="Times New Roman" w:eastAsia="宋体" w:cs="Times New Roman"/>
                <w:color w:val="auto"/>
                <w:kern w:val="2"/>
                <w:sz w:val="24"/>
                <w:szCs w:val="24"/>
                <w:lang w:val="en-US" w:eastAsia="zh-CN" w:bidi="ar-SA"/>
              </w:rPr>
              <w:t>⑥科学规划、精心组织、强化教育、缩短工期，减少工程施工期对鸟类栖息地的扰动和破坏，降低施工噪声对鸟类的惊扰和驱赶，避免捕鸟、掏蛋等对鸟类直接伤害的行为。</w:t>
            </w:r>
          </w:p>
          <w:p w14:paraId="530F3DA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4</w:t>
            </w:r>
            <w:r>
              <w:rPr>
                <w:rFonts w:hint="default"/>
                <w:b/>
                <w:bCs/>
                <w:color w:val="auto"/>
                <w:sz w:val="24"/>
                <w:highlight w:val="none"/>
                <w:shd w:val="clear" w:color="auto" w:fill="auto"/>
                <w:lang w:val="en-US"/>
              </w:rPr>
              <w:t>）修复措施</w:t>
            </w:r>
          </w:p>
          <w:p w14:paraId="4A30A22E">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①严格施工管理，禁止超范围占地；光伏区除桩基用地外，严禁硬化地面、破坏林草植被，严禁抛荒、撂荒；施工结束后，对裸露的土地进行植被恢复、对临时占地进行修复。</w:t>
            </w:r>
          </w:p>
          <w:p w14:paraId="08950E02">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占用林草地区域时，光伏板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尽量选用当地物种，不引入外来物种。</w:t>
            </w:r>
          </w:p>
          <w:p w14:paraId="47D76D64">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③植被恢复及绿化过程中，宜</w:t>
            </w:r>
            <w:r>
              <w:rPr>
                <w:rFonts w:hint="default" w:ascii="Times New Roman" w:hAnsi="Times New Roman" w:eastAsia="宋体" w:cs="Times New Roman"/>
                <w:color w:val="auto"/>
                <w:kern w:val="2"/>
                <w:sz w:val="24"/>
                <w:szCs w:val="24"/>
                <w:lang w:val="en-US" w:eastAsia="zh-CN" w:bidi="ar-SA"/>
              </w:rPr>
              <w:t>采用当地植物</w:t>
            </w:r>
            <w:r>
              <w:rPr>
                <w:rFonts w:hint="eastAsia" w:ascii="Times New Roman" w:hAnsi="Times New Roman" w:eastAsia="宋体" w:cs="Times New Roman"/>
                <w:color w:val="auto"/>
                <w:kern w:val="2"/>
                <w:sz w:val="24"/>
                <w:szCs w:val="24"/>
                <w:lang w:val="en-US" w:eastAsia="zh-CN" w:bidi="ar-SA"/>
              </w:rPr>
              <w:t>进行“恢复性”种植，然</w:t>
            </w:r>
            <w:r>
              <w:rPr>
                <w:rFonts w:hint="default" w:ascii="Times New Roman" w:hAnsi="Times New Roman" w:eastAsia="宋体" w:cs="Times New Roman"/>
                <w:color w:val="auto"/>
                <w:kern w:val="2"/>
                <w:sz w:val="24"/>
                <w:szCs w:val="24"/>
                <w:lang w:val="en-US" w:eastAsia="zh-CN" w:bidi="ar-SA"/>
              </w:rPr>
              <w:t>后采取</w:t>
            </w:r>
            <w:r>
              <w:rPr>
                <w:rFonts w:hint="eastAsia" w:ascii="Times New Roman" w:hAnsi="Times New Roman" w:eastAsia="宋体" w:cs="Times New Roman"/>
                <w:color w:val="auto"/>
                <w:kern w:val="2"/>
                <w:sz w:val="24"/>
                <w:szCs w:val="24"/>
                <w:lang w:val="en-US" w:eastAsia="zh-CN" w:bidi="ar-SA"/>
              </w:rPr>
              <w:t>“封育”手段</w:t>
            </w:r>
            <w:r>
              <w:rPr>
                <w:rFonts w:hint="default" w:ascii="Times New Roman" w:hAnsi="Times New Roman" w:eastAsia="宋体" w:cs="Times New Roman"/>
                <w:color w:val="auto"/>
                <w:kern w:val="2"/>
                <w:sz w:val="24"/>
                <w:szCs w:val="24"/>
                <w:lang w:val="en-US" w:eastAsia="zh-CN" w:bidi="ar-SA"/>
              </w:rPr>
              <w:t>，促进自然恢复。在植被恢复及绿化过程中，应选择乡土树种及适合当地环境的植物，并注意乔、灌、草搭配的原则，同时要与周围的自然景观相协调统一</w:t>
            </w:r>
            <w:r>
              <w:rPr>
                <w:rFonts w:hint="eastAsia" w:ascii="Times New Roman" w:hAnsi="Times New Roman" w:eastAsia="宋体" w:cs="Times New Roman"/>
                <w:color w:val="auto"/>
                <w:kern w:val="2"/>
                <w:sz w:val="24"/>
                <w:szCs w:val="24"/>
                <w:lang w:val="en-US" w:eastAsia="zh-CN" w:bidi="ar-SA"/>
              </w:rPr>
              <w:t>，可选用</w:t>
            </w:r>
            <w:r>
              <w:rPr>
                <w:rFonts w:hint="default" w:ascii="Times New Roman" w:hAnsi="Times New Roman" w:eastAsia="宋体" w:cs="Times New Roman"/>
                <w:color w:val="auto"/>
                <w:kern w:val="2"/>
                <w:sz w:val="24"/>
                <w:szCs w:val="24"/>
                <w:lang w:val="en-US" w:eastAsia="zh-CN" w:bidi="ar-SA"/>
              </w:rPr>
              <w:t>车桑子、白车轴草、黑麦草</w:t>
            </w:r>
            <w:r>
              <w:rPr>
                <w:rFonts w:hint="eastAsia" w:ascii="Times New Roman" w:hAnsi="Times New Roman" w:eastAsia="宋体" w:cs="Times New Roman"/>
                <w:color w:val="auto"/>
                <w:kern w:val="2"/>
                <w:sz w:val="24"/>
                <w:szCs w:val="24"/>
                <w:lang w:val="en-US" w:eastAsia="zh-CN" w:bidi="ar-SA"/>
              </w:rPr>
              <w:t>等乡土植物。</w:t>
            </w:r>
          </w:p>
          <w:p w14:paraId="41D1F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④</w:t>
            </w:r>
            <w:r>
              <w:rPr>
                <w:rFonts w:hint="default" w:ascii="Times New Roman" w:hAnsi="Times New Roman" w:eastAsia="宋体" w:cs="Times New Roman"/>
                <w:color w:val="auto"/>
                <w:sz w:val="24"/>
                <w:szCs w:val="24"/>
                <w:lang w:val="en-US" w:eastAsia="zh-CN"/>
              </w:rPr>
              <w:t>光伏阵列区支架基础、箱变施工时，对周边施工场地区域造成碾压、踩踏等，在施工结束后对施工场地占用的区域进行场地清理、生态恢复。</w:t>
            </w:r>
          </w:p>
          <w:p w14:paraId="58CB38B2">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⑤施工结束及时完成临时设施拆除、场地清理及植被恢复；及时完成林光互补工程。</w:t>
            </w:r>
          </w:p>
          <w:p w14:paraId="4F28F457">
            <w:pPr>
              <w:pStyle w:val="91"/>
              <w:keepNext w:val="0"/>
              <w:keepLines w:val="0"/>
              <w:suppressLineNumbers w:val="0"/>
              <w:overflowPunct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kern w:val="2"/>
                <w:sz w:val="24"/>
                <w:szCs w:val="24"/>
                <w:lang w:val="en-US" w:eastAsia="zh-CN" w:bidi="ar-SA"/>
              </w:rPr>
              <w:t>⑥</w:t>
            </w:r>
            <w:r>
              <w:rPr>
                <w:rFonts w:hint="eastAsia" w:ascii="Times New Roman" w:hAnsi="Times New Roman" w:eastAsia="宋体" w:cs="Times New Roman"/>
                <w:color w:val="auto"/>
                <w:kern w:val="2"/>
                <w:sz w:val="24"/>
                <w:szCs w:val="24"/>
                <w:lang w:val="en-US" w:eastAsia="zh-CN" w:bidi="ar-SA"/>
              </w:rPr>
              <w:t>项目施工过程中、施工结束后应按照《</w:t>
            </w:r>
            <w:r>
              <w:rPr>
                <w:rFonts w:hint="eastAsia" w:ascii="Times New Roman" w:hAnsi="Times New Roman" w:cs="Times New Roman"/>
                <w:color w:val="auto"/>
                <w:sz w:val="24"/>
                <w:szCs w:val="24"/>
                <w:highlight w:val="none"/>
                <w:shd w:val="clear" w:color="auto" w:fill="auto"/>
                <w:lang w:val="en-US" w:eastAsia="zh-CN"/>
              </w:rPr>
              <w:t>白石岩光伏发电项目</w:t>
            </w:r>
            <w:r>
              <w:rPr>
                <w:rFonts w:hint="eastAsia" w:ascii="Times New Roman" w:hAnsi="Times New Roman" w:eastAsia="宋体" w:cs="Times New Roman"/>
                <w:color w:val="auto"/>
                <w:kern w:val="2"/>
                <w:sz w:val="24"/>
                <w:szCs w:val="24"/>
                <w:lang w:val="en-US" w:eastAsia="zh-CN" w:bidi="ar-SA"/>
              </w:rPr>
              <w:t>水土保持方案报告书》中的要求采取相应水保措施</w:t>
            </w:r>
            <w:r>
              <w:rPr>
                <w:rFonts w:hint="eastAsia" w:eastAsia="宋体" w:cs="Times New Roman"/>
                <w:color w:val="auto"/>
                <w:kern w:val="2"/>
                <w:sz w:val="24"/>
                <w:szCs w:val="24"/>
                <w:lang w:val="en-US" w:eastAsia="zh-CN" w:bidi="ar-SA"/>
              </w:rPr>
              <w:t>：</w:t>
            </w:r>
          </w:p>
          <w:p w14:paraId="1184A79D">
            <w:pPr>
              <w:pStyle w:val="91"/>
              <w:keepNext w:val="0"/>
              <w:keepLines w:val="0"/>
              <w:suppressLineNumbers w:val="0"/>
              <w:overflowPunct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植物措施</w:t>
            </w:r>
            <w:r>
              <w:rPr>
                <w:rFonts w:hint="eastAsia" w:ascii="Times New Roman" w:hAnsi="Times New Roman" w:eastAsia="宋体" w:cs="Times New Roman"/>
                <w:color w:val="auto"/>
                <w:kern w:val="2"/>
                <w:sz w:val="24"/>
                <w:szCs w:val="24"/>
                <w:lang w:val="en-US" w:eastAsia="zh-CN" w:bidi="ar-SA"/>
              </w:rPr>
              <w:t>：施工场地区撒播灌草</w:t>
            </w:r>
            <w:r>
              <w:rPr>
                <w:rFonts w:hint="default" w:ascii="Times New Roman" w:hAnsi="Times New Roman" w:eastAsia="宋体" w:cs="Times New Roman"/>
                <w:color w:val="auto"/>
                <w:kern w:val="2"/>
                <w:sz w:val="24"/>
                <w:szCs w:val="24"/>
                <w:lang w:val="en-US" w:eastAsia="zh-CN" w:bidi="ar-SA"/>
              </w:rPr>
              <w:t>植被恢复</w:t>
            </w:r>
            <w:r>
              <w:rPr>
                <w:rFonts w:hint="eastAsia" w:ascii="Times New Roman" w:hAnsi="Times New Roman" w:eastAsia="宋体" w:cs="Times New Roman"/>
                <w:color w:val="auto"/>
                <w:kern w:val="2"/>
                <w:sz w:val="24"/>
                <w:szCs w:val="24"/>
                <w:lang w:val="en-US" w:eastAsia="zh-CN" w:bidi="ar-SA"/>
              </w:rPr>
              <w:t>0.25</w:t>
            </w:r>
            <w:r>
              <w:rPr>
                <w:rFonts w:hint="default" w:ascii="Times New Roman" w:hAnsi="Times New Roman" w:eastAsia="宋体" w:cs="Times New Roman"/>
                <w:color w:val="auto"/>
                <w:kern w:val="2"/>
                <w:sz w:val="24"/>
                <w:szCs w:val="24"/>
                <w:lang w:val="en-US" w:eastAsia="zh-CN" w:bidi="ar-SA"/>
              </w:rPr>
              <w:t>hm</w:t>
            </w:r>
            <w:r>
              <w:rPr>
                <w:rFonts w:hint="default"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p>
          <w:p w14:paraId="3D15735D">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eastAsia="宋体"/>
                <w:b/>
                <w:bCs/>
                <w:color w:val="auto"/>
                <w:sz w:val="24"/>
                <w:highlight w:val="none"/>
                <w:shd w:val="clear" w:color="auto" w:fill="auto"/>
                <w:lang w:val="en-US" w:eastAsia="zh-CN"/>
              </w:rPr>
            </w:pPr>
            <w:r>
              <w:rPr>
                <w:rFonts w:hint="default" w:ascii="Times New Roman" w:hAnsi="Times New Roman" w:eastAsia="宋体" w:cs="Times New Roman"/>
                <w:color w:val="auto"/>
                <w:kern w:val="2"/>
                <w:sz w:val="24"/>
                <w:szCs w:val="24"/>
                <w:lang w:val="en-US" w:eastAsia="zh-CN" w:bidi="ar-SA"/>
              </w:rPr>
              <w:t>临时措施</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光伏发电系统区临时覆盖</w:t>
            </w:r>
            <w:r>
              <w:rPr>
                <w:rFonts w:hint="eastAsia" w:ascii="Times New Roman" w:hAnsi="Times New Roman" w:eastAsia="宋体" w:cs="Times New Roman"/>
                <w:color w:val="auto"/>
                <w:kern w:val="2"/>
                <w:sz w:val="24"/>
                <w:szCs w:val="24"/>
                <w:lang w:val="en-US" w:eastAsia="zh-CN" w:bidi="ar-SA"/>
              </w:rPr>
              <w:t>1500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施工场地</w:t>
            </w:r>
            <w:r>
              <w:rPr>
                <w:rFonts w:hint="default" w:ascii="Times New Roman" w:hAnsi="Times New Roman" w:eastAsia="宋体" w:cs="Times New Roman"/>
                <w:color w:val="auto"/>
                <w:kern w:val="2"/>
                <w:sz w:val="24"/>
                <w:szCs w:val="24"/>
                <w:lang w:val="en-US" w:eastAsia="zh-CN" w:bidi="ar-SA"/>
              </w:rPr>
              <w:t>区：临时排水沟</w:t>
            </w:r>
            <w:r>
              <w:rPr>
                <w:rFonts w:hint="eastAsia" w:ascii="Times New Roman" w:hAnsi="Times New Roman" w:eastAsia="宋体" w:cs="Times New Roman"/>
                <w:color w:val="auto"/>
                <w:kern w:val="2"/>
                <w:sz w:val="24"/>
                <w:szCs w:val="24"/>
                <w:lang w:val="en-US" w:eastAsia="zh-CN" w:bidi="ar-SA"/>
              </w:rPr>
              <w:t>220</w:t>
            </w:r>
            <w:r>
              <w:rPr>
                <w:rFonts w:hint="default" w:ascii="Times New Roman" w:hAnsi="Times New Roman" w:eastAsia="宋体" w:cs="Times New Roman"/>
                <w:color w:val="auto"/>
                <w:kern w:val="2"/>
                <w:sz w:val="24"/>
                <w:szCs w:val="24"/>
                <w:lang w:val="en-US" w:eastAsia="zh-CN" w:bidi="ar-SA"/>
              </w:rPr>
              <w:t>m，沉</w:t>
            </w:r>
            <w:r>
              <w:rPr>
                <w:rFonts w:hint="eastAsia" w:eastAsia="宋体" w:cs="Times New Roman"/>
                <w:color w:val="auto"/>
                <w:kern w:val="2"/>
                <w:sz w:val="24"/>
                <w:szCs w:val="24"/>
                <w:lang w:val="en-US" w:eastAsia="zh-CN" w:bidi="ar-SA"/>
              </w:rPr>
              <w:t>沙</w:t>
            </w:r>
            <w:r>
              <w:rPr>
                <w:rFonts w:hint="default" w:ascii="Times New Roman" w:hAnsi="Times New Roman" w:eastAsia="宋体" w:cs="Times New Roman"/>
                <w:color w:val="auto"/>
                <w:kern w:val="2"/>
                <w:sz w:val="24"/>
                <w:szCs w:val="24"/>
                <w:lang w:val="en-US" w:eastAsia="zh-CN" w:bidi="ar-SA"/>
              </w:rPr>
              <w:t>池</w:t>
            </w: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座</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临时覆盖</w:t>
            </w:r>
            <w:r>
              <w:rPr>
                <w:rFonts w:hint="eastAsia" w:ascii="Times New Roman" w:hAnsi="Times New Roman" w:eastAsia="宋体" w:cs="Times New Roman"/>
                <w:color w:val="auto"/>
                <w:kern w:val="2"/>
                <w:sz w:val="24"/>
                <w:szCs w:val="24"/>
                <w:lang w:val="en-US" w:eastAsia="zh-CN" w:bidi="ar-SA"/>
              </w:rPr>
              <w:t>1000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，临时铺垫2500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p>
          <w:p w14:paraId="7716CDA5">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5</w:t>
            </w:r>
            <w:r>
              <w:rPr>
                <w:rFonts w:hint="default"/>
                <w:b/>
                <w:bCs/>
                <w:color w:val="auto"/>
                <w:sz w:val="24"/>
                <w:highlight w:val="none"/>
                <w:shd w:val="clear" w:color="auto" w:fill="auto"/>
                <w:lang w:val="en-US"/>
              </w:rPr>
              <w:t>）补偿措施</w:t>
            </w:r>
          </w:p>
          <w:p w14:paraId="697EEF5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color w:val="auto"/>
                <w:sz w:val="24"/>
                <w:highlight w:val="none"/>
                <w:shd w:val="clear" w:color="auto" w:fill="auto"/>
                <w:lang w:val="en-US"/>
              </w:rPr>
            </w:pPr>
            <w:r>
              <w:rPr>
                <w:rFonts w:hint="eastAsia"/>
                <w:color w:val="auto"/>
                <w:sz w:val="24"/>
                <w:highlight w:val="none"/>
                <w:shd w:val="clear" w:color="auto" w:fill="auto"/>
                <w:lang w:val="en-US"/>
              </w:rPr>
              <w:t>项目</w:t>
            </w:r>
            <w:r>
              <w:rPr>
                <w:rFonts w:hint="eastAsia"/>
                <w:color w:val="auto"/>
                <w:sz w:val="24"/>
                <w:highlight w:val="none"/>
                <w:shd w:val="clear" w:color="auto" w:fill="auto"/>
              </w:rPr>
              <w:t>建设要永久性的和临时性占用一部分</w:t>
            </w:r>
            <w:r>
              <w:rPr>
                <w:rFonts w:hint="eastAsia" w:eastAsia="宋体"/>
                <w:color w:val="auto"/>
                <w:sz w:val="24"/>
                <w:highlight w:val="none"/>
                <w:shd w:val="clear" w:color="auto" w:fill="auto"/>
                <w:lang w:val="en-US" w:eastAsia="zh-CN"/>
              </w:rPr>
              <w:t>灌木</w:t>
            </w:r>
            <w:r>
              <w:rPr>
                <w:rFonts w:hint="eastAsia"/>
                <w:color w:val="auto"/>
                <w:sz w:val="24"/>
                <w:highlight w:val="none"/>
                <w:shd w:val="clear" w:color="auto" w:fill="auto"/>
              </w:rPr>
              <w:t>林地、</w:t>
            </w:r>
            <w:r>
              <w:rPr>
                <w:rFonts w:hint="eastAsia" w:eastAsia="宋体"/>
                <w:color w:val="auto"/>
                <w:sz w:val="24"/>
                <w:highlight w:val="none"/>
                <w:shd w:val="clear" w:color="auto" w:fill="auto"/>
                <w:lang w:val="en-US" w:eastAsia="zh-CN"/>
              </w:rPr>
              <w:t>其他林地和其他草地</w:t>
            </w:r>
            <w:r>
              <w:rPr>
                <w:rFonts w:hint="eastAsia"/>
                <w:color w:val="auto"/>
                <w:sz w:val="24"/>
                <w:highlight w:val="none"/>
                <w:shd w:val="clear" w:color="auto" w:fill="auto"/>
              </w:rPr>
              <w:t>，使这些资源受到损失，因此必须按照国家相关土地补偿标准予以补偿。应根据国家关于林地补偿相关规定，向地方缴纳森林植被恢复费，补偿</w:t>
            </w:r>
            <w:r>
              <w:rPr>
                <w:rFonts w:hint="eastAsia"/>
                <w:color w:val="auto"/>
                <w:sz w:val="24"/>
                <w:highlight w:val="none"/>
                <w:shd w:val="clear" w:color="auto" w:fill="auto"/>
                <w:lang w:val="en-US"/>
              </w:rPr>
              <w:t>项目</w:t>
            </w:r>
            <w:r>
              <w:rPr>
                <w:rFonts w:hint="eastAsia"/>
                <w:color w:val="auto"/>
                <w:sz w:val="24"/>
                <w:highlight w:val="none"/>
                <w:shd w:val="clear" w:color="auto" w:fill="auto"/>
              </w:rPr>
              <w:t>占地造成的损失，专款用于林地恢复、异地造林和养护。</w:t>
            </w:r>
          </w:p>
          <w:p w14:paraId="38A2A335">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宋体" w:hAnsi="宋体" w:eastAsia="宋体" w:cs="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6</w:t>
            </w:r>
            <w:r>
              <w:rPr>
                <w:rFonts w:hint="default"/>
                <w:b/>
                <w:bCs/>
                <w:color w:val="auto"/>
                <w:sz w:val="24"/>
                <w:highlight w:val="none"/>
                <w:shd w:val="clear" w:color="auto" w:fill="auto"/>
                <w:lang w:val="en-US"/>
              </w:rPr>
              <w:t>）管理措施</w:t>
            </w:r>
          </w:p>
          <w:p w14:paraId="68FF0A73">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严格按照征地范围进行施工，划定最小施工范围，严格划定施工界限，禁止超范围占地，避免超计划占用林地、林木，严禁随意扩大占地范围，严禁施工人员砍伐、破坏工程占地区外的植被，严禁在征地范围外堆渣等作业，减少植被受影响面积。</w:t>
            </w:r>
          </w:p>
          <w:p w14:paraId="5B848D9D">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②施工应加强施工期的环境监理工作，定期编制环境监理报送相关部门。</w:t>
            </w:r>
          </w:p>
          <w:p w14:paraId="080D398C">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建设单位应成立监督管理机构，制定相应的管理、奖惩制度，配备专职人员对工程施工的全过程进行监督管理。杜绝乱砍滥伐、捕猎行为的发生；加强林业管理，严禁捕猎鸟类、兽类、砍伐非施工区域的植物，违者应依法处理。同时注意森林防火，避免森林火灾的发生。工程建设区应设置警示牌提醒施工人员，保护生态环境。</w:t>
            </w:r>
          </w:p>
          <w:p w14:paraId="698C686A">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④施工结束后应督促施工单位及时拆除临时建筑，清理，恢复土层，采用当地植物对临时占用的施工场</w:t>
            </w:r>
            <w:r>
              <w:rPr>
                <w:rFonts w:hint="eastAsia" w:eastAsia="宋体" w:cs="Times New Roman"/>
                <w:color w:val="auto"/>
                <w:kern w:val="2"/>
                <w:sz w:val="24"/>
                <w:szCs w:val="24"/>
                <w:lang w:val="en-US" w:eastAsia="zh-CN" w:bidi="ar-SA"/>
              </w:rPr>
              <w:t>地</w:t>
            </w:r>
            <w:r>
              <w:rPr>
                <w:rFonts w:hint="eastAsia" w:ascii="Times New Roman" w:hAnsi="Times New Roman" w:eastAsia="宋体" w:cs="Times New Roman"/>
                <w:color w:val="auto"/>
                <w:kern w:val="2"/>
                <w:sz w:val="24"/>
                <w:szCs w:val="24"/>
                <w:lang w:val="en-US" w:eastAsia="zh-CN" w:bidi="ar-SA"/>
              </w:rPr>
              <w:t>进行“恢复性”种植，促进自然恢复。</w:t>
            </w:r>
          </w:p>
          <w:p w14:paraId="4F37366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⑤</w:t>
            </w:r>
            <w:r>
              <w:rPr>
                <w:rFonts w:hint="eastAsia" w:ascii="Times New Roman" w:hAnsi="Times New Roman" w:eastAsia="宋体" w:cs="Times New Roman"/>
                <w:color w:val="auto"/>
                <w:kern w:val="2"/>
                <w:sz w:val="24"/>
                <w:szCs w:val="24"/>
                <w:lang w:val="en-US" w:eastAsia="zh-CN" w:bidi="ar-SA"/>
              </w:rPr>
              <w:t>植被恢复期应注意加强管理巡查，做好浇水、施肥保障措施，若发现种植的植物死亡，应查明死亡原因，并进行补种和加强管理。</w:t>
            </w:r>
          </w:p>
          <w:p w14:paraId="02E6D8B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
                <w:bCs/>
                <w:color w:val="auto"/>
                <w:sz w:val="24"/>
                <w:highlight w:val="none"/>
                <w:shd w:val="clear" w:color="auto" w:fill="auto"/>
              </w:rPr>
            </w:pPr>
            <w:r>
              <w:rPr>
                <w:rFonts w:hint="eastAsia" w:ascii="宋体" w:hAnsi="宋体" w:cs="宋体"/>
                <w:color w:val="auto"/>
                <w:sz w:val="24"/>
                <w:highlight w:val="none"/>
                <w:shd w:val="clear" w:color="auto" w:fill="auto"/>
              </w:rPr>
              <w:t>以上生态影响保护措施经济合理，便于实施，在采取上述措施后，可有效控制水土流失，保护区域生态环境，使本项目的建设对生态环境的影响在环境可接受的范围内。</w:t>
            </w:r>
          </w:p>
          <w:p w14:paraId="1C4CA56F">
            <w:pPr>
              <w:keepNext w:val="0"/>
              <w:keepLines w:val="0"/>
              <w:widowControl/>
              <w:suppressLineNumbers w:val="0"/>
              <w:shd w:val="clear"/>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二、对生态保护红线、基本农田和公益林等保护措施及要求</w:t>
            </w:r>
          </w:p>
          <w:p w14:paraId="217721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（1）施工期优化布置，项目施工</w:t>
            </w:r>
            <w:r>
              <w:rPr>
                <w:rFonts w:hint="eastAsia" w:ascii="Times New Roman" w:hAnsi="Times New Roman" w:cs="Times New Roman"/>
                <w:b w:val="0"/>
                <w:bCs/>
                <w:color w:val="auto"/>
                <w:spacing w:val="0"/>
                <w:sz w:val="24"/>
                <w:lang w:val="en-US" w:eastAsia="zh-CN"/>
              </w:rPr>
              <w:t>场</w:t>
            </w:r>
            <w:r>
              <w:rPr>
                <w:rFonts w:hint="default" w:ascii="Times New Roman" w:hAnsi="Times New Roman" w:cs="Times New Roman"/>
                <w:b w:val="0"/>
                <w:bCs/>
                <w:color w:val="auto"/>
                <w:spacing w:val="0"/>
                <w:sz w:val="24"/>
              </w:rPr>
              <w:t>地等临时工程选址禁止占用生态保护红线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，并尽量远离生态保护红线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w:t>
            </w:r>
          </w:p>
          <w:p w14:paraId="1C3462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（2）对易产生扬尘污染材料的堆放、装卸，应采取有效遮盖、封闭等防尘措施</w:t>
            </w:r>
            <w:r>
              <w:rPr>
                <w:rFonts w:hint="eastAsia" w:ascii="Times New Roman" w:hAnsi="Times New Roman" w:cs="Times New Roman"/>
                <w:b w:val="0"/>
                <w:bCs/>
                <w:color w:val="auto"/>
                <w:spacing w:val="0"/>
                <w:sz w:val="24"/>
                <w:lang w:eastAsia="zh-CN"/>
              </w:rPr>
              <w:t>，</w:t>
            </w:r>
            <w:r>
              <w:rPr>
                <w:rFonts w:hint="default" w:ascii="Times New Roman" w:hAnsi="Times New Roman" w:cs="Times New Roman"/>
                <w:b w:val="0"/>
                <w:bCs/>
                <w:color w:val="auto"/>
                <w:spacing w:val="0"/>
                <w:sz w:val="24"/>
              </w:rPr>
              <w:t>禁止露天长期敞开堆放易产生扬尘的材料；运输易产生扬尘材料时应按规定实施密闭运输，实现无抛洒滴漏，减轻粉尘对生态保护红线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内植被的影响。</w:t>
            </w:r>
          </w:p>
          <w:p w14:paraId="45AE08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（3）临近生态保护红线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的施工材料堆放场地应设围挡措施，避免造成生态保护红线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内的地表原始植被丧失和土壤结构的破坏。</w:t>
            </w:r>
          </w:p>
          <w:p w14:paraId="4CC68D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（4）要求施工时加强施工管理，严格按项目划定的</w:t>
            </w:r>
            <w:r>
              <w:rPr>
                <w:rFonts w:hint="eastAsia" w:ascii="Times New Roman" w:hAnsi="Times New Roman" w:cs="Times New Roman"/>
                <w:b w:val="0"/>
                <w:bCs/>
                <w:color w:val="auto"/>
                <w:spacing w:val="0"/>
                <w:sz w:val="24"/>
                <w:lang w:val="en-US" w:eastAsia="zh-CN"/>
              </w:rPr>
              <w:t>红线</w:t>
            </w:r>
            <w:r>
              <w:rPr>
                <w:rFonts w:hint="default" w:ascii="Times New Roman" w:hAnsi="Times New Roman" w:cs="Times New Roman"/>
                <w:b w:val="0"/>
                <w:bCs/>
                <w:color w:val="auto"/>
                <w:spacing w:val="0"/>
                <w:sz w:val="24"/>
              </w:rPr>
              <w:t>范围施工，不得越界。施工严格限制施工机械和人员活动范围，必要时使用地表铺垫（草垫、钢板垫），减少生态影响。</w:t>
            </w:r>
          </w:p>
          <w:p w14:paraId="29BA61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w:t>
            </w:r>
            <w:r>
              <w:rPr>
                <w:rFonts w:hint="eastAsia" w:ascii="Times New Roman" w:hAnsi="Times New Roman" w:cs="Times New Roman"/>
                <w:b w:val="0"/>
                <w:bCs/>
                <w:color w:val="auto"/>
                <w:spacing w:val="0"/>
                <w:sz w:val="24"/>
                <w:lang w:val="en-US" w:eastAsia="zh-CN"/>
              </w:rPr>
              <w:t>5</w:t>
            </w:r>
            <w:r>
              <w:rPr>
                <w:rFonts w:hint="default" w:ascii="Times New Roman" w:hAnsi="Times New Roman" w:cs="Times New Roman"/>
                <w:b w:val="0"/>
                <w:bCs/>
                <w:color w:val="auto"/>
                <w:spacing w:val="0"/>
                <w:sz w:val="24"/>
              </w:rPr>
              <w:t>）加强施工人员生态保护教育，严禁捕猎、捕食野生动物和随意砍伐、践踏植被；在紧邻生态保护红线</w:t>
            </w:r>
            <w:r>
              <w:rPr>
                <w:rFonts w:hint="eastAsia" w:ascii="Times New Roman" w:hAnsi="Times New Roman" w:cs="Times New Roman"/>
                <w:b w:val="0"/>
                <w:bCs/>
                <w:color w:val="auto"/>
                <w:spacing w:val="0"/>
                <w:sz w:val="24"/>
                <w:lang w:val="en-US" w:eastAsia="zh-CN"/>
              </w:rPr>
              <w:t>和基本农田</w:t>
            </w:r>
            <w:r>
              <w:rPr>
                <w:rFonts w:hint="default" w:ascii="Times New Roman" w:hAnsi="Times New Roman" w:cs="Times New Roman"/>
                <w:b w:val="0"/>
                <w:bCs/>
                <w:color w:val="auto"/>
                <w:spacing w:val="0"/>
                <w:sz w:val="24"/>
              </w:rPr>
              <w:t>的边界竖立施工警示标牌。</w:t>
            </w:r>
          </w:p>
          <w:p w14:paraId="4410739D">
            <w:pPr>
              <w:keepNext w:val="0"/>
              <w:keepLines w:val="0"/>
              <w:widowControl/>
              <w:suppressLineNumbers w:val="0"/>
              <w:shd w:val="clear"/>
              <w:spacing w:before="0" w:beforeAutospacing="0" w:after="0" w:afterAutospacing="0" w:line="360" w:lineRule="auto"/>
              <w:ind w:left="0" w:right="0" w:firstLine="480" w:firstLineChars="200"/>
              <w:jc w:val="left"/>
              <w:rPr>
                <w:rFonts w:hint="eastAsia"/>
                <w:b/>
                <w:bCs/>
                <w:color w:val="auto"/>
                <w:sz w:val="24"/>
                <w:highlight w:val="none"/>
                <w:shd w:val="clear" w:color="auto" w:fill="auto"/>
              </w:rPr>
            </w:pPr>
            <w:r>
              <w:rPr>
                <w:rFonts w:hint="default" w:ascii="Times New Roman" w:hAnsi="Times New Roman" w:cs="Times New Roman"/>
                <w:b w:val="0"/>
                <w:bCs/>
                <w:color w:val="auto"/>
                <w:spacing w:val="0"/>
                <w:sz w:val="24"/>
              </w:rPr>
              <w:t>（</w:t>
            </w:r>
            <w:r>
              <w:rPr>
                <w:rFonts w:hint="eastAsia" w:ascii="Times New Roman" w:hAnsi="Times New Roman" w:cs="Times New Roman"/>
                <w:b w:val="0"/>
                <w:bCs/>
                <w:color w:val="auto"/>
                <w:spacing w:val="0"/>
                <w:sz w:val="24"/>
                <w:lang w:val="en-US" w:eastAsia="zh-CN"/>
              </w:rPr>
              <w:t>6</w:t>
            </w:r>
            <w:r>
              <w:rPr>
                <w:rFonts w:hint="default" w:ascii="Times New Roman" w:hAnsi="Times New Roman" w:cs="Times New Roman"/>
                <w:b w:val="0"/>
                <w:bCs/>
                <w:color w:val="auto"/>
                <w:spacing w:val="0"/>
                <w:sz w:val="24"/>
              </w:rPr>
              <w:t>）对于临时占地区域的表层土予以收集保存，施工结束后及时清理、松土、覆盖表层土；</w:t>
            </w:r>
            <w:r>
              <w:rPr>
                <w:rFonts w:hint="eastAsia" w:ascii="宋体" w:hAnsi="宋体" w:eastAsia="宋体" w:cs="宋体"/>
                <w:b w:val="0"/>
                <w:bCs/>
                <w:color w:val="auto"/>
                <w:spacing w:val="0"/>
                <w:sz w:val="24"/>
              </w:rPr>
              <w:t>在“适地适树、适地适草”的</w:t>
            </w:r>
            <w:r>
              <w:rPr>
                <w:rFonts w:hint="default" w:ascii="Times New Roman" w:hAnsi="Times New Roman" w:cs="Times New Roman"/>
                <w:b w:val="0"/>
                <w:bCs/>
                <w:color w:val="auto"/>
                <w:spacing w:val="0"/>
                <w:sz w:val="24"/>
              </w:rPr>
              <w:t>原则下，选用灌草结合的方式进行植被恢复，植物种类选择当地乡土物种，重点考虑根量多、根域广、林冠层郁闭度高且水源涵养性能高的灌草物种，并加强后期养护和维护</w:t>
            </w:r>
            <w:r>
              <w:rPr>
                <w:rFonts w:hint="eastAsia" w:ascii="Times New Roman" w:hAnsi="Times New Roman" w:cs="Times New Roman"/>
                <w:b w:val="0"/>
                <w:bCs/>
                <w:color w:val="auto"/>
                <w:spacing w:val="0"/>
                <w:sz w:val="24"/>
                <w:lang w:eastAsia="zh-CN"/>
              </w:rPr>
              <w:t>。</w:t>
            </w:r>
          </w:p>
          <w:p w14:paraId="01AFFECF">
            <w:pPr>
              <w:keepNext w:val="0"/>
              <w:keepLines w:val="0"/>
              <w:widowControl/>
              <w:suppressLineNumbers w:val="0"/>
              <w:shd w:val="clear"/>
              <w:spacing w:before="0" w:beforeAutospacing="0" w:after="0" w:afterAutospacing="0" w:line="360" w:lineRule="auto"/>
              <w:ind w:left="0" w:right="0" w:firstLine="482" w:firstLineChars="200"/>
              <w:jc w:val="left"/>
              <w:rPr>
                <w:rFonts w:hint="default"/>
                <w:b/>
                <w:color w:val="auto"/>
                <w:spacing w:val="10"/>
                <w:sz w:val="24"/>
                <w:highlight w:val="none"/>
                <w:shd w:val="clear" w:color="auto" w:fill="auto"/>
              </w:rPr>
            </w:pPr>
            <w:r>
              <w:rPr>
                <w:rFonts w:hint="eastAsia"/>
                <w:b/>
                <w:bCs/>
                <w:color w:val="auto"/>
                <w:sz w:val="24"/>
                <w:highlight w:val="none"/>
                <w:shd w:val="clear" w:color="auto" w:fill="auto"/>
                <w:lang w:val="en-US" w:eastAsia="zh-CN"/>
              </w:rPr>
              <w:t>三、</w:t>
            </w:r>
            <w:r>
              <w:rPr>
                <w:rFonts w:hint="default"/>
                <w:b/>
                <w:bCs/>
                <w:color w:val="auto"/>
                <w:sz w:val="24"/>
                <w:highlight w:val="none"/>
                <w:shd w:val="clear" w:color="auto" w:fill="auto"/>
              </w:rPr>
              <w:t>污染影响控制措施</w:t>
            </w:r>
          </w:p>
          <w:p w14:paraId="31AAA5AF">
            <w:pPr>
              <w:pStyle w:val="91"/>
              <w:keepNext w:val="0"/>
              <w:keepLines w:val="0"/>
              <w:suppressLineNumbers w:val="0"/>
              <w:shd w:val="clear"/>
              <w:overflowPunct w:val="0"/>
              <w:spacing w:before="0" w:beforeAutospacing="0" w:after="0" w:afterAutospacing="0" w:line="360" w:lineRule="auto"/>
              <w:ind w:left="0" w:right="0" w:firstLine="482" w:firstLineChars="200"/>
              <w:jc w:val="left"/>
              <w:rPr>
                <w:rFonts w:hint="default"/>
                <w:b/>
                <w:color w:val="auto"/>
                <w:spacing w:val="10"/>
                <w:sz w:val="24"/>
                <w:szCs w:val="24"/>
                <w:highlight w:val="none"/>
                <w:shd w:val="clear" w:color="auto" w:fill="auto"/>
              </w:rPr>
            </w:pPr>
            <w:r>
              <w:rPr>
                <w:rFonts w:hint="eastAsia" w:eastAsia="宋体"/>
                <w:b/>
                <w:bCs/>
                <w:color w:val="auto"/>
                <w:sz w:val="24"/>
                <w:szCs w:val="24"/>
                <w:highlight w:val="none"/>
                <w:shd w:val="clear" w:color="auto" w:fill="auto"/>
                <w:lang w:val="en-US"/>
              </w:rPr>
              <w:t>1、</w:t>
            </w:r>
            <w:r>
              <w:rPr>
                <w:rFonts w:hint="eastAsia" w:ascii="宋体" w:hAnsi="宋体" w:eastAsia="宋体" w:cs="宋体"/>
                <w:b/>
                <w:bCs/>
                <w:color w:val="auto"/>
                <w:kern w:val="0"/>
                <w:sz w:val="24"/>
                <w:szCs w:val="24"/>
                <w:highlight w:val="none"/>
                <w:shd w:val="clear" w:color="auto" w:fill="auto"/>
                <w:lang w:val="en-US" w:bidi="ar"/>
              </w:rPr>
              <w:t>大气环境</w:t>
            </w:r>
            <w:r>
              <w:rPr>
                <w:rFonts w:hint="default" w:eastAsia="宋体"/>
                <w:b/>
                <w:bCs/>
                <w:color w:val="auto"/>
                <w:sz w:val="24"/>
                <w:szCs w:val="24"/>
                <w:highlight w:val="none"/>
                <w:shd w:val="clear" w:color="auto" w:fill="auto"/>
                <w:lang w:val="en-US"/>
              </w:rPr>
              <w:t>控制措施</w:t>
            </w:r>
          </w:p>
          <w:p w14:paraId="299D70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pacing w:val="0"/>
                <w:sz w:val="24"/>
                <w:szCs w:val="24"/>
                <w:lang w:val="en-US" w:eastAsia="zh-CN"/>
              </w:rPr>
            </w:pP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租用</w:t>
            </w:r>
            <w:r>
              <w:rPr>
                <w:rFonts w:hint="default" w:ascii="Times New Roman" w:hAnsi="Times New Roman" w:eastAsia="宋体" w:cs="Times New Roman"/>
                <w:color w:val="auto"/>
                <w:sz w:val="24"/>
                <w:szCs w:val="24"/>
                <w:lang w:val="en-US" w:eastAsia="zh-CN"/>
              </w:rPr>
              <w:t>1辆洒水车，</w:t>
            </w:r>
            <w:r>
              <w:rPr>
                <w:rFonts w:hint="eastAsia" w:ascii="Times New Roman" w:hAnsi="Times New Roman" w:eastAsia="宋体" w:cs="Times New Roman"/>
                <w:bCs/>
                <w:color w:val="auto"/>
                <w:spacing w:val="0"/>
                <w:sz w:val="24"/>
                <w:szCs w:val="24"/>
                <w:lang w:val="en-US" w:eastAsia="zh-CN"/>
              </w:rPr>
              <w:t>施工期间根据具体情况适时对施工现场、交通道路洒水至少</w:t>
            </w:r>
            <w:r>
              <w:rPr>
                <w:rFonts w:hint="default" w:ascii="Times New Roman" w:hAnsi="Times New Roman" w:eastAsia="宋体" w:cs="Times New Roman"/>
                <w:bCs/>
                <w:color w:val="auto"/>
                <w:spacing w:val="0"/>
                <w:sz w:val="24"/>
                <w:szCs w:val="24"/>
                <w:lang w:val="en-US" w:eastAsia="zh-CN"/>
              </w:rPr>
              <w:t>2</w:t>
            </w:r>
            <w:r>
              <w:rPr>
                <w:rFonts w:hint="eastAsia" w:ascii="Times New Roman" w:hAnsi="Times New Roman" w:eastAsia="宋体" w:cs="Times New Roman"/>
                <w:bCs/>
                <w:color w:val="auto"/>
                <w:spacing w:val="0"/>
                <w:sz w:val="24"/>
                <w:szCs w:val="24"/>
                <w:lang w:val="en-US" w:eastAsia="zh-CN"/>
              </w:rPr>
              <w:t>次（降雨日除外），春季干旱多风日可适当增加洒水次数，车辆物资运输经过的路段应增加洒水次数。重点加强对施工现场及居民点附近交通道路的洒水降尘</w:t>
            </w:r>
            <w:r>
              <w:rPr>
                <w:rFonts w:hint="eastAsia" w:cs="Times New Roman"/>
                <w:bCs/>
                <w:color w:val="auto"/>
                <w:spacing w:val="0"/>
                <w:sz w:val="24"/>
                <w:szCs w:val="24"/>
                <w:lang w:val="en-US" w:eastAsia="zh-CN"/>
              </w:rPr>
              <w:t>；施工区</w:t>
            </w:r>
            <w:r>
              <w:rPr>
                <w:rFonts w:hint="default" w:ascii="Times New Roman" w:hAnsi="Times New Roman" w:eastAsia="宋体" w:cs="Times New Roman"/>
                <w:color w:val="auto"/>
                <w:sz w:val="24"/>
                <w:szCs w:val="24"/>
                <w:lang w:val="en-US" w:eastAsia="zh-CN"/>
              </w:rPr>
              <w:t>散体材料库内存放、露天存放应采用防尘网遮盖，表土堆场土工布遮盖</w:t>
            </w:r>
            <w:r>
              <w:rPr>
                <w:rFonts w:hint="eastAsia" w:ascii="Times New Roman" w:hAnsi="Times New Roman" w:eastAsia="宋体" w:cs="Times New Roman"/>
                <w:color w:val="auto"/>
                <w:sz w:val="24"/>
                <w:szCs w:val="24"/>
                <w:lang w:val="en-US" w:eastAsia="zh-CN"/>
              </w:rPr>
              <w:t>；</w:t>
            </w:r>
          </w:p>
          <w:p w14:paraId="7638AB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）在施工中合理组织施工，缩短施工时间，尽量减少施工污染； </w:t>
            </w:r>
          </w:p>
          <w:p w14:paraId="29909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）加强监督管理，运输车辆采取篷布遮盖等封闭措施，以避免运输途中砂石、水泥等</w:t>
            </w:r>
            <w:r>
              <w:rPr>
                <w:rFonts w:hint="eastAsia" w:cs="Times New Roman"/>
                <w:color w:val="auto"/>
                <w:sz w:val="24"/>
                <w:szCs w:val="24"/>
                <w:lang w:val="en-US" w:eastAsia="zh-CN"/>
              </w:rPr>
              <w:t>固体</w:t>
            </w:r>
            <w:r>
              <w:rPr>
                <w:rFonts w:hint="default" w:ascii="Times New Roman" w:hAnsi="Times New Roman" w:eastAsia="宋体" w:cs="Times New Roman"/>
                <w:color w:val="auto"/>
                <w:sz w:val="24"/>
                <w:szCs w:val="24"/>
                <w:lang w:val="en-US" w:eastAsia="zh-CN"/>
              </w:rPr>
              <w:t>材料洒落；运输车辆不得超量运载；运输车辆经过村庄路段应减速行驶，并安排专人定期对运输道路进行维护清扫、洒水降尘；</w:t>
            </w:r>
          </w:p>
          <w:p w14:paraId="79B15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）施工后要及时清理平整场地、及时实施地面绿化措施</w:t>
            </w:r>
            <w:r>
              <w:rPr>
                <w:rFonts w:hint="default" w:ascii="Times New Roman" w:hAnsi="Times New Roman" w:eastAsia="宋体" w:cs="Times New Roman"/>
                <w:color w:val="auto"/>
                <w:sz w:val="24"/>
                <w:szCs w:val="24"/>
                <w:lang w:eastAsia="zh-CN"/>
              </w:rPr>
              <w:t>。</w:t>
            </w:r>
          </w:p>
          <w:p w14:paraId="1DE71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本项目建设施工应由建设单位指定专人负责施工现场扬尘污染措施的实施和监督。施工工地出入口必须设立环境保护监督牌。必须注明项目名称、建设单位、施工单位、防治扬尘污染现场监督员姓名和联系电话、项目工程、生态环境措施、举报电话等内容；</w:t>
            </w:r>
          </w:p>
          <w:p w14:paraId="7975E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）出现五级以上大风天气时，禁止进行土方等易产生扬尘污染的施工作业；</w:t>
            </w:r>
          </w:p>
          <w:p w14:paraId="29911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放</w:t>
            </w:r>
            <w:r>
              <w:rPr>
                <w:rFonts w:hint="eastAsia" w:cs="Times New Roman"/>
                <w:color w:val="auto"/>
                <w:sz w:val="24"/>
                <w:szCs w:val="24"/>
                <w:lang w:val="en-US" w:eastAsia="zh-CN"/>
              </w:rPr>
              <w:t>；</w:t>
            </w:r>
          </w:p>
          <w:p w14:paraId="291E20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spacing w:val="0"/>
                <w:sz w:val="24"/>
                <w:szCs w:val="24"/>
                <w:lang w:val="en-US" w:eastAsia="zh-CN"/>
              </w:rPr>
              <w:t>（8）限制运输车辆的行驶速度，场地内的行车速度不得超过</w:t>
            </w:r>
            <w:r>
              <w:rPr>
                <w:rFonts w:hint="default" w:ascii="Times New Roman" w:hAnsi="Times New Roman" w:eastAsia="宋体" w:cs="Times New Roman"/>
                <w:bCs/>
                <w:color w:val="auto"/>
                <w:spacing w:val="0"/>
                <w:sz w:val="24"/>
                <w:szCs w:val="24"/>
                <w:lang w:val="en-US" w:eastAsia="zh-CN"/>
              </w:rPr>
              <w:t>20km/h</w:t>
            </w:r>
            <w:r>
              <w:rPr>
                <w:rFonts w:hint="eastAsia" w:cs="Times New Roman"/>
                <w:bCs/>
                <w:color w:val="auto"/>
                <w:spacing w:val="0"/>
                <w:sz w:val="24"/>
                <w:szCs w:val="24"/>
                <w:lang w:val="en-US" w:eastAsia="zh-CN"/>
              </w:rPr>
              <w:t>；</w:t>
            </w:r>
          </w:p>
          <w:p w14:paraId="6C7E0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eastAsia" w:ascii="Times New Roman" w:hAnsi="Times New Roman" w:eastAsia="宋体" w:cs="Times New Roman"/>
                <w:color w:val="auto"/>
                <w:sz w:val="24"/>
                <w:szCs w:val="24"/>
                <w:lang w:val="en-US" w:eastAsia="zh-CN"/>
              </w:rPr>
              <w:t>（9）在施工期间，建设单位和施工单位还应执行《云南省人民政府关于印发云南省打赢蓝天保卫战三年行动计划实施方案的通知》（云政发〔2018〕44号）、《云南省大气污染防治条例》（2019年1月1日）中的相关要求，落实施工扬尘控制措施，在施工合同中确定扬尘污染防治目标及施工单位扬尘污染防治责任，施工作业人员上岗前，施工单位应组织以国家法律法规、技术规范、管理制度和操作规程为主要内容的扬尘防治</w:t>
            </w:r>
            <w:r>
              <w:rPr>
                <w:rFonts w:hint="eastAsia" w:cs="Times New Roman"/>
                <w:color w:val="auto"/>
                <w:sz w:val="24"/>
                <w:szCs w:val="24"/>
                <w:lang w:val="en-US" w:eastAsia="zh-CN"/>
              </w:rPr>
              <w:t>日常</w:t>
            </w:r>
            <w:r>
              <w:rPr>
                <w:rFonts w:hint="eastAsia" w:ascii="Times New Roman" w:hAnsi="Times New Roman" w:eastAsia="宋体" w:cs="Times New Roman"/>
                <w:color w:val="auto"/>
                <w:sz w:val="24"/>
                <w:szCs w:val="24"/>
                <w:lang w:val="en-US" w:eastAsia="zh-CN"/>
              </w:rPr>
              <w:t>教育培训和考核等</w:t>
            </w:r>
            <w:r>
              <w:rPr>
                <w:rFonts w:hint="eastAsia" w:cs="Times New Roman"/>
                <w:color w:val="auto"/>
                <w:sz w:val="24"/>
                <w:szCs w:val="24"/>
                <w:lang w:val="en-US" w:eastAsia="zh-CN"/>
              </w:rPr>
              <w:t>；</w:t>
            </w:r>
          </w:p>
          <w:p w14:paraId="544BF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）推行绿色文明施工管理模式，建设单位、施工单位在合同中依法明确扬尘污染治理实施方案和责任，并将防治费用列入工程成本，单独列支，专款专用。</w:t>
            </w:r>
          </w:p>
          <w:p w14:paraId="5365F94A">
            <w:pPr>
              <w:pStyle w:val="91"/>
              <w:keepNext w:val="0"/>
              <w:keepLines w:val="0"/>
              <w:suppressLineNumbers w:val="0"/>
              <w:overflowPunct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sz w:val="24"/>
                <w:highlight w:val="none"/>
              </w:rPr>
              <w:t>当采取上述大气污染物防治措施后，项目区施工期粉尘污染物将得到有效控制，厂界及敏感点大气污染物将可达到《大气污染物综合排放标准》（GB16297-1996）表2中无组织排放监控浓度限值标准，</w:t>
            </w:r>
            <w:r>
              <w:rPr>
                <w:rFonts w:hint="eastAsia"/>
                <w:color w:val="auto"/>
                <w:sz w:val="24"/>
                <w:highlight w:val="none"/>
                <w:lang w:val="en-US" w:eastAsia="zh-CN"/>
              </w:rPr>
              <w:t>且</w:t>
            </w:r>
            <w:r>
              <w:rPr>
                <w:rFonts w:hint="eastAsia"/>
                <w:color w:val="auto"/>
                <w:sz w:val="24"/>
                <w:highlight w:val="none"/>
              </w:rPr>
              <w:t>上述大气污染物治理措施不涉及专业设备及设施，仅涉</w:t>
            </w:r>
            <w:r>
              <w:rPr>
                <w:rFonts w:hint="eastAsia"/>
                <w:color w:val="auto"/>
                <w:sz w:val="24"/>
              </w:rPr>
              <w:t>及一般管理要求，因此，经济成本较低，措施操作简单易行</w:t>
            </w:r>
            <w:r>
              <w:rPr>
                <w:rFonts w:hint="eastAsia"/>
                <w:color w:val="auto"/>
                <w:sz w:val="24"/>
                <w:lang w:eastAsia="zh-CN"/>
              </w:rPr>
              <w:t>，</w:t>
            </w:r>
            <w:r>
              <w:rPr>
                <w:rFonts w:hint="default"/>
                <w:color w:val="auto"/>
                <w:sz w:val="24"/>
              </w:rPr>
              <w:t>措施可行</w:t>
            </w:r>
            <w:r>
              <w:rPr>
                <w:rFonts w:hint="eastAsia"/>
                <w:color w:val="auto"/>
                <w:sz w:val="24"/>
                <w:lang w:eastAsia="zh-CN"/>
              </w:rPr>
              <w:t>。</w:t>
            </w:r>
          </w:p>
          <w:p w14:paraId="3BF8C77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b/>
                <w:color w:val="auto"/>
                <w:sz w:val="24"/>
                <w:highlight w:val="none"/>
                <w:shd w:val="clear" w:color="auto" w:fill="auto"/>
                <w:lang w:val="en-US"/>
              </w:rPr>
              <w:t>2、</w:t>
            </w:r>
            <w:r>
              <w:rPr>
                <w:rFonts w:hint="default" w:eastAsia="宋体"/>
                <w:b/>
                <w:bCs/>
                <w:color w:val="auto"/>
                <w:sz w:val="24"/>
                <w:highlight w:val="none"/>
                <w:shd w:val="clear" w:color="auto" w:fill="auto"/>
                <w:lang w:val="en-US"/>
              </w:rPr>
              <w:t>废水控制措施</w:t>
            </w:r>
          </w:p>
          <w:p w14:paraId="6270923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color w:val="auto"/>
                <w:sz w:val="24"/>
              </w:rPr>
              <w:t>（1）</w:t>
            </w:r>
            <w:r>
              <w:rPr>
                <w:rFonts w:hint="default" w:ascii="Times New Roman" w:hAnsi="Times New Roman" w:eastAsia="宋体" w:cs="Times New Roman"/>
                <w:color w:val="auto"/>
                <w:sz w:val="24"/>
                <w:szCs w:val="24"/>
                <w:lang w:val="en-US" w:eastAsia="zh-CN"/>
              </w:rPr>
              <w:t>施工期间应按照水保要求优先完成区内排水沟和沉砂池，为排出场内汇水，光</w:t>
            </w:r>
            <w:r>
              <w:rPr>
                <w:rFonts w:hint="default" w:ascii="Times New Roman" w:hAnsi="Times New Roman" w:eastAsia="宋体" w:cs="Times New Roman"/>
                <w:color w:val="auto"/>
                <w:sz w:val="24"/>
                <w:szCs w:val="24"/>
                <w:highlight w:val="none"/>
                <w:lang w:val="en-US" w:eastAsia="zh-CN"/>
              </w:rPr>
              <w:t>伏方阵区上游应修建排水</w:t>
            </w:r>
            <w:r>
              <w:rPr>
                <w:rFonts w:hint="default" w:ascii="Times New Roman" w:hAnsi="Times New Roman" w:eastAsia="宋体" w:cs="Times New Roman"/>
                <w:color w:val="auto"/>
                <w:sz w:val="24"/>
                <w:szCs w:val="24"/>
                <w:lang w:val="en-US" w:eastAsia="zh-CN"/>
              </w:rPr>
              <w:t>沟；临时施工场地四周布置临时排水沟，末端设置临时沉砂池；雨水径流经沉砂池沉淀处理后，接入周围地表水体。</w:t>
            </w:r>
          </w:p>
          <w:p w14:paraId="45E4B54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lang w:val="en-US" w:eastAsia="zh-CN"/>
              </w:rPr>
              <w:t>2</w:t>
            </w:r>
            <w:r>
              <w:rPr>
                <w:rFonts w:hint="default"/>
                <w:color w:val="auto"/>
                <w:sz w:val="24"/>
              </w:rPr>
              <w:t>）加强管理，做好机械的日常维修保养，杜绝跑、冒、滴、漏现象。另外，雨天应对各类机械、粉状物料进行遮盖防雨。</w:t>
            </w:r>
          </w:p>
          <w:p w14:paraId="0A29290C">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lang w:val="en-US" w:eastAsia="zh-CN"/>
              </w:rPr>
              <w:t>3</w:t>
            </w:r>
            <w:r>
              <w:rPr>
                <w:rFonts w:hint="default"/>
                <w:color w:val="auto"/>
                <w:sz w:val="24"/>
              </w:rPr>
              <w:t>）节约用水，减少施工废水的产生，且尽量避免雨季土石方施工，暴雨期间停止地基开挖等扰动地表类的施工。禁止任何施工废水排入周边地表水。</w:t>
            </w:r>
          </w:p>
          <w:p w14:paraId="44D8FAE3">
            <w:pPr>
              <w:keepNext w:val="0"/>
              <w:keepLines w:val="0"/>
              <w:suppressLineNumbers w:val="0"/>
              <w:spacing w:before="0" w:beforeAutospacing="0" w:after="0" w:afterAutospacing="0" w:line="360" w:lineRule="auto"/>
              <w:ind w:left="0" w:right="0" w:firstLine="480" w:firstLineChars="200"/>
              <w:rPr>
                <w:rFonts w:hint="default" w:eastAsia="宋体"/>
                <w:color w:val="auto"/>
                <w:sz w:val="24"/>
                <w:lang w:val="en-US" w:eastAsia="zh-CN"/>
              </w:rPr>
            </w:pPr>
            <w:r>
              <w:rPr>
                <w:rFonts w:hint="eastAsia" w:eastAsia="宋体"/>
                <w:color w:val="auto"/>
                <w:sz w:val="24"/>
                <w:lang w:val="en-US" w:eastAsia="zh-CN"/>
              </w:rPr>
              <w:t>（4）对饮用水水源保护区的防控措施</w:t>
            </w:r>
          </w:p>
          <w:p w14:paraId="446815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①</w:t>
            </w:r>
            <w:r>
              <w:rPr>
                <w:rFonts w:hint="eastAsia" w:ascii="Times New Roman" w:hAnsi="Times New Roman" w:eastAsia="宋体" w:cs="Times New Roman"/>
                <w:b w:val="0"/>
                <w:bCs/>
                <w:color w:val="auto"/>
                <w:sz w:val="24"/>
                <w:szCs w:val="24"/>
                <w:highlight w:val="none"/>
                <w:lang w:val="en-US" w:eastAsia="zh-CN"/>
              </w:rPr>
              <w:t>严格划定施工范围，禁止超范围施工。</w:t>
            </w:r>
          </w:p>
          <w:p w14:paraId="01C1DE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②</w:t>
            </w:r>
            <w:r>
              <w:rPr>
                <w:rFonts w:hint="eastAsia" w:ascii="Times New Roman" w:hAnsi="Times New Roman" w:eastAsia="宋体" w:cs="Times New Roman"/>
                <w:b w:val="0"/>
                <w:bCs/>
                <w:color w:val="auto"/>
                <w:sz w:val="24"/>
                <w:szCs w:val="24"/>
                <w:highlight w:val="none"/>
                <w:lang w:val="en-US" w:eastAsia="zh-CN"/>
              </w:rPr>
              <w:t>严格按照水保方案进行水土保持，避免施工期大量水土流失对地表水体造成扰动。</w:t>
            </w:r>
          </w:p>
          <w:p w14:paraId="06E5DF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③严禁在保护区范围内挖沙、取土等，不向水体中倾倒固体废物，不破坏保护区相关设施。禁止施工人员在饮用水水源保护区进行捕鱼、游泳等活动</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 xml:space="preserve">  </w:t>
            </w:r>
          </w:p>
          <w:p w14:paraId="301C37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④</w:t>
            </w:r>
            <w:r>
              <w:rPr>
                <w:rFonts w:hint="eastAsia" w:ascii="Times New Roman" w:hAnsi="Times New Roman" w:eastAsia="宋体" w:cs="Times New Roman"/>
                <w:b w:val="0"/>
                <w:bCs/>
                <w:color w:val="auto"/>
                <w:sz w:val="24"/>
                <w:szCs w:val="24"/>
                <w:highlight w:val="none"/>
                <w:lang w:val="en-US" w:eastAsia="zh-CN"/>
              </w:rPr>
              <w:t>施工时设立警示牌，提醒施工人员注意保护水源地环境。</w:t>
            </w:r>
          </w:p>
          <w:p w14:paraId="66947114">
            <w:pPr>
              <w:keepNext w:val="0"/>
              <w:keepLines w:val="0"/>
              <w:suppressLineNumbers w:val="0"/>
              <w:shd w:val="clear"/>
              <w:spacing w:before="0" w:beforeAutospacing="0" w:after="0" w:afterAutospacing="0" w:line="360" w:lineRule="auto"/>
              <w:ind w:left="0" w:right="0" w:firstLine="480" w:firstLineChars="200"/>
              <w:rPr>
                <w:rFonts w:hint="eastAsia"/>
                <w:color w:val="auto"/>
                <w:sz w:val="24"/>
              </w:rPr>
            </w:pPr>
            <w:r>
              <w:rPr>
                <w:rFonts w:hint="eastAsia" w:cs="Times New Roman"/>
                <w:b w:val="0"/>
                <w:bCs/>
                <w:color w:val="auto"/>
                <w:sz w:val="24"/>
                <w:szCs w:val="24"/>
                <w:highlight w:val="none"/>
                <w:lang w:val="en-US" w:eastAsia="zh-CN"/>
              </w:rPr>
              <w:t>⑤</w:t>
            </w:r>
            <w:r>
              <w:rPr>
                <w:rFonts w:hint="eastAsia" w:ascii="Times New Roman" w:hAnsi="Times New Roman" w:eastAsia="宋体" w:cs="Times New Roman"/>
                <w:b w:val="0"/>
                <w:bCs/>
                <w:color w:val="auto"/>
                <w:sz w:val="24"/>
                <w:szCs w:val="24"/>
                <w:highlight w:val="none"/>
                <w:lang w:val="en-US" w:eastAsia="zh-CN"/>
              </w:rPr>
              <w:t>施工监理单位人员加大对水源保护区附近</w:t>
            </w:r>
            <w:r>
              <w:rPr>
                <w:rFonts w:hint="eastAsia" w:eastAsia="宋体" w:cs="Times New Roman"/>
                <w:b w:val="0"/>
                <w:bCs/>
                <w:color w:val="auto"/>
                <w:sz w:val="24"/>
                <w:szCs w:val="24"/>
                <w:highlight w:val="none"/>
                <w:lang w:val="en-US" w:eastAsia="zh-CN"/>
              </w:rPr>
              <w:t>光伏方阵</w:t>
            </w:r>
            <w:r>
              <w:rPr>
                <w:rFonts w:hint="eastAsia" w:ascii="Times New Roman" w:hAnsi="Times New Roman" w:eastAsia="宋体" w:cs="Times New Roman"/>
                <w:b w:val="0"/>
                <w:bCs/>
                <w:color w:val="auto"/>
                <w:sz w:val="24"/>
                <w:szCs w:val="24"/>
                <w:highlight w:val="none"/>
                <w:lang w:val="en-US" w:eastAsia="zh-CN"/>
              </w:rPr>
              <w:t>的监理力度</w:t>
            </w:r>
            <w:r>
              <w:rPr>
                <w:rFonts w:hint="eastAsia" w:cs="Times New Roman"/>
                <w:b w:val="0"/>
                <w:bCs/>
                <w:color w:val="auto"/>
                <w:sz w:val="24"/>
                <w:szCs w:val="24"/>
                <w:highlight w:val="none"/>
                <w:lang w:val="en-US" w:eastAsia="zh-CN"/>
              </w:rPr>
              <w:t>。</w:t>
            </w:r>
          </w:p>
          <w:p w14:paraId="4E616B5E">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rPr>
              <w:t>经采取以上措施后，施工期废水可以得到妥善处理，对下游环境影响小，措施可行</w:t>
            </w:r>
            <w:r>
              <w:rPr>
                <w:rFonts w:hint="default"/>
                <w:color w:val="auto"/>
                <w:sz w:val="24"/>
              </w:rPr>
              <w:t>。</w:t>
            </w:r>
          </w:p>
          <w:p w14:paraId="56E63F40">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b/>
                <w:bCs/>
                <w:color w:val="auto"/>
                <w:spacing w:val="10"/>
                <w:sz w:val="24"/>
                <w:highlight w:val="none"/>
                <w:shd w:val="clear" w:color="auto" w:fill="auto"/>
              </w:rPr>
            </w:pPr>
            <w:r>
              <w:rPr>
                <w:rFonts w:hint="eastAsia"/>
                <w:b/>
                <w:color w:val="auto"/>
                <w:sz w:val="24"/>
                <w:highlight w:val="none"/>
                <w:shd w:val="clear" w:color="auto" w:fill="auto"/>
                <w:lang w:val="en-US"/>
              </w:rPr>
              <w:t>3、</w:t>
            </w:r>
            <w:r>
              <w:rPr>
                <w:rFonts w:hint="eastAsia" w:eastAsia="宋体"/>
                <w:b/>
                <w:bCs/>
                <w:color w:val="auto"/>
                <w:sz w:val="24"/>
                <w:highlight w:val="none"/>
                <w:shd w:val="clear" w:color="auto" w:fill="auto"/>
                <w:lang w:val="en-US"/>
              </w:rPr>
              <w:t>噪声</w:t>
            </w:r>
            <w:r>
              <w:rPr>
                <w:rFonts w:hint="default" w:eastAsia="宋体"/>
                <w:b/>
                <w:bCs/>
                <w:color w:val="auto"/>
                <w:sz w:val="24"/>
                <w:highlight w:val="none"/>
                <w:shd w:val="clear" w:color="auto" w:fill="auto"/>
                <w:lang w:val="en-US"/>
              </w:rPr>
              <w:t>控制措施</w:t>
            </w:r>
          </w:p>
          <w:p w14:paraId="61762F03">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建设单位施工过程应严格执行国家《建筑施工场界环境噪声排放标准》（GB12523-2011），尽可能采取有效的减噪措施，避免在同一时间集中使用大量的动力机械设备，施工设备尽量远离敏感点布置，加强对施工噪声的治理，尽量减轻由于施工给周围环境和敏感目标的影响。施工期噪声防护措施：</w:t>
            </w:r>
          </w:p>
          <w:p w14:paraId="73F9E2E0">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rPr>
              <w:t>使用低噪声机械设备，同时对设备进行定期保养和维护，严格操作规范和操作规程，减少设备噪声的产生；</w:t>
            </w:r>
          </w:p>
          <w:p w14:paraId="5A949FC2">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rPr>
              <w:t>做好设备保养维护工作，以最大限度的减轻高噪声施工机械对周围环境的影响；</w:t>
            </w:r>
          </w:p>
          <w:p w14:paraId="3D0CEFCC">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olor w:val="auto"/>
                <w:sz w:val="24"/>
              </w:rPr>
              <w:t>项目方还应该加强对施工人员的管理，做到文明施工，避免人为噪声的产生；</w:t>
            </w:r>
          </w:p>
          <w:p w14:paraId="54807A02">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w:t>
            </w:r>
            <w:r>
              <w:rPr>
                <w:rFonts w:hint="eastAsia"/>
                <w:color w:val="auto"/>
                <w:sz w:val="24"/>
              </w:rPr>
              <w:t>施工车辆一般禁鸣喇叭；在施工现场禁止大声喧哗吵闹或敲击工具等；</w:t>
            </w:r>
          </w:p>
          <w:p w14:paraId="0B05CE63">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5</w:t>
            </w:r>
            <w:r>
              <w:rPr>
                <w:rFonts w:hint="eastAsia"/>
                <w:color w:val="auto"/>
                <w:sz w:val="24"/>
                <w:lang w:eastAsia="zh-CN"/>
              </w:rPr>
              <w:t>）</w:t>
            </w:r>
            <w:r>
              <w:rPr>
                <w:rFonts w:hint="eastAsia"/>
                <w:color w:val="auto"/>
                <w:sz w:val="24"/>
              </w:rPr>
              <w:t>作业中搬运物件，必须轻拿轻放，钢铁件堆放不发出大的声响，严禁抛掷物件而造成噪声；</w:t>
            </w:r>
          </w:p>
          <w:p w14:paraId="3EBB9C67">
            <w:pPr>
              <w:keepNext w:val="0"/>
              <w:keepLines w:val="0"/>
              <w:suppressLineNumbers w:val="0"/>
              <w:spacing w:before="0" w:beforeAutospacing="0" w:after="0" w:afterAutospacing="0" w:line="360" w:lineRule="auto"/>
              <w:ind w:left="0" w:right="0" w:firstLine="480" w:firstLineChars="200"/>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6</w:t>
            </w:r>
            <w:r>
              <w:rPr>
                <w:rFonts w:hint="eastAsia"/>
                <w:color w:val="auto"/>
                <w:sz w:val="24"/>
                <w:lang w:eastAsia="zh-CN"/>
              </w:rPr>
              <w:t>）</w:t>
            </w:r>
            <w:r>
              <w:rPr>
                <w:rFonts w:hint="eastAsia"/>
                <w:color w:val="auto"/>
                <w:sz w:val="24"/>
              </w:rPr>
              <w:t>合理安排施工时间：合理安排施工时间，除工程必须，并取得</w:t>
            </w:r>
            <w:r>
              <w:rPr>
                <w:rFonts w:hint="eastAsia"/>
                <w:color w:val="auto"/>
                <w:sz w:val="24"/>
                <w:lang w:val="en-US" w:eastAsia="zh-CN"/>
              </w:rPr>
              <w:t>主管</w:t>
            </w:r>
            <w:r>
              <w:rPr>
                <w:rFonts w:hint="eastAsia"/>
                <w:color w:val="auto"/>
                <w:sz w:val="24"/>
              </w:rPr>
              <w:t>部门批准，严禁在22：00-6：00期间施工</w:t>
            </w:r>
            <w:r>
              <w:rPr>
                <w:rFonts w:hint="eastAsia"/>
                <w:color w:val="auto"/>
                <w:sz w:val="24"/>
                <w:lang w:eastAsia="zh-CN"/>
              </w:rPr>
              <w:t>；</w:t>
            </w:r>
          </w:p>
          <w:p w14:paraId="6D6C477F">
            <w:pPr>
              <w:keepNext w:val="0"/>
              <w:keepLines w:val="0"/>
              <w:suppressLineNumbers w:val="0"/>
              <w:spacing w:before="0" w:beforeAutospacing="0" w:after="0" w:afterAutospacing="0" w:line="360" w:lineRule="auto"/>
              <w:ind w:left="0" w:right="0" w:firstLine="480"/>
              <w:rPr>
                <w:rFonts w:hint="eastAsia" w:eastAsia="宋体"/>
                <w:color w:val="auto"/>
                <w:sz w:val="24"/>
                <w:lang w:eastAsia="zh-CN"/>
              </w:rPr>
            </w:pPr>
            <w:r>
              <w:rPr>
                <w:rFonts w:hint="default" w:hAnsi="宋体"/>
                <w:color w:val="auto"/>
                <w:sz w:val="24"/>
              </w:rPr>
              <w:t>（</w:t>
            </w:r>
            <w:r>
              <w:rPr>
                <w:rFonts w:hint="eastAsia"/>
                <w:color w:val="auto"/>
                <w:sz w:val="24"/>
                <w:lang w:val="en-US" w:eastAsia="zh-CN"/>
              </w:rPr>
              <w:t>7</w:t>
            </w:r>
            <w:r>
              <w:rPr>
                <w:rFonts w:hint="default" w:hAnsi="宋体"/>
                <w:color w:val="auto"/>
                <w:sz w:val="24"/>
              </w:rPr>
              <w:t>）施工期间建设单位应与施工方签订环境管理责任书，具体落实施工期噪声防治措施，并且加强与周围可能受影响单位的沟通，减轻对声环境的不利影响。</w:t>
            </w:r>
          </w:p>
          <w:p w14:paraId="2DBA7FE1">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rPr>
              <w:t>项目施工期短，施工期噪声会随施工完成而消失。经采取以上措施后，施工期噪声可以得到有效管控，对周围环境影响小，措施可行。</w:t>
            </w:r>
          </w:p>
          <w:p w14:paraId="19BC7D6F">
            <w:pPr>
              <w:keepNext w:val="0"/>
              <w:keepLines w:val="0"/>
              <w:suppressLineNumbers w:val="0"/>
              <w:shd w:val="clear"/>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eastAsia"/>
                <w:b/>
                <w:color w:val="auto"/>
                <w:sz w:val="24"/>
                <w:highlight w:val="none"/>
                <w:shd w:val="clear" w:color="auto" w:fill="auto"/>
              </w:rPr>
              <w:t>4、</w:t>
            </w:r>
            <w:r>
              <w:rPr>
                <w:rFonts w:hint="eastAsia"/>
                <w:b/>
                <w:bCs/>
                <w:color w:val="auto"/>
                <w:sz w:val="24"/>
                <w:highlight w:val="none"/>
                <w:shd w:val="clear" w:color="auto" w:fill="auto"/>
              </w:rPr>
              <w:t>固废</w:t>
            </w:r>
            <w:r>
              <w:rPr>
                <w:rFonts w:hint="default"/>
                <w:b/>
                <w:bCs/>
                <w:color w:val="auto"/>
                <w:sz w:val="24"/>
                <w:highlight w:val="none"/>
                <w:shd w:val="clear" w:color="auto" w:fill="auto"/>
              </w:rPr>
              <w:t>控制措施</w:t>
            </w:r>
          </w:p>
          <w:p w14:paraId="2929D919">
            <w:pPr>
              <w:keepNext w:val="0"/>
              <w:keepLines w:val="0"/>
              <w:suppressLineNumbers w:val="0"/>
              <w:spacing w:before="0" w:beforeAutospacing="0" w:after="0" w:afterAutospacing="0" w:line="360" w:lineRule="auto"/>
              <w:ind w:left="0" w:right="0" w:firstLine="480" w:firstLineChars="200"/>
              <w:rPr>
                <w:rFonts w:hint="default"/>
                <w:color w:val="auto"/>
                <w:sz w:val="24"/>
                <w:highlight w:val="yellow"/>
              </w:rPr>
            </w:pPr>
            <w:r>
              <w:rPr>
                <w:rFonts w:hint="eastAsia" w:ascii="Times New Roman" w:hAnsi="Times New Roman" w:eastAsia="宋体" w:cs="Times New Roman"/>
                <w:color w:val="auto"/>
                <w:sz w:val="24"/>
              </w:rPr>
              <w:t>（1）废弃土石方：</w:t>
            </w:r>
            <w:r>
              <w:rPr>
                <w:rFonts w:hint="default" w:ascii="Times New Roman" w:hAnsi="Times New Roman" w:eastAsia="宋体" w:cs="Times New Roman"/>
                <w:color w:val="auto"/>
                <w:sz w:val="24"/>
              </w:rPr>
              <w:t>项目产生的土石方全部在场地内回填，不设置弃渣场，禁止乱弃渣</w:t>
            </w:r>
            <w:r>
              <w:rPr>
                <w:rFonts w:hint="eastAsia" w:ascii="Times New Roman" w:hAnsi="Times New Roman" w:eastAsia="宋体" w:cs="Times New Roman"/>
                <w:color w:val="auto"/>
                <w:sz w:val="24"/>
              </w:rPr>
              <w:t>。</w:t>
            </w:r>
          </w:p>
          <w:p w14:paraId="2D04CB22">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（2）建筑垃圾：分类收集，能利用部分外售收购商进行回收利用，不可回收部分委托资质单位清运至政府部门指定的场所进行处置。禁止乱堆乱倒。</w:t>
            </w:r>
          </w:p>
          <w:p w14:paraId="3000946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（3）生活垃圾：在施工场地设置临时生活垃圾收集桶，对施工人员的生活垃圾进行收集，垃圾实</w:t>
            </w:r>
            <w:r>
              <w:rPr>
                <w:rFonts w:hint="eastAsia" w:ascii="宋体" w:hAnsi="宋体" w:eastAsia="宋体" w:cs="宋体"/>
                <w:color w:val="auto"/>
                <w:sz w:val="24"/>
              </w:rPr>
              <w:t>行“日产日清”，能</w:t>
            </w:r>
            <w:r>
              <w:rPr>
                <w:rFonts w:hint="default"/>
                <w:color w:val="auto"/>
                <w:sz w:val="24"/>
              </w:rPr>
              <w:t>回收利</w:t>
            </w:r>
            <w:r>
              <w:rPr>
                <w:rFonts w:hint="eastAsia"/>
                <w:color w:val="auto"/>
                <w:sz w:val="24"/>
                <w:lang w:eastAsia="zh-CN"/>
              </w:rPr>
              <w:t>用的</w:t>
            </w:r>
            <w:r>
              <w:rPr>
                <w:rFonts w:hint="default"/>
                <w:color w:val="auto"/>
                <w:sz w:val="24"/>
              </w:rPr>
              <w:t>部分回收利用，不能回收利用的自行转运至</w:t>
            </w:r>
            <w:r>
              <w:rPr>
                <w:rFonts w:hint="eastAsia"/>
                <w:color w:val="auto"/>
                <w:sz w:val="24"/>
                <w:lang w:eastAsia="zh-CN"/>
              </w:rPr>
              <w:t>附近村镇</w:t>
            </w:r>
            <w:r>
              <w:rPr>
                <w:rFonts w:hint="default"/>
                <w:color w:val="auto"/>
                <w:sz w:val="24"/>
              </w:rPr>
              <w:t>垃圾收集点统一处置。</w:t>
            </w:r>
          </w:p>
          <w:p w14:paraId="74DC8F63">
            <w:pPr>
              <w:keepNext w:val="0"/>
              <w:keepLines w:val="0"/>
              <w:widowControl/>
              <w:suppressLineNumbers w:val="0"/>
              <w:spacing w:before="0" w:beforeAutospacing="0" w:after="0" w:afterAutospacing="0" w:line="360" w:lineRule="auto"/>
              <w:ind w:left="0" w:right="0" w:firstLine="480" w:firstLineChars="200"/>
              <w:jc w:val="left"/>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w:t>
            </w:r>
            <w:r>
              <w:rPr>
                <w:rFonts w:hint="eastAsia"/>
                <w:color w:val="auto"/>
                <w:sz w:val="24"/>
              </w:rPr>
              <w:t>废弃设备零件经收集后，可回收利用。</w:t>
            </w:r>
          </w:p>
          <w:p w14:paraId="1E347F38">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sz w:val="24"/>
              </w:rPr>
              <w:t>经采取以上措施后，施工期固体废物可以得到有效处理处置，对周围环境影响小，措施可行。</w:t>
            </w:r>
          </w:p>
          <w:p w14:paraId="73A12B61">
            <w:pPr>
              <w:keepNext w:val="0"/>
              <w:keepLines w:val="0"/>
              <w:widowControl/>
              <w:suppressLineNumbers w:val="0"/>
              <w:shd w:val="clear"/>
              <w:spacing w:before="0" w:beforeAutospacing="0" w:after="0" w:afterAutospacing="0" w:line="360" w:lineRule="auto"/>
              <w:ind w:left="0" w:right="0" w:firstLine="482" w:firstLineChars="200"/>
              <w:jc w:val="left"/>
              <w:rPr>
                <w:rFonts w:hint="default"/>
                <w:color w:val="auto"/>
                <w:sz w:val="24"/>
                <w:szCs w:val="24"/>
                <w:highlight w:val="none"/>
                <w:shd w:val="clear" w:color="auto" w:fill="auto"/>
              </w:rPr>
            </w:pPr>
            <w:r>
              <w:rPr>
                <w:rFonts w:hint="eastAsia" w:ascii="宋体" w:hAnsi="宋体" w:cs="宋体"/>
                <w:b/>
                <w:bCs/>
                <w:color w:val="auto"/>
                <w:kern w:val="0"/>
                <w:sz w:val="24"/>
                <w:szCs w:val="24"/>
                <w:highlight w:val="none"/>
                <w:shd w:val="clear" w:color="auto" w:fill="auto"/>
                <w:lang w:val="en-US" w:eastAsia="zh-CN" w:bidi="ar"/>
              </w:rPr>
              <w:t>四</w:t>
            </w:r>
            <w:r>
              <w:rPr>
                <w:rFonts w:hint="eastAsia" w:ascii="宋体" w:hAnsi="宋体" w:cs="宋体"/>
                <w:b/>
                <w:bCs/>
                <w:color w:val="auto"/>
                <w:kern w:val="0"/>
                <w:sz w:val="24"/>
                <w:szCs w:val="24"/>
                <w:highlight w:val="none"/>
                <w:shd w:val="clear" w:color="auto" w:fill="auto"/>
                <w:lang w:bidi="ar"/>
              </w:rPr>
              <w:t>、措施的合理性分析</w:t>
            </w:r>
          </w:p>
          <w:p w14:paraId="0FD8FF32">
            <w:pPr>
              <w:keepNext w:val="0"/>
              <w:keepLines w:val="0"/>
              <w:widowControl/>
              <w:suppressLineNumbers w:val="0"/>
              <w:shd w:val="clear"/>
              <w:spacing w:before="0" w:beforeAutospacing="0" w:after="0" w:afterAutospacing="0" w:line="360" w:lineRule="auto"/>
              <w:ind w:left="0" w:right="0" w:firstLine="480" w:firstLineChars="200"/>
              <w:jc w:val="left"/>
              <w:rPr>
                <w:rFonts w:hint="default"/>
                <w:bCs/>
                <w:color w:val="auto"/>
                <w:spacing w:val="10"/>
                <w:szCs w:val="21"/>
                <w:highlight w:val="none"/>
                <w:shd w:val="clear" w:color="auto" w:fill="auto"/>
              </w:rPr>
            </w:pPr>
            <w:r>
              <w:rPr>
                <w:rFonts w:hint="eastAsia" w:ascii="宋体" w:hAnsi="宋体" w:cs="宋体"/>
                <w:color w:val="auto"/>
                <w:kern w:val="0"/>
                <w:sz w:val="24"/>
                <w:lang w:bidi="ar"/>
              </w:rPr>
              <w:t>项目目前所采取的措施均是经济合理，便于实施、能够稳定运行，且长期有效可行的措施，在已有项目的运行中，暂未出现不可预见的现象，运行较稳定。生态保护和修复效果，只要严格落实报告中提出的环境保护措施，其保护和修复效果是可以达到的。</w:t>
            </w:r>
          </w:p>
        </w:tc>
      </w:tr>
      <w:tr w14:paraId="350180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83" w:hRule="atLeast"/>
          <w:jc w:val="center"/>
        </w:trPr>
        <w:tc>
          <w:tcPr>
            <w:tcW w:w="475" w:type="pct"/>
            <w:tcMar>
              <w:left w:w="28" w:type="dxa"/>
              <w:right w:w="28" w:type="dxa"/>
            </w:tcMar>
            <w:vAlign w:val="center"/>
          </w:tcPr>
          <w:p w14:paraId="7FD23B88">
            <w:pPr>
              <w:keepNext w:val="0"/>
              <w:keepLines w:val="0"/>
              <w:suppressLineNumbers w:val="0"/>
              <w:shd w:val="clear"/>
              <w:adjustRightInd w:val="0"/>
              <w:snapToGrid w:val="0"/>
              <w:spacing w:before="0" w:beforeAutospacing="0" w:after="0" w:afterAutospacing="0"/>
              <w:ind w:left="0" w:right="0"/>
              <w:jc w:val="center"/>
              <w:rPr>
                <w:rFonts w:hint="default"/>
                <w:bCs/>
                <w:color w:val="auto"/>
                <w:spacing w:val="10"/>
                <w:sz w:val="24"/>
                <w:highlight w:val="none"/>
                <w:shd w:val="clear" w:color="auto" w:fill="auto"/>
              </w:rPr>
            </w:pPr>
            <w:r>
              <w:rPr>
                <w:rFonts w:hint="default"/>
                <w:bCs/>
                <w:color w:val="auto"/>
                <w:spacing w:val="10"/>
                <w:sz w:val="24"/>
                <w:highlight w:val="none"/>
                <w:shd w:val="clear" w:color="auto" w:fill="auto"/>
              </w:rPr>
              <w:t>运营期生态环境保护措施</w:t>
            </w:r>
          </w:p>
        </w:tc>
        <w:tc>
          <w:tcPr>
            <w:tcW w:w="4524" w:type="pct"/>
          </w:tcPr>
          <w:p w14:paraId="0772DDAC">
            <w:pPr>
              <w:keepNext w:val="0"/>
              <w:keepLines w:val="0"/>
              <w:suppressLineNumbers w:val="0"/>
              <w:shd w:val="clear"/>
              <w:adjustRightInd w:val="0"/>
              <w:snapToGrid w:val="0"/>
              <w:spacing w:before="0" w:beforeAutospacing="0" w:after="0" w:afterAutospacing="0" w:line="360" w:lineRule="auto"/>
              <w:ind w:left="0" w:right="0" w:firstLine="522" w:firstLineChars="200"/>
              <w:rPr>
                <w:rFonts w:hint="default"/>
                <w:b/>
                <w:color w:val="auto"/>
                <w:spacing w:val="10"/>
                <w:sz w:val="24"/>
                <w:highlight w:val="none"/>
                <w:shd w:val="clear" w:color="auto" w:fill="auto"/>
              </w:rPr>
            </w:pPr>
            <w:r>
              <w:rPr>
                <w:rFonts w:hint="eastAsia"/>
                <w:b/>
                <w:color w:val="auto"/>
                <w:spacing w:val="10"/>
                <w:sz w:val="24"/>
                <w:highlight w:val="none"/>
                <w:shd w:val="clear" w:color="auto" w:fill="auto"/>
              </w:rPr>
              <w:t>一、生态环境保护措施</w:t>
            </w:r>
          </w:p>
          <w:p w14:paraId="57DD7ECF">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（1）严格执行《云南省能源局关于进一步支持光伏扶贫和规范光伏发电产业用地的通知》（云自然资〔2019〕</w:t>
            </w:r>
            <w:r>
              <w:rPr>
                <w:rFonts w:hint="default"/>
                <w:color w:val="auto"/>
                <w:sz w:val="24"/>
                <w:highlight w:val="none"/>
                <w:shd w:val="clear" w:color="auto" w:fill="auto"/>
              </w:rPr>
              <w:t>196</w:t>
            </w:r>
            <w:r>
              <w:rPr>
                <w:rFonts w:hint="eastAsia"/>
                <w:color w:val="auto"/>
                <w:sz w:val="24"/>
                <w:highlight w:val="none"/>
                <w:shd w:val="clear" w:color="auto" w:fill="auto"/>
              </w:rPr>
              <w:t>号）</w:t>
            </w:r>
            <w:r>
              <w:rPr>
                <w:rFonts w:hint="eastAsia"/>
                <w:color w:val="auto"/>
                <w:sz w:val="24"/>
                <w:highlight w:val="none"/>
                <w:shd w:val="clear" w:color="auto" w:fill="auto"/>
                <w:lang w:val="en-US" w:eastAsia="zh-CN"/>
              </w:rPr>
              <w:t>和</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《自然资源部办公厅 国家林业和草原局办公室 国家能源局综合司关于支持光伏发电产业发展规范用地管理有关工作的通知》（自然资办发〔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2023</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w:t>
            </w:r>
            <w:r>
              <w:rPr>
                <w:rFonts w:hint="eastAsia"/>
                <w:color w:val="auto"/>
                <w:sz w:val="24"/>
                <w:highlight w:val="none"/>
                <w:shd w:val="clear" w:color="auto" w:fill="auto"/>
              </w:rPr>
              <w:t>，光伏复合项目，光伏板下及周围种植林业或农作物，光伏组件严格执行最低沿高于地面</w:t>
            </w:r>
            <w:r>
              <w:rPr>
                <w:rFonts w:hint="default"/>
                <w:color w:val="auto"/>
                <w:sz w:val="24"/>
                <w:highlight w:val="none"/>
                <w:shd w:val="clear" w:color="auto" w:fill="auto"/>
              </w:rPr>
              <w:t>2.5m</w:t>
            </w:r>
            <w:r>
              <w:rPr>
                <w:rFonts w:hint="eastAsia"/>
                <w:color w:val="auto"/>
                <w:sz w:val="24"/>
                <w:highlight w:val="none"/>
                <w:shd w:val="clear" w:color="auto" w:fill="auto"/>
              </w:rPr>
              <w:t>、桩基间列间距大于</w:t>
            </w:r>
            <w:r>
              <w:rPr>
                <w:rFonts w:hint="default"/>
                <w:color w:val="auto"/>
                <w:sz w:val="24"/>
                <w:highlight w:val="none"/>
                <w:shd w:val="clear" w:color="auto" w:fill="auto"/>
              </w:rPr>
              <w:t>4m</w:t>
            </w:r>
            <w:r>
              <w:rPr>
                <w:rFonts w:hint="eastAsia"/>
                <w:color w:val="auto"/>
                <w:sz w:val="24"/>
                <w:highlight w:val="none"/>
                <w:shd w:val="clear" w:color="auto" w:fill="auto"/>
              </w:rPr>
              <w:t>、行间距大于</w:t>
            </w:r>
            <w:r>
              <w:rPr>
                <w:rFonts w:hint="default"/>
                <w:color w:val="auto"/>
                <w:sz w:val="24"/>
                <w:highlight w:val="none"/>
                <w:shd w:val="clear" w:color="auto" w:fill="auto"/>
              </w:rPr>
              <w:t>6.5m</w:t>
            </w:r>
            <w:r>
              <w:rPr>
                <w:rFonts w:hint="eastAsia"/>
                <w:color w:val="auto"/>
                <w:sz w:val="24"/>
                <w:highlight w:val="none"/>
                <w:shd w:val="clear" w:color="auto" w:fill="auto"/>
                <w:lang w:eastAsia="zh-CN"/>
              </w:rPr>
              <w:t>，</w:t>
            </w:r>
            <w:r>
              <w:rPr>
                <w:rFonts w:hint="eastAsia"/>
                <w:color w:val="auto"/>
                <w:spacing w:val="0"/>
                <w:sz w:val="24"/>
                <w:szCs w:val="24"/>
                <w:highlight w:val="none"/>
                <w:shd w:val="clear" w:color="auto" w:fill="auto"/>
                <w:lang w:val="en-US" w:eastAsia="zh-CN"/>
              </w:rPr>
              <w:t>且</w:t>
            </w:r>
            <w:r>
              <w:rPr>
                <w:rFonts w:hint="default"/>
                <w:color w:val="auto"/>
                <w:spacing w:val="0"/>
                <w:sz w:val="24"/>
                <w:szCs w:val="24"/>
                <w:highlight w:val="none"/>
                <w:shd w:val="clear" w:color="auto" w:fill="auto"/>
              </w:rPr>
              <w:t>光伏支架最低点应高于灌木高度1米以上</w:t>
            </w:r>
            <w:r>
              <w:rPr>
                <w:rFonts w:hint="eastAsia"/>
                <w:color w:val="auto"/>
                <w:sz w:val="24"/>
                <w:szCs w:val="24"/>
                <w:highlight w:val="none"/>
                <w:shd w:val="clear" w:color="auto" w:fill="auto"/>
              </w:rPr>
              <w:t>的要求，</w:t>
            </w:r>
            <w:r>
              <w:rPr>
                <w:rFonts w:hint="eastAsia"/>
                <w:color w:val="auto"/>
                <w:sz w:val="24"/>
                <w:highlight w:val="none"/>
                <w:shd w:val="clear" w:color="auto" w:fill="auto"/>
              </w:rPr>
              <w:t>不破坏林业或农业生产条件，除桩基用地外，严禁硬化地面</w:t>
            </w:r>
            <w:r>
              <w:rPr>
                <w:rFonts w:hint="eastAsia" w:ascii="Times New Roman" w:hAnsi="Times New Roman" w:eastAsia="Times New Roman" w:cs="Times New Roman"/>
                <w:color w:val="auto"/>
                <w:sz w:val="24"/>
                <w:highlight w:val="none"/>
                <w:shd w:val="clear" w:color="auto" w:fill="auto"/>
              </w:rPr>
              <w:t>、破坏</w:t>
            </w:r>
            <w:r>
              <w:rPr>
                <w:rFonts w:hint="eastAsia" w:eastAsia="宋体" w:cs="Times New Roman"/>
                <w:color w:val="auto"/>
                <w:sz w:val="24"/>
                <w:highlight w:val="none"/>
                <w:shd w:val="clear" w:color="auto" w:fill="auto"/>
                <w:lang w:val="en-US" w:eastAsia="zh-CN"/>
              </w:rPr>
              <w:t>林草植被</w:t>
            </w:r>
            <w:r>
              <w:rPr>
                <w:rFonts w:hint="eastAsia"/>
                <w:color w:val="auto"/>
                <w:sz w:val="24"/>
                <w:highlight w:val="none"/>
                <w:shd w:val="clear" w:color="auto" w:fill="auto"/>
              </w:rPr>
              <w:t>，严禁抛荒、撂荒。</w:t>
            </w:r>
          </w:p>
          <w:p w14:paraId="79AD6B67">
            <w:pPr>
              <w:keepNext w:val="0"/>
              <w:keepLines w:val="0"/>
              <w:pageBreakBefore w:val="0"/>
              <w:suppressLineNumbers w:val="0"/>
              <w:shd w:val="clear"/>
              <w:kinsoku/>
              <w:wordWrap/>
              <w:overflowPunct/>
              <w:topLinePunct w:val="0"/>
              <w:bidi w:val="0"/>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（2）光伏场区及临时道路区等临时用地区域在植被恢复过程中，应加强初期、中期的植被抚育工作。尽量采取场地封禁自然恢复，并辅以适当的人工手段；如选取本地常见的乡土物种补种补植。</w:t>
            </w:r>
          </w:p>
          <w:p w14:paraId="14D5BA89">
            <w:pPr>
              <w:pStyle w:val="23"/>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eastAsia"/>
                <w:color w:val="auto"/>
                <w:sz w:val="24"/>
                <w:highlight w:val="none"/>
                <w:shd w:val="clear" w:color="auto" w:fill="auto"/>
              </w:rPr>
            </w:pPr>
            <w:r>
              <w:rPr>
                <w:rFonts w:hint="eastAsia"/>
                <w:color w:val="auto"/>
                <w:sz w:val="24"/>
                <w:highlight w:val="none"/>
                <w:shd w:val="clear" w:color="auto" w:fill="auto"/>
              </w:rPr>
              <w:t>（3）占用林草地区域，后期光伏场区植被恢复后，生长过程中在满足电站正常运行的基础上，应尽量减少对下方及周边植物的扰动。在影响电站发电时，应尽量采取人工</w:t>
            </w:r>
            <w:r>
              <w:rPr>
                <w:rFonts w:hint="eastAsia"/>
                <w:color w:val="auto"/>
                <w:sz w:val="24"/>
                <w:highlight w:val="none"/>
                <w:shd w:val="clear" w:color="auto" w:fill="auto"/>
                <w:lang w:eastAsia="zh-CN"/>
              </w:rPr>
              <w:t>修剪</w:t>
            </w:r>
            <w:r>
              <w:rPr>
                <w:rFonts w:hint="eastAsia"/>
                <w:color w:val="auto"/>
                <w:sz w:val="24"/>
                <w:highlight w:val="none"/>
                <w:shd w:val="clear" w:color="auto" w:fill="auto"/>
              </w:rPr>
              <w:t>高度的方式，避免直接清理砍伐。</w:t>
            </w:r>
          </w:p>
          <w:p w14:paraId="11829AC1">
            <w:pPr>
              <w:pStyle w:val="23"/>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（4）保护当地的野生动物，禁止人为捕杀；禁止引入外来有害生物。</w:t>
            </w:r>
          </w:p>
          <w:p w14:paraId="3D33E9FB">
            <w:pPr>
              <w:pStyle w:val="23"/>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eastAsia"/>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5</w:t>
            </w:r>
            <w:r>
              <w:rPr>
                <w:rFonts w:hint="eastAsia"/>
                <w:color w:val="auto"/>
                <w:sz w:val="24"/>
                <w:highlight w:val="none"/>
                <w:shd w:val="clear" w:color="auto" w:fill="auto"/>
              </w:rPr>
              <w:t>）</w:t>
            </w:r>
            <w:r>
              <w:rPr>
                <w:rFonts w:hint="eastAsia"/>
                <w:color w:val="auto"/>
                <w:sz w:val="24"/>
                <w:highlight w:val="none"/>
                <w:shd w:val="clear" w:color="auto" w:fill="auto"/>
                <w:lang w:val="en-US" w:eastAsia="zh-CN"/>
              </w:rPr>
              <w:t>对光伏区鸟类死亡、受伤情况进行调查，</w:t>
            </w:r>
            <w:r>
              <w:rPr>
                <w:rFonts w:hint="eastAsia" w:ascii="宋体" w:hAnsi="宋体" w:cs="宋体"/>
                <w:color w:val="auto"/>
                <w:sz w:val="24"/>
                <w:shd w:val="clear" w:color="auto" w:fill="FFFFFF"/>
                <w:lang w:val="en-US" w:eastAsia="zh-CN"/>
              </w:rPr>
              <w:t>必要时采取驱赶措施，降低光伏板对鸟类的影响。</w:t>
            </w:r>
          </w:p>
          <w:p w14:paraId="23A6832B">
            <w:pPr>
              <w:pStyle w:val="23"/>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6</w:t>
            </w:r>
            <w:r>
              <w:rPr>
                <w:rFonts w:hint="eastAsia"/>
                <w:color w:val="auto"/>
                <w:sz w:val="24"/>
                <w:highlight w:val="none"/>
                <w:shd w:val="clear" w:color="auto" w:fill="auto"/>
              </w:rPr>
              <w:t>）光伏</w:t>
            </w:r>
            <w:r>
              <w:rPr>
                <w:rFonts w:hint="eastAsia"/>
                <w:color w:val="auto"/>
                <w:sz w:val="24"/>
                <w:highlight w:val="none"/>
                <w:shd w:val="clear" w:color="auto" w:fill="auto"/>
                <w:lang w:val="en-US" w:eastAsia="zh-CN"/>
              </w:rPr>
              <w:t>厂区</w:t>
            </w:r>
            <w:r>
              <w:rPr>
                <w:rFonts w:hint="eastAsia"/>
                <w:color w:val="auto"/>
                <w:sz w:val="24"/>
                <w:highlight w:val="none"/>
                <w:shd w:val="clear" w:color="auto" w:fill="auto"/>
              </w:rPr>
              <w:t>周围建设好截排水沟，空闲地多种植本地树种，减少区域水土流失。</w:t>
            </w:r>
          </w:p>
          <w:p w14:paraId="43E639D1">
            <w:pPr>
              <w:pStyle w:val="23"/>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7</w:t>
            </w:r>
            <w:r>
              <w:rPr>
                <w:rFonts w:hint="eastAsia"/>
                <w:color w:val="auto"/>
                <w:sz w:val="24"/>
                <w:highlight w:val="none"/>
                <w:shd w:val="clear" w:color="auto" w:fill="auto"/>
              </w:rPr>
              <w:t>）建设</w:t>
            </w:r>
            <w:r>
              <w:rPr>
                <w:rFonts w:hint="default"/>
                <w:color w:val="auto"/>
                <w:sz w:val="24"/>
                <w:highlight w:val="none"/>
                <w:shd w:val="clear" w:color="auto" w:fill="auto"/>
              </w:rPr>
              <w:t>单位要做好项目区的森林草原防火工作，重点加强项目运营、检修期间的野外火源管理，落实森林草原防火管护人员和措施。</w:t>
            </w:r>
          </w:p>
          <w:p w14:paraId="4C4FE2C6">
            <w:pPr>
              <w:keepNext w:val="0"/>
              <w:keepLines w:val="0"/>
              <w:pageBreakBefore w:val="0"/>
              <w:suppressLineNumbers w:val="0"/>
              <w:shd w:val="clear"/>
              <w:kinsoku/>
              <w:wordWrap/>
              <w:overflowPunct/>
              <w:topLinePunct w:val="0"/>
              <w:bidi w:val="0"/>
              <w:spacing w:before="0" w:beforeAutospacing="0" w:after="0" w:afterAutospacing="0" w:line="360" w:lineRule="auto"/>
              <w:ind w:left="0" w:right="0" w:firstLine="480" w:firstLineChars="200"/>
              <w:rPr>
                <w:rFonts w:hint="default"/>
                <w:color w:val="auto"/>
                <w:sz w:val="24"/>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8</w:t>
            </w:r>
            <w:r>
              <w:rPr>
                <w:rFonts w:hint="eastAsia"/>
                <w:color w:val="auto"/>
                <w:sz w:val="24"/>
                <w:highlight w:val="none"/>
                <w:shd w:val="clear" w:color="auto" w:fill="auto"/>
              </w:rPr>
              <w:t>）</w:t>
            </w:r>
            <w:r>
              <w:rPr>
                <w:rFonts w:hint="default"/>
                <w:color w:val="auto"/>
                <w:sz w:val="24"/>
              </w:rPr>
              <w:t>强化光伏电站运营期环境风险管理，避免泄漏事故发生。</w:t>
            </w:r>
          </w:p>
          <w:p w14:paraId="15067476">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default"/>
                <w:color w:val="auto"/>
                <w:sz w:val="24"/>
              </w:rPr>
              <w:t>（</w:t>
            </w:r>
            <w:r>
              <w:rPr>
                <w:rFonts w:hint="eastAsia"/>
                <w:color w:val="auto"/>
                <w:sz w:val="24"/>
                <w:lang w:val="en-US" w:eastAsia="zh-CN"/>
              </w:rPr>
              <w:t>9</w:t>
            </w:r>
            <w:r>
              <w:rPr>
                <w:rFonts w:hint="default"/>
                <w:color w:val="auto"/>
                <w:sz w:val="24"/>
              </w:rPr>
              <w:t>）</w:t>
            </w:r>
            <w:r>
              <w:rPr>
                <w:rFonts w:hint="default"/>
                <w:color w:val="auto"/>
                <w:kern w:val="0"/>
                <w:sz w:val="24"/>
              </w:rPr>
              <w:t>在满足正常运营的同时，须保证光伏阵列下方不改变林草地用途，不得硬化或作其他用途。</w:t>
            </w:r>
          </w:p>
          <w:p w14:paraId="094D969B">
            <w:pPr>
              <w:keepNext w:val="0"/>
              <w:keepLines w:val="0"/>
              <w:suppressLineNumbers w:val="0"/>
              <w:shd w:val="clear"/>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bookmarkStart w:id="66" w:name="_Toc19274"/>
            <w:r>
              <w:rPr>
                <w:rFonts w:hint="eastAsia"/>
                <w:b/>
                <w:bCs/>
                <w:color w:val="auto"/>
                <w:sz w:val="24"/>
                <w:highlight w:val="none"/>
                <w:shd w:val="clear" w:color="auto" w:fill="auto"/>
              </w:rPr>
              <w:t>二</w:t>
            </w:r>
            <w:r>
              <w:rPr>
                <w:rFonts w:hint="default"/>
                <w:b/>
                <w:bCs/>
                <w:color w:val="auto"/>
                <w:sz w:val="24"/>
                <w:highlight w:val="none"/>
                <w:shd w:val="clear" w:color="auto" w:fill="auto"/>
              </w:rPr>
              <w:t>、污染影响控制措施</w:t>
            </w:r>
            <w:bookmarkEnd w:id="66"/>
          </w:p>
          <w:p w14:paraId="12E73582">
            <w:pPr>
              <w:keepNext w:val="0"/>
              <w:keepLines w:val="0"/>
              <w:suppressLineNumbers w:val="0"/>
              <w:shd w:val="clear"/>
              <w:spacing w:before="0" w:beforeAutospacing="0" w:after="0" w:afterAutospacing="0" w:line="360" w:lineRule="auto"/>
              <w:ind w:left="0" w:right="0" w:firstLine="482" w:firstLineChars="200"/>
              <w:rPr>
                <w:rFonts w:hint="default"/>
                <w:b/>
                <w:color w:val="auto"/>
                <w:spacing w:val="10"/>
                <w:sz w:val="24"/>
                <w:szCs w:val="24"/>
                <w:highlight w:val="none"/>
                <w:shd w:val="clear" w:color="auto" w:fill="auto"/>
              </w:rPr>
            </w:pPr>
            <w:r>
              <w:rPr>
                <w:rFonts w:hint="eastAsia" w:ascii="宋体" w:hAnsi="宋体" w:cs="宋体"/>
                <w:b/>
                <w:bCs/>
                <w:color w:val="auto"/>
                <w:kern w:val="0"/>
                <w:sz w:val="24"/>
                <w:szCs w:val="24"/>
                <w:highlight w:val="none"/>
                <w:shd w:val="clear" w:color="auto" w:fill="auto"/>
                <w:lang w:bidi="ar"/>
              </w:rPr>
              <w:t>1、运营期大气环境保护措施</w:t>
            </w:r>
          </w:p>
          <w:p w14:paraId="712F7A44">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rPr>
                <w:rFonts w:hint="eastAsia" w:hAnsi="宋体" w:cs="宋体"/>
                <w:color w:val="auto"/>
                <w:sz w:val="24"/>
                <w:lang w:bidi="ar"/>
              </w:rPr>
            </w:pPr>
            <w:r>
              <w:rPr>
                <w:rFonts w:hint="eastAsia" w:hAnsi="宋体" w:cs="宋体"/>
                <w:color w:val="auto"/>
                <w:sz w:val="24"/>
                <w:lang w:bidi="ar"/>
              </w:rPr>
              <w:t>光伏发电是将太阳能转换为电能，在转换过程中没有废气排放，本项目升压站</w:t>
            </w:r>
            <w:r>
              <w:rPr>
                <w:rFonts w:hint="eastAsia" w:hAnsi="宋体" w:cs="宋体"/>
                <w:color w:val="auto"/>
                <w:sz w:val="24"/>
                <w:highlight w:val="none"/>
                <w:lang w:bidi="ar"/>
              </w:rPr>
              <w:t>依托</w:t>
            </w:r>
            <w:r>
              <w:rPr>
                <w:rFonts w:hint="eastAsia" w:hAnsi="宋体" w:cs="宋体"/>
                <w:color w:val="auto"/>
                <w:sz w:val="24"/>
                <w:highlight w:val="none"/>
                <w:lang w:eastAsia="zh-CN" w:bidi="ar"/>
              </w:rPr>
              <w:t>“</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hAnsi="宋体" w:cs="宋体"/>
                <w:color w:val="auto"/>
                <w:sz w:val="24"/>
                <w:highlight w:val="none"/>
                <w:lang w:eastAsia="zh-CN" w:bidi="ar"/>
              </w:rPr>
              <w:t>”</w:t>
            </w:r>
            <w:r>
              <w:rPr>
                <w:rFonts w:hint="eastAsia" w:hAnsi="宋体" w:cs="宋体"/>
                <w:color w:val="auto"/>
                <w:sz w:val="24"/>
                <w:highlight w:val="none"/>
                <w:lang w:bidi="ar"/>
              </w:rPr>
              <w:t>220kV升压站</w:t>
            </w:r>
            <w:r>
              <w:rPr>
                <w:rFonts w:hint="eastAsia" w:hAnsi="宋体" w:cs="宋体"/>
                <w:color w:val="auto"/>
                <w:sz w:val="24"/>
                <w:lang w:bidi="ar"/>
              </w:rPr>
              <w:t>，不进行升压站、办公生活区等的建设。项目运营期仅工作人员使用汽车时，会产生少量的汽车尾气</w:t>
            </w:r>
            <w:r>
              <w:rPr>
                <w:rFonts w:hint="eastAsia" w:hAnsi="宋体" w:cs="宋体"/>
                <w:color w:val="auto"/>
                <w:sz w:val="24"/>
                <w:lang w:eastAsia="zh-CN" w:bidi="ar"/>
              </w:rPr>
              <w:t>，</w:t>
            </w:r>
            <w:r>
              <w:rPr>
                <w:rFonts w:hint="eastAsia" w:hAnsi="宋体" w:cs="宋体"/>
                <w:color w:val="auto"/>
                <w:sz w:val="24"/>
                <w:lang w:bidi="ar"/>
              </w:rPr>
              <w:t>汽车尾气经周边环境及时扩散。</w:t>
            </w:r>
          </w:p>
          <w:p w14:paraId="51B8C526">
            <w:pPr>
              <w:keepNext w:val="0"/>
              <w:keepLines w:val="0"/>
              <w:suppressLineNumbers w:val="0"/>
              <w:shd w:val="clear"/>
              <w:spacing w:before="0" w:beforeAutospacing="0" w:after="0" w:afterAutospacing="0" w:line="360" w:lineRule="auto"/>
              <w:ind w:left="0" w:right="0" w:firstLine="480"/>
              <w:rPr>
                <w:rFonts w:hint="default" w:ascii="宋体" w:hAnsi="宋体" w:cs="宋体"/>
                <w:b/>
                <w:bCs/>
                <w:color w:val="auto"/>
                <w:kern w:val="0"/>
                <w:sz w:val="25"/>
                <w:szCs w:val="25"/>
                <w:highlight w:val="none"/>
                <w:shd w:val="clear" w:color="auto" w:fill="auto"/>
                <w:lang w:bidi="ar"/>
              </w:rPr>
            </w:pPr>
            <w:r>
              <w:rPr>
                <w:rFonts w:hint="eastAsia"/>
                <w:b/>
                <w:bCs/>
                <w:color w:val="auto"/>
                <w:kern w:val="0"/>
                <w:sz w:val="24"/>
                <w:highlight w:val="none"/>
                <w:shd w:val="clear" w:color="auto" w:fill="auto"/>
              </w:rPr>
              <w:t>2、</w:t>
            </w:r>
            <w:r>
              <w:rPr>
                <w:rFonts w:hint="eastAsia" w:ascii="宋体" w:hAnsi="宋体" w:cs="宋体"/>
                <w:b/>
                <w:bCs/>
                <w:color w:val="auto"/>
                <w:kern w:val="0"/>
                <w:sz w:val="25"/>
                <w:szCs w:val="25"/>
                <w:highlight w:val="none"/>
                <w:shd w:val="clear" w:color="auto" w:fill="auto"/>
                <w:lang w:bidi="ar"/>
              </w:rPr>
              <w:t>运营期水环境保护措施</w:t>
            </w:r>
          </w:p>
          <w:p w14:paraId="1DA86463">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default"/>
                <w:color w:val="auto"/>
                <w:kern w:val="0"/>
                <w:sz w:val="24"/>
              </w:rPr>
              <w:t>太阳能电池板尽量在旱季进行清洗，产生的清洗废水由</w:t>
            </w:r>
            <w:r>
              <w:rPr>
                <w:rFonts w:hint="default"/>
                <w:color w:val="auto"/>
                <w:sz w:val="24"/>
              </w:rPr>
              <w:t>光伏板下方林草植被吸收</w:t>
            </w:r>
            <w:r>
              <w:rPr>
                <w:rFonts w:hint="default"/>
                <w:color w:val="auto"/>
                <w:kern w:val="0"/>
                <w:sz w:val="24"/>
              </w:rPr>
              <w:t>，不外排</w:t>
            </w:r>
            <w:r>
              <w:rPr>
                <w:rFonts w:hint="default"/>
                <w:bCs/>
                <w:color w:val="auto"/>
                <w:sz w:val="24"/>
                <w:highlight w:val="none"/>
                <w:shd w:val="clear" w:color="auto" w:fill="auto"/>
              </w:rPr>
              <w:t>。</w:t>
            </w:r>
          </w:p>
          <w:p w14:paraId="70142A14">
            <w:pPr>
              <w:keepNext w:val="0"/>
              <w:keepLines w:val="0"/>
              <w:suppressLineNumbers w:val="0"/>
              <w:shd w:val="clear"/>
              <w:spacing w:before="0" w:beforeAutospacing="0" w:after="0" w:afterAutospacing="0" w:line="360" w:lineRule="auto"/>
              <w:ind w:left="0" w:right="0" w:firstLine="502" w:firstLineChars="200"/>
              <w:rPr>
                <w:rFonts w:hint="default"/>
                <w:b/>
                <w:bCs/>
                <w:color w:val="auto"/>
                <w:kern w:val="0"/>
                <w:sz w:val="24"/>
                <w:highlight w:val="none"/>
                <w:shd w:val="clear" w:color="auto" w:fill="auto"/>
              </w:rPr>
            </w:pPr>
            <w:r>
              <w:rPr>
                <w:rFonts w:hint="default" w:ascii="Times New Roman" w:hAnsi="Times New Roman" w:eastAsia="宋体" w:cs="Times New Roman"/>
                <w:b/>
                <w:bCs/>
                <w:color w:val="auto"/>
                <w:kern w:val="0"/>
                <w:sz w:val="25"/>
                <w:szCs w:val="25"/>
                <w:highlight w:val="none"/>
                <w:shd w:val="clear" w:color="auto" w:fill="auto"/>
                <w:lang w:bidi="ar"/>
              </w:rPr>
              <w:t>3、</w:t>
            </w:r>
            <w:r>
              <w:rPr>
                <w:rFonts w:hint="eastAsia" w:ascii="宋体" w:hAnsi="宋体" w:cs="宋体"/>
                <w:b/>
                <w:bCs/>
                <w:color w:val="auto"/>
                <w:kern w:val="0"/>
                <w:sz w:val="25"/>
                <w:szCs w:val="25"/>
                <w:highlight w:val="none"/>
                <w:shd w:val="clear" w:color="auto" w:fill="auto"/>
                <w:lang w:bidi="ar"/>
              </w:rPr>
              <w:t>运营期声环境保护措施</w:t>
            </w:r>
          </w:p>
          <w:p w14:paraId="564FC3D6">
            <w:pPr>
              <w:keepNext w:val="0"/>
              <w:keepLines w:val="0"/>
              <w:widowControl/>
              <w:suppressLineNumbers w:val="0"/>
              <w:shd w:val="clear"/>
              <w:spacing w:before="0" w:beforeAutospacing="0" w:after="0" w:afterAutospacing="0" w:line="360" w:lineRule="auto"/>
              <w:ind w:left="0" w:right="0" w:firstLine="480" w:firstLineChars="200"/>
              <w:jc w:val="left"/>
              <w:rPr>
                <w:rFonts w:hint="default"/>
                <w:bCs/>
                <w:color w:val="auto"/>
                <w:sz w:val="24"/>
                <w:highlight w:val="none"/>
              </w:rPr>
            </w:pPr>
            <w:r>
              <w:rPr>
                <w:rFonts w:hint="default"/>
                <w:bCs/>
                <w:color w:val="auto"/>
                <w:sz w:val="24"/>
                <w:highlight w:val="none"/>
              </w:rPr>
              <w:t>项目</w:t>
            </w:r>
            <w:r>
              <w:rPr>
                <w:rFonts w:hint="eastAsia"/>
                <w:bCs/>
                <w:color w:val="auto"/>
                <w:sz w:val="24"/>
                <w:highlight w:val="none"/>
              </w:rPr>
              <w:t>运营期箱式</w:t>
            </w:r>
            <w:r>
              <w:rPr>
                <w:rFonts w:hint="default"/>
                <w:bCs/>
                <w:color w:val="auto"/>
                <w:sz w:val="24"/>
                <w:highlight w:val="none"/>
              </w:rPr>
              <w:t>变压器、逆变器选用低噪声类型设备，均设置外壳隔声；设备底部基础安装减振垫；加强对逆变器和</w:t>
            </w:r>
            <w:r>
              <w:rPr>
                <w:rFonts w:hint="eastAsia"/>
                <w:bCs/>
                <w:color w:val="auto"/>
                <w:sz w:val="24"/>
                <w:highlight w:val="none"/>
              </w:rPr>
              <w:t>箱式</w:t>
            </w:r>
            <w:r>
              <w:rPr>
                <w:rFonts w:hint="default"/>
                <w:bCs/>
                <w:color w:val="auto"/>
                <w:sz w:val="24"/>
                <w:highlight w:val="none"/>
              </w:rPr>
              <w:t>变压器的定期检查维护使其处于正常稳定的运行状态。</w:t>
            </w:r>
          </w:p>
          <w:p w14:paraId="4464838E">
            <w:pPr>
              <w:keepNext w:val="0"/>
              <w:keepLines w:val="0"/>
              <w:widowControl/>
              <w:suppressLineNumbers w:val="0"/>
              <w:shd w:val="clear"/>
              <w:spacing w:before="0" w:beforeAutospacing="0" w:after="0" w:afterAutospacing="0" w:line="360" w:lineRule="auto"/>
              <w:ind w:left="0" w:right="0" w:firstLine="522" w:firstLineChars="200"/>
              <w:jc w:val="left"/>
              <w:rPr>
                <w:rFonts w:hint="default"/>
                <w:color w:val="auto"/>
                <w:highlight w:val="none"/>
                <w:shd w:val="clear" w:color="auto" w:fill="auto"/>
              </w:rPr>
            </w:pPr>
            <w:r>
              <w:rPr>
                <w:rFonts w:hint="eastAsia"/>
                <w:b/>
                <w:color w:val="auto"/>
                <w:spacing w:val="10"/>
                <w:sz w:val="24"/>
                <w:highlight w:val="none"/>
                <w:shd w:val="clear" w:color="auto" w:fill="auto"/>
                <w:lang w:val="en-US" w:eastAsia="zh-CN"/>
              </w:rPr>
              <w:t>4</w:t>
            </w:r>
            <w:r>
              <w:rPr>
                <w:rFonts w:hint="eastAsia"/>
                <w:b/>
                <w:color w:val="auto"/>
                <w:spacing w:val="10"/>
                <w:sz w:val="24"/>
                <w:highlight w:val="none"/>
                <w:shd w:val="clear" w:color="auto" w:fill="auto"/>
              </w:rPr>
              <w:t>、</w:t>
            </w:r>
            <w:r>
              <w:rPr>
                <w:rFonts w:hint="eastAsia" w:ascii="宋体" w:hAnsi="宋体" w:cs="宋体"/>
                <w:b/>
                <w:bCs/>
                <w:color w:val="auto"/>
                <w:kern w:val="0"/>
                <w:sz w:val="25"/>
                <w:szCs w:val="25"/>
                <w:highlight w:val="none"/>
                <w:shd w:val="clear" w:color="auto" w:fill="auto"/>
                <w:lang w:bidi="ar"/>
              </w:rPr>
              <w:t>运营期固体废物保护措施</w:t>
            </w:r>
          </w:p>
          <w:p w14:paraId="0985B332">
            <w:pPr>
              <w:keepNext w:val="0"/>
              <w:keepLines w:val="0"/>
              <w:pageBreakBefore w:val="0"/>
              <w:suppressLineNumbers w:val="0"/>
              <w:kinsoku/>
              <w:wordWrap/>
              <w:overflowPunct/>
              <w:topLinePunct w:val="0"/>
              <w:bidi w:val="0"/>
              <w:spacing w:before="0" w:beforeAutospacing="0" w:after="0" w:afterAutospacing="0" w:line="360" w:lineRule="auto"/>
              <w:ind w:left="0" w:right="0" w:firstLine="520" w:firstLineChars="200"/>
              <w:rPr>
                <w:rFonts w:hint="default"/>
                <w:color w:val="auto"/>
                <w:sz w:val="24"/>
              </w:rPr>
            </w:pPr>
            <w:r>
              <w:rPr>
                <w:rFonts w:hint="default"/>
                <w:color w:val="auto"/>
                <w:spacing w:val="10"/>
                <w:sz w:val="24"/>
              </w:rPr>
              <w:t>（1）</w:t>
            </w:r>
            <w:r>
              <w:rPr>
                <w:rFonts w:hint="default"/>
                <w:color w:val="auto"/>
                <w:sz w:val="24"/>
              </w:rPr>
              <w:t>废电池板、</w:t>
            </w:r>
            <w:r>
              <w:rPr>
                <w:rFonts w:hint="eastAsia"/>
                <w:bCs/>
                <w:color w:val="auto"/>
                <w:sz w:val="24"/>
                <w:lang w:val="en-US" w:eastAsia="zh-CN"/>
              </w:rPr>
              <w:t>废逆变器、废电气元件</w:t>
            </w:r>
            <w:r>
              <w:rPr>
                <w:rFonts w:hint="default"/>
                <w:color w:val="auto"/>
                <w:sz w:val="24"/>
              </w:rPr>
              <w:t>：</w:t>
            </w:r>
            <w:r>
              <w:rPr>
                <w:rFonts w:hint="default"/>
                <w:color w:val="auto"/>
                <w:kern w:val="0"/>
                <w:sz w:val="24"/>
              </w:rPr>
              <w:t>暂存</w:t>
            </w:r>
            <w:r>
              <w:rPr>
                <w:rFonts w:hint="default"/>
                <w:color w:val="auto"/>
                <w:kern w:val="0"/>
                <w:sz w:val="24"/>
                <w:highlight w:val="none"/>
              </w:rPr>
              <w:t>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default"/>
                <w:color w:val="auto"/>
                <w:kern w:val="0"/>
                <w:sz w:val="24"/>
                <w:highlight w:val="none"/>
              </w:rPr>
              <w:t>一般固</w:t>
            </w:r>
            <w:r>
              <w:rPr>
                <w:rFonts w:hint="default"/>
                <w:color w:val="auto"/>
                <w:kern w:val="0"/>
                <w:sz w:val="24"/>
              </w:rPr>
              <w:t>废暂存间</w:t>
            </w:r>
            <w:r>
              <w:rPr>
                <w:rFonts w:hint="default"/>
                <w:color w:val="auto"/>
                <w:sz w:val="24"/>
              </w:rPr>
              <w:t>，</w:t>
            </w:r>
            <w:r>
              <w:rPr>
                <w:rFonts w:hint="default"/>
                <w:bCs/>
                <w:color w:val="auto"/>
                <w:sz w:val="24"/>
              </w:rPr>
              <w:t>及时委托专业的回收厂家收购回收处理</w:t>
            </w:r>
            <w:r>
              <w:rPr>
                <w:rFonts w:hint="default"/>
                <w:color w:val="auto"/>
                <w:sz w:val="24"/>
              </w:rPr>
              <w:t xml:space="preserve">，不得随意堆放处置。 </w:t>
            </w:r>
          </w:p>
          <w:p w14:paraId="215665FE">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rPr>
                <w:rFonts w:hint="default"/>
                <w:bCs/>
                <w:color w:val="auto"/>
                <w:sz w:val="24"/>
              </w:rPr>
            </w:pPr>
            <w:r>
              <w:rPr>
                <w:rFonts w:hint="default"/>
                <w:color w:val="auto"/>
                <w:sz w:val="24"/>
              </w:rPr>
              <w:t>（</w:t>
            </w:r>
            <w:r>
              <w:rPr>
                <w:rFonts w:hint="eastAsia"/>
                <w:color w:val="auto"/>
                <w:sz w:val="24"/>
              </w:rPr>
              <w:t>2</w:t>
            </w:r>
            <w:r>
              <w:rPr>
                <w:rFonts w:hint="default"/>
                <w:color w:val="auto"/>
                <w:sz w:val="24"/>
              </w:rPr>
              <w:t>）</w:t>
            </w:r>
            <w:r>
              <w:rPr>
                <w:rFonts w:hint="default" w:hAnsi="宋体"/>
                <w:bCs/>
                <w:color w:val="auto"/>
                <w:sz w:val="24"/>
                <w:highlight w:val="none"/>
                <w:shd w:val="clear" w:color="auto" w:fill="auto"/>
              </w:rPr>
              <w:t>单次维修产生的废变压器油</w:t>
            </w:r>
            <w:r>
              <w:rPr>
                <w:rFonts w:hint="eastAsia" w:hAnsi="宋体"/>
                <w:bCs/>
                <w:color w:val="auto"/>
                <w:sz w:val="24"/>
                <w:highlight w:val="none"/>
                <w:shd w:val="clear" w:color="auto" w:fill="auto"/>
                <w:lang w:val="en-US" w:eastAsia="zh-CN"/>
              </w:rPr>
              <w:t>和</w:t>
            </w:r>
            <w:r>
              <w:rPr>
                <w:rFonts w:hint="default" w:hAnsi="宋体"/>
                <w:bCs/>
                <w:color w:val="auto"/>
                <w:sz w:val="24"/>
                <w:highlight w:val="none"/>
                <w:shd w:val="clear" w:color="auto" w:fill="auto"/>
              </w:rPr>
              <w:t>事故废油均属危险废物，经集中收集后，暂存于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b w:val="0"/>
                <w:bCs w:val="0"/>
                <w:color w:val="auto"/>
                <w:sz w:val="24"/>
                <w:szCs w:val="24"/>
                <w:lang w:val="en-US" w:eastAsia="zh-CN"/>
              </w:rPr>
              <w:t>升压站</w:t>
            </w:r>
            <w:r>
              <w:rPr>
                <w:rFonts w:hint="default" w:hAnsi="宋体"/>
                <w:bCs/>
                <w:color w:val="auto"/>
                <w:sz w:val="24"/>
                <w:highlight w:val="none"/>
                <w:shd w:val="clear" w:color="auto" w:fill="auto"/>
              </w:rPr>
              <w:t>危废</w:t>
            </w:r>
            <w:r>
              <w:rPr>
                <w:rFonts w:hint="eastAsia" w:hAnsi="宋体"/>
                <w:bCs/>
                <w:color w:val="auto"/>
                <w:sz w:val="24"/>
                <w:highlight w:val="none"/>
                <w:shd w:val="clear" w:color="auto" w:fill="auto"/>
                <w:lang w:val="en-US" w:eastAsia="zh-CN"/>
              </w:rPr>
              <w:t>贮存库</w:t>
            </w:r>
            <w:r>
              <w:rPr>
                <w:rFonts w:hint="default" w:hAnsi="宋体"/>
                <w:bCs/>
                <w:color w:val="auto"/>
                <w:sz w:val="24"/>
                <w:highlight w:val="none"/>
                <w:shd w:val="clear" w:color="auto" w:fill="auto"/>
              </w:rPr>
              <w:t>，并委托有资质单位处置</w:t>
            </w:r>
            <w:r>
              <w:rPr>
                <w:rFonts w:hint="eastAsia" w:hAnsi="宋体"/>
                <w:bCs/>
                <w:color w:val="auto"/>
                <w:sz w:val="24"/>
                <w:highlight w:val="none"/>
                <w:shd w:val="clear" w:color="auto" w:fill="auto"/>
                <w:lang w:eastAsia="zh-CN"/>
              </w:rPr>
              <w:t>；</w:t>
            </w:r>
            <w:r>
              <w:rPr>
                <w:rFonts w:hint="default" w:hAnsi="宋体"/>
                <w:bCs/>
                <w:color w:val="auto"/>
                <w:sz w:val="24"/>
                <w:highlight w:val="none"/>
                <w:shd w:val="clear" w:color="auto" w:fill="auto"/>
              </w:rPr>
              <w:t>变压器油不合格需全部更换时产生的废变压器油，委托有资质单位在更换后即时转移处置，不在厂区贮存。</w:t>
            </w:r>
          </w:p>
          <w:p w14:paraId="5AB59F7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522" w:firstLineChars="200"/>
              <w:rPr>
                <w:rStyle w:val="105"/>
                <w:rFonts w:hint="eastAsia"/>
                <w:b/>
                <w:color w:val="auto"/>
                <w:sz w:val="24"/>
              </w:rPr>
            </w:pPr>
            <w:r>
              <w:rPr>
                <w:rFonts w:hint="eastAsia" w:cs="Times New Roman"/>
                <w:b/>
                <w:color w:val="auto"/>
                <w:spacing w:val="10"/>
                <w:sz w:val="24"/>
                <w:highlight w:val="none"/>
                <w:lang w:val="en-US" w:eastAsia="zh-CN"/>
              </w:rPr>
              <w:t>5</w:t>
            </w:r>
            <w:r>
              <w:rPr>
                <w:rStyle w:val="105"/>
                <w:rFonts w:hint="eastAsia"/>
                <w:b/>
                <w:color w:val="auto"/>
                <w:sz w:val="24"/>
              </w:rPr>
              <w:t>、</w:t>
            </w:r>
            <w:r>
              <w:rPr>
                <w:rStyle w:val="105"/>
                <w:rFonts w:hint="eastAsia"/>
                <w:b/>
                <w:color w:val="auto"/>
                <w:sz w:val="24"/>
                <w:lang w:val="en-US" w:eastAsia="zh-CN"/>
              </w:rPr>
              <w:t>地下水、土壤</w:t>
            </w:r>
            <w:r>
              <w:rPr>
                <w:rFonts w:hint="eastAsia" w:ascii="宋体" w:hAnsi="宋体" w:cs="宋体"/>
                <w:b/>
                <w:bCs/>
                <w:color w:val="auto"/>
                <w:kern w:val="0"/>
                <w:sz w:val="25"/>
                <w:szCs w:val="25"/>
                <w:lang w:bidi="ar"/>
              </w:rPr>
              <w:t>保护措施</w:t>
            </w:r>
          </w:p>
          <w:p w14:paraId="72378925">
            <w:pPr>
              <w:pStyle w:val="30"/>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lang w:val="en-US" w:eastAsia="zh-CN" w:bidi="ar"/>
              </w:rPr>
            </w:pPr>
            <w:r>
              <w:rPr>
                <w:rFonts w:hint="default"/>
                <w:color w:val="auto"/>
                <w:sz w:val="24"/>
                <w:szCs w:val="24"/>
              </w:rPr>
              <w:t>项目</w:t>
            </w:r>
            <w:r>
              <w:rPr>
                <w:rFonts w:hint="eastAsia"/>
                <w:color w:val="auto"/>
                <w:sz w:val="24"/>
                <w:szCs w:val="24"/>
                <w:lang w:val="en-US" w:eastAsia="zh-CN"/>
              </w:rPr>
              <w:t>事故油池</w:t>
            </w:r>
            <w:r>
              <w:rPr>
                <w:rFonts w:hint="eastAsia"/>
                <w:color w:val="auto"/>
                <w:sz w:val="24"/>
                <w:szCs w:val="24"/>
                <w:lang w:eastAsia="zh-CN"/>
              </w:rPr>
              <w:t>、</w:t>
            </w:r>
            <w:r>
              <w:rPr>
                <w:rFonts w:hint="eastAsia"/>
                <w:color w:val="auto"/>
                <w:sz w:val="24"/>
                <w:szCs w:val="24"/>
                <w:lang w:val="en-US" w:eastAsia="zh-CN"/>
              </w:rPr>
              <w:t>箱式变压器</w:t>
            </w:r>
            <w:r>
              <w:rPr>
                <w:rFonts w:hint="default"/>
                <w:color w:val="auto"/>
                <w:sz w:val="24"/>
                <w:szCs w:val="24"/>
              </w:rPr>
              <w:t>按重点防渗进行建设，防渗技术要求为表：</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rPr>
              <w:t>。</w:t>
            </w:r>
            <w:r>
              <w:rPr>
                <w:rFonts w:hint="eastAsia" w:ascii="宋体" w:hAnsi="宋体" w:eastAsia="宋体" w:cs="宋体"/>
                <w:color w:val="auto"/>
                <w:kern w:val="0"/>
                <w:sz w:val="24"/>
                <w:szCs w:val="24"/>
                <w:lang w:val="en-US" w:eastAsia="zh-CN" w:bidi="ar"/>
              </w:rPr>
              <w:t>采取分区防渗措施后，对</w:t>
            </w:r>
            <w:r>
              <w:rPr>
                <w:rFonts w:hint="eastAsia" w:ascii="宋体" w:hAnsi="宋体" w:cs="宋体"/>
                <w:color w:val="auto"/>
                <w:kern w:val="0"/>
                <w:sz w:val="24"/>
                <w:szCs w:val="24"/>
                <w:lang w:val="en-US" w:eastAsia="zh-CN" w:bidi="ar"/>
              </w:rPr>
              <w:t>周边地下水和土壤</w:t>
            </w:r>
            <w:r>
              <w:rPr>
                <w:rFonts w:hint="eastAsia" w:ascii="宋体" w:hAnsi="宋体" w:eastAsia="宋体" w:cs="宋体"/>
                <w:color w:val="auto"/>
                <w:kern w:val="0"/>
                <w:sz w:val="24"/>
                <w:szCs w:val="24"/>
                <w:lang w:val="en-US" w:eastAsia="zh-CN" w:bidi="ar"/>
              </w:rPr>
              <w:t>环境影响小，措施可行。</w:t>
            </w:r>
          </w:p>
          <w:p w14:paraId="1313C40E">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cs="宋体"/>
                <w:b/>
                <w:color w:val="auto"/>
                <w:sz w:val="24"/>
                <w:highlight w:val="none"/>
                <w:shd w:val="clear" w:color="auto" w:fill="auto"/>
              </w:rPr>
            </w:pPr>
            <w:r>
              <w:rPr>
                <w:rStyle w:val="105"/>
                <w:rFonts w:hint="eastAsia"/>
                <w:b/>
                <w:color w:val="auto"/>
                <w:sz w:val="24"/>
                <w:highlight w:val="none"/>
                <w:shd w:val="clear" w:color="auto" w:fill="auto"/>
                <w:lang w:val="en-US" w:eastAsia="zh-CN"/>
              </w:rPr>
              <w:t>6</w:t>
            </w:r>
            <w:r>
              <w:rPr>
                <w:rStyle w:val="105"/>
                <w:rFonts w:hint="eastAsia"/>
                <w:b/>
                <w:color w:val="auto"/>
                <w:sz w:val="24"/>
                <w:highlight w:val="none"/>
                <w:shd w:val="clear" w:color="auto" w:fill="auto"/>
              </w:rPr>
              <w:t>、</w:t>
            </w:r>
            <w:r>
              <w:rPr>
                <w:rFonts w:hint="eastAsia" w:ascii="宋体" w:hAnsi="宋体" w:cs="宋体"/>
                <w:b/>
                <w:bCs/>
                <w:color w:val="auto"/>
                <w:kern w:val="0"/>
                <w:sz w:val="25"/>
                <w:szCs w:val="25"/>
                <w:highlight w:val="none"/>
                <w:shd w:val="clear" w:color="auto" w:fill="auto"/>
                <w:lang w:bidi="ar"/>
              </w:rPr>
              <w:t>运营期环境风险保护措施</w:t>
            </w:r>
          </w:p>
          <w:p w14:paraId="5DBB014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highlight w:val="none"/>
                <w:shd w:val="clear" w:color="auto" w:fill="auto"/>
              </w:rPr>
              <w:t>（1）</w:t>
            </w:r>
            <w:r>
              <w:rPr>
                <w:rFonts w:hint="eastAsia"/>
                <w:bCs/>
                <w:color w:val="auto"/>
                <w:sz w:val="24"/>
                <w:szCs w:val="24"/>
                <w:highlight w:val="none"/>
                <w:shd w:val="clear" w:color="auto" w:fill="auto"/>
              </w:rPr>
              <w:t>在</w:t>
            </w:r>
            <w:r>
              <w:rPr>
                <w:rFonts w:hint="default"/>
                <w:color w:val="auto"/>
                <w:kern w:val="0"/>
                <w:sz w:val="24"/>
                <w:szCs w:val="24"/>
                <w:highlight w:val="none"/>
                <w:shd w:val="clear" w:color="auto" w:fill="auto"/>
              </w:rPr>
              <w:t>箱式变压器下方基础处设置</w:t>
            </w:r>
            <w:r>
              <w:rPr>
                <w:rFonts w:hint="eastAsia"/>
                <w:color w:val="auto"/>
                <w:kern w:val="0"/>
                <w:sz w:val="24"/>
                <w:szCs w:val="24"/>
                <w:highlight w:val="none"/>
                <w:shd w:val="clear" w:color="auto" w:fill="auto"/>
                <w:lang w:val="en-US" w:eastAsia="zh-CN" w:bidi="ar"/>
              </w:rPr>
              <w:t>14</w:t>
            </w:r>
            <w:r>
              <w:rPr>
                <w:rFonts w:hint="eastAsia"/>
                <w:color w:val="auto"/>
                <w:kern w:val="0"/>
                <w:sz w:val="24"/>
                <w:szCs w:val="24"/>
                <w:highlight w:val="none"/>
                <w:shd w:val="clear" w:color="auto" w:fill="auto"/>
              </w:rPr>
              <w:t>个</w:t>
            </w:r>
            <w:r>
              <w:rPr>
                <w:rFonts w:hint="eastAsia"/>
                <w:color w:val="auto"/>
                <w:kern w:val="0"/>
                <w:sz w:val="24"/>
                <w:szCs w:val="24"/>
                <w:highlight w:val="none"/>
                <w:shd w:val="clear" w:color="auto" w:fill="auto"/>
                <w:lang w:eastAsia="zh-CN"/>
              </w:rPr>
              <w:t>事故油池</w:t>
            </w:r>
            <w:r>
              <w:rPr>
                <w:rFonts w:hint="eastAsia"/>
                <w:color w:val="auto"/>
                <w:kern w:val="0"/>
                <w:sz w:val="24"/>
                <w:szCs w:val="24"/>
                <w:highlight w:val="none"/>
                <w:shd w:val="clear" w:color="auto" w:fill="auto"/>
              </w:rPr>
              <w:t>（</w:t>
            </w:r>
            <w:r>
              <w:rPr>
                <w:rFonts w:hint="eastAsia"/>
                <w:color w:val="auto"/>
                <w:kern w:val="0"/>
                <w:sz w:val="24"/>
              </w:rPr>
              <w:t>其中</w:t>
            </w:r>
            <w:r>
              <w:rPr>
                <w:rFonts w:hint="eastAsia"/>
                <w:color w:val="auto"/>
                <w:kern w:val="0"/>
                <w:sz w:val="24"/>
                <w:lang w:val="en-US" w:eastAsia="zh-CN"/>
              </w:rPr>
              <w:t>1</w:t>
            </w:r>
            <w:r>
              <w:rPr>
                <w:rFonts w:hint="eastAsia"/>
                <w:color w:val="auto"/>
                <w:kern w:val="0"/>
                <w:sz w:val="24"/>
              </w:rPr>
              <w:t>个容积不低于</w:t>
            </w:r>
            <w:r>
              <w:rPr>
                <w:rFonts w:hint="eastAsia"/>
                <w:color w:val="auto"/>
                <w:kern w:val="0"/>
                <w:sz w:val="24"/>
                <w:lang w:val="en-US" w:eastAsia="zh-CN"/>
              </w:rPr>
              <w:t>1.8</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11</w:t>
            </w:r>
            <w:r>
              <w:rPr>
                <w:rFonts w:hint="eastAsia"/>
                <w:color w:val="auto"/>
                <w:kern w:val="0"/>
                <w:sz w:val="24"/>
              </w:rPr>
              <w:t>个容积不低于</w:t>
            </w:r>
            <w:r>
              <w:rPr>
                <w:rFonts w:hint="eastAsia"/>
                <w:color w:val="auto"/>
                <w:kern w:val="0"/>
                <w:sz w:val="24"/>
                <w:lang w:val="en-US" w:eastAsia="zh-CN"/>
              </w:rPr>
              <w:t>1.9</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w:t>
            </w:r>
            <w:r>
              <w:rPr>
                <w:rFonts w:hint="eastAsia"/>
                <w:color w:val="auto"/>
                <w:kern w:val="0"/>
                <w:sz w:val="24"/>
              </w:rPr>
              <w:t>个容积不低于2.</w:t>
            </w:r>
            <w:r>
              <w:rPr>
                <w:rFonts w:hint="eastAsia"/>
                <w:color w:val="auto"/>
                <w:kern w:val="0"/>
                <w:sz w:val="24"/>
                <w:lang w:val="en-US" w:eastAsia="zh-CN"/>
              </w:rPr>
              <w:t>1</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r>
              <w:rPr>
                <w:rFonts w:hint="eastAsia"/>
                <w:color w:val="auto"/>
                <w:kern w:val="0"/>
                <w:sz w:val="24"/>
                <w:lang w:val="en-US" w:eastAsia="zh-CN"/>
              </w:rPr>
              <w:t>1</w:t>
            </w:r>
            <w:r>
              <w:rPr>
                <w:rFonts w:hint="eastAsia"/>
                <w:color w:val="auto"/>
                <w:kern w:val="0"/>
                <w:sz w:val="24"/>
              </w:rPr>
              <w:t>个容积不低于2.</w:t>
            </w:r>
            <w:r>
              <w:rPr>
                <w:rFonts w:hint="eastAsia"/>
                <w:color w:val="auto"/>
                <w:kern w:val="0"/>
                <w:sz w:val="24"/>
                <w:lang w:val="en-US" w:eastAsia="zh-CN"/>
              </w:rPr>
              <w:t>3</w:t>
            </w:r>
            <w:r>
              <w:rPr>
                <w:rFonts w:hint="eastAsia"/>
                <w:color w:val="auto"/>
                <w:kern w:val="0"/>
                <w:sz w:val="24"/>
              </w:rPr>
              <w:t>m</w:t>
            </w:r>
            <w:r>
              <w:rPr>
                <w:rFonts w:hint="eastAsia"/>
                <w:color w:val="auto"/>
                <w:kern w:val="0"/>
                <w:sz w:val="24"/>
                <w:vertAlign w:val="superscript"/>
              </w:rPr>
              <w:t>3</w:t>
            </w:r>
            <w:r>
              <w:rPr>
                <w:rFonts w:hint="eastAsia"/>
                <w:color w:val="auto"/>
                <w:kern w:val="0"/>
                <w:sz w:val="24"/>
                <w:szCs w:val="24"/>
                <w:highlight w:val="none"/>
                <w:shd w:val="clear" w:color="auto" w:fill="auto"/>
              </w:rPr>
              <w:t>）</w:t>
            </w:r>
            <w:r>
              <w:rPr>
                <w:rFonts w:hint="eastAsia"/>
                <w:color w:val="auto"/>
                <w:kern w:val="0"/>
                <w:sz w:val="24"/>
                <w:szCs w:val="24"/>
                <w:highlight w:val="none"/>
                <w:shd w:val="clear" w:color="auto" w:fill="auto"/>
                <w:lang w:eastAsia="zh-CN"/>
              </w:rPr>
              <w:t>，</w:t>
            </w:r>
            <w:r>
              <w:rPr>
                <w:rFonts w:hint="eastAsia"/>
                <w:color w:val="auto"/>
                <w:sz w:val="24"/>
                <w:highlight w:val="none"/>
                <w:shd w:val="clear" w:color="auto" w:fill="auto"/>
                <w:lang w:val="en-US" w:eastAsia="zh-CN"/>
              </w:rPr>
              <w:t>箱变</w:t>
            </w:r>
            <w:r>
              <w:rPr>
                <w:rFonts w:hint="default"/>
                <w:color w:val="auto"/>
                <w:sz w:val="24"/>
                <w:highlight w:val="none"/>
                <w:shd w:val="clear" w:color="auto" w:fill="auto"/>
              </w:rPr>
              <w:t>在事故情况下，</w:t>
            </w:r>
            <w:r>
              <w:rPr>
                <w:rFonts w:hint="eastAsia"/>
                <w:color w:val="auto"/>
                <w:sz w:val="24"/>
                <w:highlight w:val="none"/>
                <w:shd w:val="clear" w:color="auto" w:fill="auto"/>
              </w:rPr>
              <w:t>泄漏的变压器油自流进入</w:t>
            </w:r>
            <w:r>
              <w:rPr>
                <w:rFonts w:hint="eastAsia"/>
                <w:color w:val="auto"/>
                <w:kern w:val="0"/>
                <w:sz w:val="24"/>
                <w:szCs w:val="24"/>
                <w:highlight w:val="none"/>
                <w:shd w:val="clear" w:color="auto" w:fill="auto"/>
                <w:lang w:eastAsia="zh-CN"/>
              </w:rPr>
              <w:t>事故油池</w:t>
            </w:r>
            <w:r>
              <w:rPr>
                <w:rFonts w:hint="default"/>
                <w:color w:val="auto"/>
                <w:sz w:val="24"/>
                <w:szCs w:val="24"/>
              </w:rPr>
              <w:t>收集后暂存</w:t>
            </w:r>
            <w:r>
              <w:rPr>
                <w:rFonts w:hint="eastAsia"/>
                <w:color w:val="auto"/>
                <w:sz w:val="24"/>
                <w:szCs w:val="24"/>
                <w:lang w:val="en-US" w:eastAsia="zh-CN"/>
              </w:rPr>
              <w:t>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default"/>
                <w:color w:val="auto"/>
                <w:kern w:val="0"/>
                <w:sz w:val="24"/>
                <w:szCs w:val="24"/>
              </w:rPr>
              <w:t>升压站</w:t>
            </w:r>
            <w:r>
              <w:rPr>
                <w:rFonts w:hint="default" w:hAnsi="宋体"/>
                <w:bCs/>
                <w:color w:val="auto"/>
                <w:sz w:val="24"/>
                <w:highlight w:val="none"/>
                <w:shd w:val="clear" w:color="auto" w:fill="auto"/>
              </w:rPr>
              <w:t>危废</w:t>
            </w:r>
            <w:r>
              <w:rPr>
                <w:rFonts w:hint="eastAsia" w:hAnsi="宋体"/>
                <w:bCs/>
                <w:color w:val="auto"/>
                <w:sz w:val="24"/>
                <w:highlight w:val="none"/>
                <w:shd w:val="clear" w:color="auto" w:fill="auto"/>
                <w:lang w:val="en-US" w:eastAsia="zh-CN"/>
              </w:rPr>
              <w:t>贮存库</w:t>
            </w:r>
            <w:r>
              <w:rPr>
                <w:rFonts w:hint="default"/>
                <w:color w:val="auto"/>
                <w:sz w:val="24"/>
                <w:szCs w:val="24"/>
              </w:rPr>
              <w:t>，委托资质单位清运处置。</w:t>
            </w:r>
          </w:p>
          <w:p w14:paraId="4D43AE67">
            <w:pPr>
              <w:keepNext w:val="0"/>
              <w:keepLines w:val="0"/>
              <w:suppressLineNumbers w:val="0"/>
              <w:shd w:val="clear"/>
              <w:adjustRightInd w:val="0"/>
              <w:snapToGrid w:val="0"/>
              <w:spacing w:before="0" w:beforeAutospacing="0" w:after="0" w:afterAutospacing="0" w:line="360" w:lineRule="auto"/>
              <w:ind w:left="0" w:right="0" w:firstLine="480"/>
              <w:textAlignment w:val="baseline"/>
              <w:rPr>
                <w:rFonts w:hint="default"/>
                <w:color w:val="auto"/>
                <w:kern w:val="0"/>
                <w:sz w:val="24"/>
                <w:highlight w:val="none"/>
                <w:shd w:val="clear" w:color="auto" w:fill="auto"/>
                <w:lang w:val="zh-CN"/>
              </w:rPr>
            </w:pPr>
            <w:r>
              <w:rPr>
                <w:rFonts w:hint="default"/>
                <w:color w:val="auto"/>
                <w:kern w:val="0"/>
                <w:sz w:val="24"/>
                <w:highlight w:val="none"/>
                <w:shd w:val="clear" w:color="auto" w:fill="auto"/>
              </w:rPr>
              <w:t>（</w:t>
            </w:r>
            <w:r>
              <w:rPr>
                <w:rFonts w:hint="eastAsia"/>
                <w:color w:val="auto"/>
                <w:kern w:val="0"/>
                <w:sz w:val="24"/>
                <w:highlight w:val="none"/>
                <w:shd w:val="clear" w:color="auto" w:fill="auto"/>
                <w:lang w:val="en-US" w:eastAsia="zh-CN"/>
              </w:rPr>
              <w:t>2</w:t>
            </w:r>
            <w:r>
              <w:rPr>
                <w:rFonts w:hint="default"/>
                <w:color w:val="auto"/>
                <w:kern w:val="0"/>
                <w:sz w:val="24"/>
                <w:highlight w:val="none"/>
                <w:shd w:val="clear" w:color="auto" w:fill="auto"/>
              </w:rPr>
              <w:t>）</w:t>
            </w:r>
            <w:r>
              <w:rPr>
                <w:rFonts w:hint="default"/>
                <w:color w:val="auto"/>
                <w:kern w:val="0"/>
                <w:sz w:val="24"/>
                <w:highlight w:val="none"/>
                <w:shd w:val="clear" w:color="auto" w:fill="auto"/>
                <w:lang w:val="zh-CN"/>
              </w:rPr>
              <w:t>运营期定期检查</w:t>
            </w:r>
            <w:r>
              <w:rPr>
                <w:rFonts w:hint="default"/>
                <w:color w:val="auto"/>
                <w:kern w:val="0"/>
                <w:sz w:val="24"/>
                <w:highlight w:val="none"/>
                <w:shd w:val="clear" w:color="auto" w:fill="auto"/>
              </w:rPr>
              <w:t>各储存设施</w:t>
            </w:r>
            <w:r>
              <w:rPr>
                <w:rFonts w:hint="default"/>
                <w:color w:val="auto"/>
                <w:kern w:val="0"/>
                <w:sz w:val="24"/>
                <w:highlight w:val="none"/>
                <w:shd w:val="clear" w:color="auto" w:fill="auto"/>
                <w:lang w:val="zh-CN"/>
              </w:rPr>
              <w:t>，避免出现泄漏等不良情况。</w:t>
            </w:r>
          </w:p>
          <w:p w14:paraId="5AEE5FFC">
            <w:pPr>
              <w:pStyle w:val="54"/>
              <w:keepNext w:val="0"/>
              <w:keepLines w:val="0"/>
              <w:suppressLineNumbers w:val="0"/>
              <w:shd w:val="clear"/>
              <w:spacing w:before="0" w:beforeAutospacing="0" w:after="0" w:afterAutospacing="0"/>
              <w:ind w:left="0" w:right="0" w:firstLine="470"/>
              <w:jc w:val="both"/>
              <w:rPr>
                <w:rFonts w:hint="default" w:eastAsia="宋体"/>
                <w:color w:val="auto"/>
                <w:szCs w:val="24"/>
                <w:highlight w:val="none"/>
                <w:shd w:val="clear" w:color="auto" w:fill="auto"/>
              </w:rPr>
            </w:pPr>
            <w:r>
              <w:rPr>
                <w:rFonts w:hint="eastAsia" w:eastAsia="宋体"/>
                <w:color w:val="auto"/>
                <w:szCs w:val="24"/>
                <w:highlight w:val="none"/>
                <w:shd w:val="clear" w:color="auto" w:fill="auto"/>
              </w:rPr>
              <w:t>（</w:t>
            </w:r>
            <w:r>
              <w:rPr>
                <w:rFonts w:hint="eastAsia" w:eastAsia="宋体"/>
                <w:color w:val="auto"/>
                <w:szCs w:val="24"/>
                <w:highlight w:val="none"/>
                <w:shd w:val="clear" w:color="auto" w:fill="auto"/>
                <w:lang w:val="en-US" w:eastAsia="zh-CN"/>
              </w:rPr>
              <w:t>3</w:t>
            </w:r>
            <w:r>
              <w:rPr>
                <w:rFonts w:hint="eastAsia" w:eastAsia="宋体"/>
                <w:color w:val="auto"/>
                <w:szCs w:val="24"/>
                <w:highlight w:val="none"/>
                <w:shd w:val="clear" w:color="auto" w:fill="auto"/>
              </w:rPr>
              <w:t>）应及时开展应急预案的编制工作。</w:t>
            </w:r>
          </w:p>
          <w:p w14:paraId="06B30F1F">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kern w:val="0"/>
                <w:sz w:val="24"/>
                <w:highlight w:val="none"/>
                <w:shd w:val="clear" w:color="auto" w:fill="auto"/>
              </w:rPr>
              <w:t>（</w:t>
            </w:r>
            <w:r>
              <w:rPr>
                <w:rFonts w:hint="eastAsia"/>
                <w:color w:val="auto"/>
                <w:kern w:val="0"/>
                <w:sz w:val="24"/>
                <w:highlight w:val="none"/>
                <w:shd w:val="clear" w:color="auto" w:fill="auto"/>
                <w:lang w:val="en-US" w:eastAsia="zh-CN"/>
              </w:rPr>
              <w:t>4</w:t>
            </w:r>
            <w:r>
              <w:rPr>
                <w:rFonts w:hint="default"/>
                <w:color w:val="auto"/>
                <w:kern w:val="0"/>
                <w:sz w:val="24"/>
                <w:highlight w:val="none"/>
                <w:shd w:val="clear" w:color="auto" w:fill="auto"/>
              </w:rPr>
              <w:t>）</w:t>
            </w:r>
            <w:r>
              <w:rPr>
                <w:rFonts w:hint="default"/>
                <w:color w:val="auto"/>
                <w:sz w:val="24"/>
                <w:highlight w:val="none"/>
                <w:shd w:val="clear" w:color="auto" w:fill="auto"/>
              </w:rPr>
              <w:t>加强对操作人员的岗位培训，建立健全的环保管理机制和各项环保规章制度，落实岗位环保责任制，加强环境风险防范工作，防止事故排放导致环境问题。</w:t>
            </w:r>
          </w:p>
          <w:p w14:paraId="7B886526">
            <w:pPr>
              <w:keepNext w:val="0"/>
              <w:keepLines w:val="0"/>
              <w:suppressLineNumbers w:val="0"/>
              <w:shd w:val="clear"/>
              <w:spacing w:before="0" w:beforeAutospacing="0" w:after="0" w:afterAutospacing="0" w:line="360" w:lineRule="auto"/>
              <w:ind w:left="0" w:right="0" w:firstLine="482" w:firstLineChars="200"/>
              <w:rPr>
                <w:rFonts w:hint="default"/>
                <w:color w:val="auto"/>
                <w:kern w:val="0"/>
                <w:sz w:val="24"/>
                <w:highlight w:val="none"/>
                <w:shd w:val="clear" w:color="auto" w:fill="auto"/>
              </w:rPr>
            </w:pPr>
            <w:r>
              <w:rPr>
                <w:rFonts w:hint="eastAsia"/>
                <w:b/>
                <w:bCs/>
                <w:color w:val="auto"/>
                <w:kern w:val="0"/>
                <w:sz w:val="24"/>
                <w:highlight w:val="none"/>
                <w:shd w:val="clear" w:color="auto" w:fill="auto"/>
                <w:lang w:val="en-US" w:eastAsia="zh-CN"/>
              </w:rPr>
              <w:t>7</w:t>
            </w:r>
            <w:r>
              <w:rPr>
                <w:rFonts w:hint="eastAsia"/>
                <w:b/>
                <w:bCs/>
                <w:color w:val="auto"/>
                <w:kern w:val="0"/>
                <w:sz w:val="24"/>
                <w:highlight w:val="none"/>
                <w:shd w:val="clear" w:color="auto" w:fill="auto"/>
              </w:rPr>
              <w:t>、景观影响和光污染防治措施</w:t>
            </w:r>
          </w:p>
          <w:p w14:paraId="4874AB83">
            <w:pPr>
              <w:keepNext w:val="0"/>
              <w:keepLines w:val="0"/>
              <w:suppressLineNumbers w:val="0"/>
              <w:shd w:val="clear"/>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w:t>
            </w:r>
            <w:r>
              <w:rPr>
                <w:rFonts w:hint="default"/>
                <w:color w:val="auto"/>
                <w:kern w:val="0"/>
                <w:sz w:val="24"/>
                <w:highlight w:val="none"/>
                <w:shd w:val="clear" w:color="auto" w:fill="auto"/>
              </w:rPr>
              <w:t>1</w:t>
            </w:r>
            <w:r>
              <w:rPr>
                <w:rFonts w:hint="eastAsia"/>
                <w:color w:val="auto"/>
                <w:kern w:val="0"/>
                <w:sz w:val="24"/>
                <w:highlight w:val="none"/>
                <w:shd w:val="clear" w:color="auto" w:fill="auto"/>
              </w:rPr>
              <w:t>）光伏板尽量依山势布置，减少对</w:t>
            </w:r>
            <w:r>
              <w:rPr>
                <w:rFonts w:hint="eastAsia"/>
                <w:color w:val="auto"/>
                <w:kern w:val="0"/>
                <w:sz w:val="24"/>
                <w:highlight w:val="none"/>
                <w:shd w:val="clear" w:color="auto" w:fill="auto"/>
                <w:lang w:eastAsia="zh-CN"/>
              </w:rPr>
              <w:t>地形地貌</w:t>
            </w:r>
            <w:r>
              <w:rPr>
                <w:rFonts w:hint="eastAsia"/>
                <w:color w:val="auto"/>
                <w:kern w:val="0"/>
                <w:sz w:val="24"/>
                <w:highlight w:val="none"/>
                <w:shd w:val="clear" w:color="auto" w:fill="auto"/>
              </w:rPr>
              <w:t>的破坏，加强区域的绿化，减少视觉景观单一化。</w:t>
            </w:r>
          </w:p>
          <w:p w14:paraId="66D18EED">
            <w:pPr>
              <w:keepNext w:val="0"/>
              <w:keepLines w:val="0"/>
              <w:suppressLineNumbers w:val="0"/>
              <w:shd w:val="clear"/>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w:t>
            </w:r>
            <w:r>
              <w:rPr>
                <w:rFonts w:hint="default"/>
                <w:color w:val="auto"/>
                <w:kern w:val="0"/>
                <w:sz w:val="24"/>
                <w:highlight w:val="none"/>
                <w:shd w:val="clear" w:color="auto" w:fill="auto"/>
              </w:rPr>
              <w:t>2</w:t>
            </w:r>
            <w:r>
              <w:rPr>
                <w:rFonts w:hint="eastAsia"/>
                <w:color w:val="auto"/>
                <w:kern w:val="0"/>
                <w:sz w:val="24"/>
                <w:highlight w:val="none"/>
                <w:shd w:val="clear" w:color="auto" w:fill="auto"/>
              </w:rPr>
              <w:t>）合理设计和安装太阳能光伏阵列，项目根据地形设计，调整合理的角度，将放设角度错开周围的村庄。</w:t>
            </w:r>
          </w:p>
          <w:p w14:paraId="6DDB4AD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auto"/>
                <w:kern w:val="0"/>
                <w:sz w:val="24"/>
                <w:highlight w:val="none"/>
                <w:shd w:val="clear" w:color="auto" w:fill="auto"/>
                <w:lang w:bidi="ar"/>
              </w:rPr>
            </w:pPr>
            <w:r>
              <w:rPr>
                <w:rFonts w:hint="eastAsia" w:cs="Times New Roman"/>
                <w:b/>
                <w:bCs/>
                <w:color w:val="auto"/>
                <w:kern w:val="0"/>
                <w:sz w:val="24"/>
                <w:highlight w:val="none"/>
                <w:shd w:val="clear" w:color="auto" w:fill="auto"/>
                <w:lang w:val="en-US" w:eastAsia="zh-CN" w:bidi="ar"/>
              </w:rPr>
              <w:t>8</w:t>
            </w:r>
            <w:r>
              <w:rPr>
                <w:rFonts w:hint="default" w:ascii="Times New Roman" w:hAnsi="Times New Roman" w:cs="Times New Roman"/>
                <w:b/>
                <w:bCs/>
                <w:color w:val="auto"/>
                <w:kern w:val="0"/>
                <w:sz w:val="24"/>
                <w:highlight w:val="none"/>
                <w:shd w:val="clear" w:color="auto" w:fill="auto"/>
                <w:lang w:val="en-US" w:eastAsia="zh-CN" w:bidi="ar"/>
              </w:rPr>
              <w:t>、服务期结束后对策措施</w:t>
            </w:r>
          </w:p>
          <w:p w14:paraId="33A686A1">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项目服务期将结束时应建立退役计划，其应包括光伏组件拆除方案、生态恢复方案及项目拆除文明管理制度等，确保项目在服务期结束后能够快速拆除相关设施，及时恢复生态环境。在拆除过程产生固体废物及生态恢复措施如下：</w:t>
            </w:r>
          </w:p>
          <w:p w14:paraId="53B6F690">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（1）固体废物处置措施</w:t>
            </w:r>
          </w:p>
          <w:p w14:paraId="138901CE">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①服务期满后拆除的光伏电池板全部由专业的回收厂家回收处理，不得随意丢弃。</w:t>
            </w:r>
          </w:p>
          <w:p w14:paraId="4015419D">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②服务期满后及时联系厂家对逆变器、箱变等电气设备进行回收利用。</w:t>
            </w:r>
          </w:p>
          <w:p w14:paraId="20255CCB">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③电缆、光缆拆除后交由资源回收单位收集处理。</w:t>
            </w:r>
          </w:p>
          <w:p w14:paraId="77A33376">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④服务期满后需要对已建成的各类建（构）筑物进行全部拆除，以利于恢复原地表和植被。拆除过程中产生的建筑垃圾经分类收集后可回收利用的回收利用，不可回收利用的清运至当地住建部门指定地点堆存。</w:t>
            </w:r>
          </w:p>
          <w:p w14:paraId="4129F989">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（2）生态恢复措施</w:t>
            </w:r>
          </w:p>
          <w:p w14:paraId="710C0193">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①拆除过程中应尽量减小对土地的扰动，对于项目厂区原绿化土地应保留；</w:t>
            </w:r>
          </w:p>
          <w:p w14:paraId="0D45C438">
            <w:pPr>
              <w:keepNext w:val="0"/>
              <w:keepLines w:val="0"/>
              <w:suppressLineNumbers w:val="0"/>
              <w:spacing w:before="0" w:beforeAutospacing="0" w:after="0" w:afterAutospacing="0" w:line="360" w:lineRule="auto"/>
              <w:ind w:left="0" w:right="0" w:firstLine="480" w:firstLineChars="200"/>
              <w:rPr>
                <w:rFonts w:hint="default"/>
                <w:color w:val="auto"/>
                <w:kern w:val="0"/>
                <w:sz w:val="24"/>
                <w:highlight w:val="none"/>
                <w:lang w:bidi="ar"/>
              </w:rPr>
            </w:pPr>
            <w:r>
              <w:rPr>
                <w:rFonts w:hint="default"/>
                <w:color w:val="auto"/>
                <w:kern w:val="0"/>
                <w:sz w:val="24"/>
                <w:highlight w:val="none"/>
                <w:lang w:bidi="ar"/>
              </w:rPr>
              <w:t>②拆除光伏方阵区支架、箱变等混凝土基础后，场地应进行恢复，覆土厚度30cm，并将光伏阵列区侵蚀沟和低洼区域填土、平整，恢复后的场地进行洒水和压实，以固结地表，防止产生扬尘和对土壤的风蚀，进行植被恢复，对于少量不能进行植被恢复的区域，进行平整压实，以减轻水土流失。</w:t>
            </w:r>
          </w:p>
          <w:p w14:paraId="58D0D3A9">
            <w:pPr>
              <w:keepNext w:val="0"/>
              <w:keepLines w:val="0"/>
              <w:suppressLineNumbers w:val="0"/>
              <w:spacing w:before="0" w:beforeAutospacing="0" w:after="0" w:afterAutospacing="0" w:line="360" w:lineRule="auto"/>
              <w:ind w:left="0" w:right="0" w:firstLine="480" w:firstLineChars="200"/>
              <w:rPr>
                <w:rFonts w:hint="default"/>
                <w:bCs/>
                <w:color w:val="auto"/>
                <w:highlight w:val="none"/>
                <w:shd w:val="clear" w:color="auto" w:fill="auto"/>
              </w:rPr>
            </w:pPr>
            <w:r>
              <w:rPr>
                <w:rFonts w:hint="eastAsia"/>
                <w:color w:val="auto"/>
                <w:kern w:val="0"/>
                <w:sz w:val="24"/>
                <w:highlight w:val="none"/>
                <w:lang w:val="en-US" w:eastAsia="zh-CN" w:bidi="ar"/>
              </w:rPr>
              <w:t>③</w:t>
            </w:r>
            <w:r>
              <w:rPr>
                <w:rFonts w:hint="default"/>
                <w:color w:val="auto"/>
                <w:sz w:val="24"/>
                <w:highlight w:val="none"/>
                <w:lang w:bidi="ar"/>
              </w:rPr>
              <w:t>光伏组件设备拆除完毕后，应做好植被恢复措施。种植乡土物种，并注重乔、灌、草、层间植物有机搭配，科学制定绿化方案，适度补植补种乡土树种、草种。禁止引入外来物种，产生生态入侵。</w:t>
            </w:r>
          </w:p>
        </w:tc>
      </w:tr>
      <w:tr w14:paraId="7D1937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475" w:type="pct"/>
            <w:vAlign w:val="center"/>
          </w:tcPr>
          <w:p w14:paraId="1D4F68AE">
            <w:pPr>
              <w:keepNext w:val="0"/>
              <w:keepLines w:val="0"/>
              <w:suppressLineNumbers w:val="0"/>
              <w:shd w:val="clear"/>
              <w:adjustRightInd w:val="0"/>
              <w:snapToGrid w:val="0"/>
              <w:spacing w:before="0" w:beforeAutospacing="0" w:after="0" w:afterAutospacing="0" w:line="360" w:lineRule="auto"/>
              <w:ind w:left="0" w:right="0"/>
              <w:jc w:val="center"/>
              <w:rPr>
                <w:rFonts w:hint="default"/>
                <w:bCs/>
                <w:color w:val="auto"/>
                <w:spacing w:val="10"/>
                <w:sz w:val="24"/>
                <w:highlight w:val="none"/>
                <w:shd w:val="clear" w:color="auto" w:fill="auto"/>
              </w:rPr>
            </w:pPr>
            <w:r>
              <w:rPr>
                <w:rFonts w:hint="default"/>
                <w:bCs/>
                <w:color w:val="auto"/>
                <w:sz w:val="24"/>
                <w:highlight w:val="none"/>
                <w:shd w:val="clear" w:color="auto" w:fill="auto"/>
              </w:rPr>
              <w:t>其他</w:t>
            </w:r>
          </w:p>
        </w:tc>
        <w:tc>
          <w:tcPr>
            <w:tcW w:w="4524" w:type="pct"/>
            <w:vAlign w:val="center"/>
          </w:tcPr>
          <w:p w14:paraId="0C0D3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1、环境管理</w:t>
            </w:r>
          </w:p>
          <w:p w14:paraId="08403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为加强项目施工期及运营期对项目的环境监管，建设单位应设</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名专职的环保工作人员，负责做好环境管理工作，加强环保法规和技术培训，提高各参建单位和参建</w:t>
            </w:r>
            <w:r>
              <w:rPr>
                <w:rFonts w:hint="eastAsia" w:cs="Times New Roman"/>
                <w:color w:val="auto"/>
                <w:sz w:val="24"/>
                <w:szCs w:val="24"/>
                <w:lang w:val="en-US" w:eastAsia="zh-CN"/>
              </w:rPr>
              <w:t>人员的</w:t>
            </w:r>
            <w:r>
              <w:rPr>
                <w:rFonts w:hint="default" w:ascii="Times New Roman" w:hAnsi="Times New Roman" w:eastAsia="宋体" w:cs="Times New Roman"/>
                <w:color w:val="auto"/>
                <w:sz w:val="24"/>
                <w:szCs w:val="24"/>
                <w:lang w:val="en-US" w:eastAsia="zh-CN"/>
              </w:rPr>
              <w:t>环保意识，组织落实各项环境保护措施，规范各项环境管理制度。项目环境管理计划见下表。</w:t>
            </w:r>
          </w:p>
          <w:p w14:paraId="2113F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环境管理计划</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4128"/>
              <w:gridCol w:w="1070"/>
              <w:gridCol w:w="1062"/>
            </w:tblGrid>
            <w:tr w14:paraId="6F56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4F88151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环境要素</w:t>
                  </w:r>
                </w:p>
              </w:tc>
              <w:tc>
                <w:tcPr>
                  <w:tcW w:w="2781" w:type="pct"/>
                  <w:vAlign w:val="center"/>
                </w:tcPr>
                <w:p w14:paraId="6A25EB3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环境保护措施与对策</w:t>
                  </w:r>
                </w:p>
              </w:tc>
              <w:tc>
                <w:tcPr>
                  <w:tcW w:w="721" w:type="pct"/>
                  <w:vAlign w:val="center"/>
                </w:tcPr>
                <w:p w14:paraId="7414D56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执行单位</w:t>
                  </w:r>
                </w:p>
              </w:tc>
              <w:tc>
                <w:tcPr>
                  <w:tcW w:w="715" w:type="pct"/>
                  <w:vAlign w:val="center"/>
                </w:tcPr>
                <w:p w14:paraId="0C01D55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监督部门</w:t>
                  </w:r>
                </w:p>
              </w:tc>
            </w:tr>
            <w:tr w14:paraId="0636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7AA25F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施工管理</w:t>
                  </w:r>
                </w:p>
              </w:tc>
              <w:tc>
                <w:tcPr>
                  <w:tcW w:w="2781" w:type="pct"/>
                  <w:vAlign w:val="center"/>
                </w:tcPr>
                <w:p w14:paraId="55F1CB64">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①</w:t>
                  </w:r>
                  <w:r>
                    <w:rPr>
                      <w:rFonts w:hint="default"/>
                      <w:color w:val="auto"/>
                      <w:sz w:val="21"/>
                      <w:szCs w:val="21"/>
                    </w:rPr>
                    <w:t>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p w14:paraId="3E5D0BBA">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②</w:t>
                  </w:r>
                  <w:r>
                    <w:rPr>
                      <w:rFonts w:hint="default"/>
                      <w:color w:val="auto"/>
                      <w:sz w:val="21"/>
                      <w:szCs w:val="21"/>
                    </w:rPr>
                    <w:t>建设单位应加强施工过程的管理，开展环境保护培训，严格控制施工影响范围，确定适宜的施工季节和施工方式，减少对环境的不利影响；</w:t>
                  </w:r>
                </w:p>
                <w:p w14:paraId="19BBFED7">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③</w:t>
                  </w:r>
                  <w:r>
                    <w:rPr>
                      <w:rFonts w:hint="default"/>
                      <w:color w:val="auto"/>
                      <w:sz w:val="21"/>
                      <w:szCs w:val="21"/>
                    </w:rPr>
                    <w:t>施工期临时用地应永临结合，</w:t>
                  </w:r>
                  <w:r>
                    <w:rPr>
                      <w:rFonts w:hint="default"/>
                      <w:color w:val="auto"/>
                      <w:sz w:val="21"/>
                      <w:szCs w:val="21"/>
                      <w:highlight w:val="none"/>
                    </w:rPr>
                    <w:t>施工占用</w:t>
                  </w:r>
                  <w:r>
                    <w:rPr>
                      <w:rFonts w:hint="eastAsia"/>
                      <w:color w:val="auto"/>
                      <w:sz w:val="21"/>
                      <w:szCs w:val="21"/>
                      <w:highlight w:val="none"/>
                      <w:lang w:val="en-US" w:eastAsia="zh-CN"/>
                    </w:rPr>
                    <w:t>园地</w:t>
                  </w:r>
                  <w:r>
                    <w:rPr>
                      <w:rFonts w:hint="default"/>
                      <w:color w:val="auto"/>
                      <w:sz w:val="21"/>
                      <w:szCs w:val="21"/>
                      <w:highlight w:val="none"/>
                    </w:rPr>
                    <w:t>，</w:t>
                  </w:r>
                  <w:r>
                    <w:rPr>
                      <w:rFonts w:hint="default"/>
                      <w:color w:val="auto"/>
                      <w:sz w:val="21"/>
                      <w:szCs w:val="21"/>
                    </w:rPr>
                    <w:t>应做好表土剥离、分类存放和回填利用；</w:t>
                  </w:r>
                </w:p>
                <w:p w14:paraId="7B4C25F9">
                  <w:pPr>
                    <w:keepNext w:val="0"/>
                    <w:keepLines w:val="0"/>
                    <w:suppressLineNumbers w:val="0"/>
                    <w:spacing w:before="0" w:beforeAutospacing="0" w:after="0" w:afterAutospacing="0" w:line="300" w:lineRule="exact"/>
                    <w:ind w:left="0" w:right="0"/>
                    <w:rPr>
                      <w:rFonts w:hint="default"/>
                      <w:color w:val="auto"/>
                      <w:sz w:val="21"/>
                      <w:szCs w:val="21"/>
                    </w:rPr>
                  </w:pPr>
                  <w:r>
                    <w:rPr>
                      <w:rFonts w:hint="eastAsia"/>
                      <w:color w:val="auto"/>
                      <w:sz w:val="21"/>
                      <w:szCs w:val="21"/>
                      <w:lang w:val="en-US" w:eastAsia="zh-CN"/>
                    </w:rPr>
                    <w:t>④</w:t>
                  </w:r>
                  <w:r>
                    <w:rPr>
                      <w:rFonts w:hint="default"/>
                      <w:color w:val="auto"/>
                      <w:sz w:val="21"/>
                      <w:szCs w:val="21"/>
                    </w:rPr>
                    <w:t>严格在设计占地范围内施工，严禁计划外占地；</w:t>
                  </w:r>
                </w:p>
                <w:p w14:paraId="21A5475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⑤</w:t>
                  </w:r>
                  <w:r>
                    <w:rPr>
                      <w:rFonts w:hint="default"/>
                      <w:color w:val="auto"/>
                      <w:sz w:val="21"/>
                      <w:szCs w:val="21"/>
                    </w:rPr>
                    <w:t>施工结束后，及时清理施工现场，因地制宜进行土地功能恢复。</w:t>
                  </w:r>
                </w:p>
              </w:tc>
              <w:tc>
                <w:tcPr>
                  <w:tcW w:w="721" w:type="pct"/>
                  <w:vMerge w:val="restart"/>
                  <w:vAlign w:val="center"/>
                </w:tcPr>
                <w:p w14:paraId="5892E6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建设单位、施工单位</w:t>
                  </w:r>
                </w:p>
              </w:tc>
              <w:tc>
                <w:tcPr>
                  <w:tcW w:w="715" w:type="pct"/>
                  <w:vMerge w:val="restart"/>
                  <w:vAlign w:val="center"/>
                </w:tcPr>
                <w:p w14:paraId="0785AE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昆明市生态环境局寻甸分局</w:t>
                  </w:r>
                </w:p>
              </w:tc>
            </w:tr>
            <w:tr w14:paraId="793B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04C6FF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c>
                <w:tcPr>
                  <w:tcW w:w="2781" w:type="pct"/>
                  <w:vAlign w:val="center"/>
                </w:tcPr>
                <w:p w14:paraId="3E16EC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施工区实施洒水抑尘、散体材料库内存放、露天存放应采用防尘网遮盖</w:t>
                  </w:r>
                  <w:r>
                    <w:rPr>
                      <w:rFonts w:hint="eastAsia" w:cs="Times New Roman"/>
                      <w:color w:val="auto"/>
                      <w:sz w:val="21"/>
                      <w:szCs w:val="21"/>
                      <w:lang w:val="en-US" w:eastAsia="zh-CN"/>
                    </w:rPr>
                    <w:t>。</w:t>
                  </w:r>
                </w:p>
              </w:tc>
              <w:tc>
                <w:tcPr>
                  <w:tcW w:w="721" w:type="pct"/>
                  <w:vMerge w:val="continue"/>
                  <w:vAlign w:val="center"/>
                </w:tcPr>
                <w:p w14:paraId="58B734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3BB940C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p>
              </w:tc>
            </w:tr>
            <w:tr w14:paraId="060B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16FCB8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水环境</w:t>
                  </w:r>
                </w:p>
              </w:tc>
              <w:tc>
                <w:tcPr>
                  <w:tcW w:w="2781" w:type="pct"/>
                  <w:vAlign w:val="center"/>
                </w:tcPr>
                <w:p w14:paraId="2F6E8EE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施工期：施工废水</w:t>
                  </w:r>
                  <w:r>
                    <w:rPr>
                      <w:rFonts w:hint="eastAsia"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沉淀池处理后，全部回用于施工</w:t>
                  </w:r>
                  <w:r>
                    <w:rPr>
                      <w:rFonts w:hint="eastAsia" w:ascii="Times New Roman" w:hAnsi="Times New Roman" w:eastAsia="宋体" w:cs="Times New Roman"/>
                      <w:color w:val="auto"/>
                      <w:sz w:val="21"/>
                      <w:szCs w:val="21"/>
                      <w:lang w:val="en-US" w:eastAsia="zh-CN"/>
                    </w:rPr>
                    <w:t>工序</w:t>
                  </w:r>
                  <w:r>
                    <w:rPr>
                      <w:rFonts w:hint="default" w:ascii="Times New Roman" w:hAnsi="Times New Roman" w:eastAsia="宋体" w:cs="Times New Roman"/>
                      <w:color w:val="auto"/>
                      <w:sz w:val="21"/>
                      <w:szCs w:val="21"/>
                      <w:lang w:val="en-US" w:eastAsia="zh-CN"/>
                    </w:rPr>
                    <w:t>及场地洒水降尘，不外排。</w:t>
                  </w:r>
                  <w:r>
                    <w:rPr>
                      <w:rFonts w:hint="default" w:ascii="Times New Roman" w:hAnsi="Times New Roman"/>
                      <w:snapToGrid/>
                      <w:color w:val="auto"/>
                      <w:kern w:val="2"/>
                      <w:sz w:val="21"/>
                      <w:szCs w:val="21"/>
                    </w:rPr>
                    <w:t>应</w:t>
                  </w:r>
                  <w:r>
                    <w:rPr>
                      <w:rFonts w:hint="eastAsia" w:ascii="Times New Roman" w:hAnsi="Times New Roman"/>
                      <w:snapToGrid/>
                      <w:color w:val="auto"/>
                      <w:kern w:val="2"/>
                      <w:sz w:val="21"/>
                      <w:szCs w:val="21"/>
                    </w:rPr>
                    <w:t>按照水保要求</w:t>
                  </w:r>
                  <w:r>
                    <w:rPr>
                      <w:rFonts w:hint="default" w:ascii="Times New Roman" w:hAnsi="Times New Roman"/>
                      <w:snapToGrid/>
                      <w:color w:val="auto"/>
                      <w:kern w:val="2"/>
                      <w:sz w:val="21"/>
                      <w:szCs w:val="21"/>
                    </w:rPr>
                    <w:t>优先完成</w:t>
                  </w:r>
                  <w:r>
                    <w:rPr>
                      <w:rFonts w:hint="eastAsia" w:ascii="Times New Roman" w:hAnsi="Times New Roman"/>
                      <w:snapToGrid/>
                      <w:color w:val="auto"/>
                      <w:kern w:val="2"/>
                      <w:sz w:val="21"/>
                      <w:szCs w:val="21"/>
                    </w:rPr>
                    <w:t>场区内排水沟和沉砂池，雨水径流经沉砂池沉淀处理后，接入周围</w:t>
                  </w:r>
                  <w:r>
                    <w:rPr>
                      <w:rFonts w:hint="eastAsia" w:ascii="Times New Roman" w:hAnsi="Times New Roman"/>
                      <w:snapToGrid/>
                      <w:color w:val="auto"/>
                      <w:kern w:val="2"/>
                      <w:sz w:val="21"/>
                      <w:szCs w:val="21"/>
                      <w:lang w:val="en-US" w:eastAsia="zh-CN"/>
                    </w:rPr>
                    <w:t>地表水体</w:t>
                  </w:r>
                  <w:r>
                    <w:rPr>
                      <w:rFonts w:hint="eastAsia" w:ascii="Times New Roman" w:hAnsi="Times New Roman" w:eastAsia="宋体" w:cs="Times New Roman"/>
                      <w:color w:val="auto"/>
                      <w:sz w:val="21"/>
                      <w:szCs w:val="21"/>
                      <w:lang w:val="en-US" w:eastAsia="zh-CN"/>
                    </w:rPr>
                    <w:t>。</w:t>
                  </w:r>
                </w:p>
                <w:p w14:paraId="27B8009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运营期：光伏电池板清洗废水用于光伏组件下的绿化用水，不外排</w:t>
                  </w:r>
                  <w:r>
                    <w:rPr>
                      <w:rFonts w:hint="eastAsia" w:cs="Times New Roman"/>
                      <w:color w:val="auto"/>
                      <w:sz w:val="21"/>
                      <w:szCs w:val="21"/>
                      <w:lang w:val="en-US" w:eastAsia="zh-CN"/>
                    </w:rPr>
                    <w:t>。</w:t>
                  </w:r>
                </w:p>
              </w:tc>
              <w:tc>
                <w:tcPr>
                  <w:tcW w:w="721" w:type="pct"/>
                  <w:vMerge w:val="continue"/>
                  <w:vAlign w:val="center"/>
                </w:tcPr>
                <w:p w14:paraId="448B44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22F1CE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6E5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1E5EE4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生态环境</w:t>
                  </w:r>
                </w:p>
              </w:tc>
              <w:tc>
                <w:tcPr>
                  <w:tcW w:w="2781" w:type="pct"/>
                  <w:vAlign w:val="center"/>
                </w:tcPr>
                <w:p w14:paraId="5F80BCA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严格控制施工活动区域，不破坏征地范围外及对光伏方阵空地不扰动区域的植被，严禁猎杀野生动物，严格执行水土保持措施，施工结束后临建设施要及时进行拆除、清理以及生态恢复。</w:t>
                  </w:r>
                </w:p>
              </w:tc>
              <w:tc>
                <w:tcPr>
                  <w:tcW w:w="721" w:type="pct"/>
                  <w:vMerge w:val="continue"/>
                  <w:vAlign w:val="center"/>
                </w:tcPr>
                <w:p w14:paraId="5C9739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0AF4EC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A65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09B54C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2781" w:type="pct"/>
                  <w:vAlign w:val="center"/>
                </w:tcPr>
                <w:p w14:paraId="431179F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施工期：合理安排施工时间，严禁夜间施工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加强施工机械设备的管理和维护。</w:t>
                  </w:r>
                </w:p>
                <w:p w14:paraId="59FA229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运营期：选用低噪声设备，箱式变压器、逆变器采取隔声、减震降噪。</w:t>
                  </w:r>
                </w:p>
              </w:tc>
              <w:tc>
                <w:tcPr>
                  <w:tcW w:w="721" w:type="pct"/>
                  <w:vMerge w:val="continue"/>
                  <w:vAlign w:val="center"/>
                </w:tcPr>
                <w:p w14:paraId="7D6D7F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71537C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07D9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7EA9A7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固体废物</w:t>
                  </w:r>
                </w:p>
              </w:tc>
              <w:tc>
                <w:tcPr>
                  <w:tcW w:w="2781" w:type="pct"/>
                  <w:vAlign w:val="center"/>
                </w:tcPr>
                <w:p w14:paraId="288009A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施工期：项目产生的土石方全部在场地内回填，不设置弃渣场，禁止乱弃</w:t>
                  </w:r>
                  <w:r>
                    <w:rPr>
                      <w:rFonts w:hint="eastAsia" w:ascii="宋体" w:hAnsi="宋体" w:eastAsia="宋体" w:cs="宋体"/>
                      <w:color w:val="auto"/>
                      <w:sz w:val="21"/>
                      <w:szCs w:val="21"/>
                      <w:lang w:val="en-US" w:eastAsia="zh-CN"/>
                    </w:rPr>
                    <w:t>渣；建筑垃圾应分类收集，能利用部分外售收购商进行回收利用，不可回收部分委托资质单位清运至政府部门指定的场所进行处置。禁止乱堆乱倒；生活垃圾实行“日产日清”，能回收利</w:t>
                  </w:r>
                  <w:r>
                    <w:rPr>
                      <w:rFonts w:hint="eastAsia" w:ascii="宋体" w:hAnsi="宋体" w:cs="宋体"/>
                      <w:color w:val="auto"/>
                      <w:sz w:val="21"/>
                      <w:szCs w:val="21"/>
                      <w:lang w:val="en-US" w:eastAsia="zh-CN"/>
                    </w:rPr>
                    <w:t>用的</w:t>
                  </w:r>
                  <w:r>
                    <w:rPr>
                      <w:rFonts w:hint="eastAsia" w:ascii="宋体" w:hAnsi="宋体" w:eastAsia="宋体" w:cs="宋体"/>
                      <w:color w:val="auto"/>
                      <w:sz w:val="21"/>
                      <w:szCs w:val="21"/>
                      <w:lang w:val="en-US" w:eastAsia="zh-CN"/>
                    </w:rPr>
                    <w:t>部分回收利用，不能回收利用的自行转运至附近村镇垃圾收集点统一处置。</w:t>
                  </w:r>
                </w:p>
                <w:p w14:paraId="3079AB5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运营期：废电池板、</w:t>
                  </w:r>
                  <w:r>
                    <w:rPr>
                      <w:rFonts w:hint="eastAsia" w:ascii="Times New Roman" w:hAnsi="Times New Roman" w:eastAsia="宋体" w:cs="Times New Roman"/>
                      <w:color w:val="auto"/>
                      <w:sz w:val="21"/>
                      <w:szCs w:val="21"/>
                      <w:lang w:val="en-US" w:eastAsia="zh-CN"/>
                    </w:rPr>
                    <w:t>废逆变器</w:t>
                  </w:r>
                  <w:r>
                    <w:rPr>
                      <w:rFonts w:hint="eastAsia" w:cs="Times New Roman"/>
                      <w:color w:val="auto"/>
                      <w:sz w:val="21"/>
                      <w:szCs w:val="21"/>
                      <w:lang w:val="en-US" w:eastAsia="zh-CN"/>
                    </w:rPr>
                    <w:t>、废电气元件</w:t>
                  </w:r>
                  <w:r>
                    <w:rPr>
                      <w:rFonts w:hint="default" w:ascii="Times New Roman" w:hAnsi="Times New Roman" w:eastAsia="宋体" w:cs="Times New Roman"/>
                      <w:color w:val="auto"/>
                      <w:sz w:val="21"/>
                      <w:szCs w:val="21"/>
                      <w:lang w:val="en-US" w:eastAsia="zh-CN"/>
                    </w:rPr>
                    <w:t>暂存于</w:t>
                  </w:r>
                  <w:r>
                    <w:rPr>
                      <w:rFonts w:hint="default" w:ascii="Times New Roman" w:hAnsi="Times New Roman" w:eastAsia="宋体" w:cs="Times New Roman"/>
                      <w:b w:val="0"/>
                      <w:bCs w:val="0"/>
                      <w:color w:val="auto"/>
                      <w:sz w:val="21"/>
                      <w:szCs w:val="21"/>
                      <w:lang w:val="en-US" w:eastAsia="zh-CN"/>
                    </w:rPr>
                    <w:t>竹园沟光伏发电项目</w:t>
                  </w:r>
                  <w:r>
                    <w:rPr>
                      <w:rFonts w:hint="eastAsia" w:ascii="Times New Roman" w:hAnsi="Times New Roman" w:eastAsia="宋体" w:cs="Times New Roman"/>
                      <w:b w:val="0"/>
                      <w:bCs w:val="0"/>
                      <w:color w:val="auto"/>
                      <w:sz w:val="21"/>
                      <w:szCs w:val="21"/>
                      <w:lang w:val="en-US" w:eastAsia="zh-CN"/>
                    </w:rPr>
                    <w:t>升压站</w:t>
                  </w:r>
                  <w:r>
                    <w:rPr>
                      <w:rFonts w:hint="default" w:ascii="Times New Roman" w:hAnsi="Times New Roman" w:eastAsia="宋体" w:cs="Times New Roman"/>
                      <w:color w:val="auto"/>
                      <w:sz w:val="21"/>
                      <w:szCs w:val="21"/>
                      <w:highlight w:val="none"/>
                      <w:lang w:val="en-US" w:eastAsia="zh-CN"/>
                    </w:rPr>
                    <w:t>一般</w:t>
                  </w:r>
                  <w:r>
                    <w:rPr>
                      <w:rFonts w:hint="default" w:ascii="Times New Roman" w:hAnsi="Times New Roman" w:eastAsia="宋体" w:cs="Times New Roman"/>
                      <w:color w:val="auto"/>
                      <w:sz w:val="21"/>
                      <w:szCs w:val="21"/>
                      <w:lang w:val="en-US" w:eastAsia="zh-CN"/>
                    </w:rPr>
                    <w:t>固废暂存间，及时委托专业的回收厂家收购回收处理，不得随意堆放处置</w:t>
                  </w:r>
                  <w:r>
                    <w:rPr>
                      <w:rFonts w:hint="eastAsia" w:cs="Times New Roman"/>
                      <w:color w:val="auto"/>
                      <w:sz w:val="21"/>
                      <w:szCs w:val="21"/>
                      <w:lang w:val="en-US" w:eastAsia="zh-CN"/>
                    </w:rPr>
                    <w:t>；</w:t>
                  </w:r>
                  <w:r>
                    <w:rPr>
                      <w:rFonts w:hint="default" w:hAnsi="宋体"/>
                      <w:bCs/>
                      <w:color w:val="auto"/>
                      <w:sz w:val="21"/>
                      <w:szCs w:val="21"/>
                      <w:highlight w:val="none"/>
                      <w:shd w:val="clear" w:color="auto" w:fill="auto"/>
                    </w:rPr>
                    <w:t>单次维修产生的废变压器油</w:t>
                  </w:r>
                  <w:r>
                    <w:rPr>
                      <w:rFonts w:hint="eastAsia" w:hAnsi="宋体"/>
                      <w:bCs/>
                      <w:color w:val="auto"/>
                      <w:sz w:val="21"/>
                      <w:szCs w:val="21"/>
                      <w:highlight w:val="none"/>
                      <w:shd w:val="clear" w:color="auto" w:fill="auto"/>
                      <w:lang w:val="en-US" w:eastAsia="zh-CN"/>
                    </w:rPr>
                    <w:t>和</w:t>
                  </w:r>
                  <w:r>
                    <w:rPr>
                      <w:rFonts w:hint="default" w:hAnsi="宋体"/>
                      <w:bCs/>
                      <w:color w:val="auto"/>
                      <w:sz w:val="21"/>
                      <w:szCs w:val="21"/>
                      <w:highlight w:val="none"/>
                      <w:shd w:val="clear" w:color="auto" w:fill="auto"/>
                    </w:rPr>
                    <w:t>事故废油均属危险废物，经集中收集后，暂存于</w:t>
                  </w:r>
                  <w:r>
                    <w:rPr>
                      <w:rFonts w:hint="default" w:ascii="Times New Roman" w:hAnsi="Times New Roman" w:eastAsia="宋体" w:cs="Times New Roman"/>
                      <w:b w:val="0"/>
                      <w:bCs w:val="0"/>
                      <w:color w:val="auto"/>
                      <w:sz w:val="21"/>
                      <w:szCs w:val="21"/>
                      <w:lang w:val="en-US" w:eastAsia="zh-CN"/>
                    </w:rPr>
                    <w:t>竹园沟光伏发电项目</w:t>
                  </w:r>
                  <w:r>
                    <w:rPr>
                      <w:rFonts w:hint="eastAsia" w:ascii="Times New Roman" w:hAnsi="Times New Roman" w:eastAsia="宋体" w:cs="Times New Roman"/>
                      <w:b w:val="0"/>
                      <w:bCs w:val="0"/>
                      <w:color w:val="auto"/>
                      <w:sz w:val="21"/>
                      <w:szCs w:val="21"/>
                      <w:highlight w:val="none"/>
                      <w:lang w:val="en-US" w:eastAsia="zh-CN"/>
                    </w:rPr>
                    <w:t>升压站</w:t>
                  </w:r>
                  <w:r>
                    <w:rPr>
                      <w:rFonts w:hint="default" w:hAnsi="宋体"/>
                      <w:bCs/>
                      <w:color w:val="auto"/>
                      <w:sz w:val="21"/>
                      <w:szCs w:val="21"/>
                      <w:highlight w:val="none"/>
                      <w:shd w:val="clear" w:color="auto" w:fill="auto"/>
                    </w:rPr>
                    <w:t>危废</w:t>
                  </w:r>
                  <w:r>
                    <w:rPr>
                      <w:rFonts w:hint="eastAsia" w:hAnsi="宋体"/>
                      <w:bCs/>
                      <w:color w:val="auto"/>
                      <w:sz w:val="21"/>
                      <w:szCs w:val="21"/>
                      <w:highlight w:val="none"/>
                      <w:shd w:val="clear" w:color="auto" w:fill="auto"/>
                      <w:lang w:val="en-US" w:eastAsia="zh-CN"/>
                    </w:rPr>
                    <w:t>贮存库</w:t>
                  </w:r>
                  <w:r>
                    <w:rPr>
                      <w:rFonts w:hint="default" w:hAnsi="宋体"/>
                      <w:bCs/>
                      <w:color w:val="auto"/>
                      <w:sz w:val="21"/>
                      <w:szCs w:val="21"/>
                      <w:highlight w:val="none"/>
                      <w:shd w:val="clear" w:color="auto" w:fill="auto"/>
                    </w:rPr>
                    <w:t>，并委托有资质单位处置</w:t>
                  </w:r>
                  <w:r>
                    <w:rPr>
                      <w:rFonts w:hint="eastAsia" w:hAnsi="宋体"/>
                      <w:bCs/>
                      <w:color w:val="auto"/>
                      <w:sz w:val="21"/>
                      <w:szCs w:val="21"/>
                      <w:highlight w:val="none"/>
                      <w:shd w:val="clear" w:color="auto" w:fill="auto"/>
                      <w:lang w:eastAsia="zh-CN"/>
                    </w:rPr>
                    <w:t>；</w:t>
                  </w:r>
                  <w:r>
                    <w:rPr>
                      <w:rFonts w:hint="default" w:hAnsi="宋体"/>
                      <w:bCs/>
                      <w:color w:val="auto"/>
                      <w:sz w:val="21"/>
                      <w:szCs w:val="21"/>
                      <w:highlight w:val="none"/>
                      <w:shd w:val="clear" w:color="auto" w:fill="auto"/>
                    </w:rPr>
                    <w:t>变压器油不合格需全部更换时产生的废变压器油，委托有资质单位在更换后即时转移处置，不在厂区贮存</w:t>
                  </w:r>
                  <w:r>
                    <w:rPr>
                      <w:rFonts w:hint="default" w:ascii="Times New Roman" w:hAnsi="Times New Roman" w:eastAsia="宋体" w:cs="Times New Roman"/>
                      <w:color w:val="auto"/>
                      <w:sz w:val="21"/>
                      <w:szCs w:val="21"/>
                      <w:lang w:val="en-US" w:eastAsia="zh-CN"/>
                    </w:rPr>
                    <w:t>。</w:t>
                  </w:r>
                </w:p>
              </w:tc>
              <w:tc>
                <w:tcPr>
                  <w:tcW w:w="721" w:type="pct"/>
                  <w:vMerge w:val="continue"/>
                  <w:vAlign w:val="center"/>
                </w:tcPr>
                <w:p w14:paraId="42CE31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15" w:type="pct"/>
                  <w:vMerge w:val="continue"/>
                  <w:vAlign w:val="center"/>
                </w:tcPr>
                <w:p w14:paraId="6638F7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bl>
          <w:p w14:paraId="1E2D57B5">
            <w:pPr>
              <w:keepNext w:val="0"/>
              <w:keepLines w:val="0"/>
              <w:suppressLineNumbers w:val="0"/>
              <w:adjustRightInd w:val="0"/>
              <w:snapToGrid w:val="0"/>
              <w:spacing w:before="0" w:beforeAutospacing="0" w:after="0" w:afterAutospacing="0" w:line="360" w:lineRule="auto"/>
              <w:ind w:left="0" w:right="0" w:firstLine="522" w:firstLineChars="200"/>
              <w:rPr>
                <w:rFonts w:hint="eastAsia" w:ascii="Times New Roman" w:hAnsi="Times New Roman" w:eastAsia="宋体" w:cs="Times New Roman"/>
                <w:b/>
                <w:color w:val="auto"/>
                <w:spacing w:val="10"/>
                <w:sz w:val="24"/>
                <w:lang w:val="en-US" w:eastAsia="zh-CN"/>
              </w:rPr>
            </w:pPr>
            <w:r>
              <w:rPr>
                <w:rFonts w:hint="eastAsia" w:ascii="Times New Roman" w:hAnsi="Times New Roman" w:eastAsia="宋体" w:cs="Times New Roman"/>
                <w:b/>
                <w:color w:val="auto"/>
                <w:spacing w:val="10"/>
                <w:sz w:val="24"/>
                <w:lang w:val="en-US" w:eastAsia="zh-CN"/>
              </w:rPr>
              <w:t xml:space="preserve">2、施工期环境监理 </w:t>
            </w:r>
          </w:p>
          <w:p w14:paraId="6E0E9FA1">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val="en-US" w:eastAsia="zh-CN" w:bidi="ar"/>
              </w:rPr>
              <w:t>按照工程建设管理要求，项目业主必须对每个建设工程委托有资质的施工监理机构。施工监理机构必须配备相应的环境监理工程师，主要负责监理方的建筑工程活动及其他相关活动。本项目施工期间环境监理计划详见下表：</w:t>
            </w:r>
          </w:p>
          <w:p w14:paraId="3977EA15">
            <w:pPr>
              <w:keepNext w:val="0"/>
              <w:keepLines w:val="0"/>
              <w:widowControl/>
              <w:suppressLineNumbers w:val="0"/>
              <w:adjustRightInd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val="en-US" w:eastAsia="zh-CN" w:bidi="ar"/>
              </w:rPr>
              <w:t>表</w:t>
            </w:r>
            <w:r>
              <w:rPr>
                <w:rFonts w:hint="default" w:ascii="Times New Roman" w:hAnsi="Times New Roman" w:eastAsia="宋体" w:cs="Times New Roman"/>
                <w:b/>
                <w:bCs/>
                <w:color w:val="auto"/>
                <w:kern w:val="0"/>
                <w:szCs w:val="21"/>
                <w:lang w:val="en-US" w:eastAsia="zh-CN" w:bidi="ar"/>
              </w:rPr>
              <w:t>5-</w:t>
            </w:r>
            <w:r>
              <w:rPr>
                <w:rFonts w:hint="eastAsia" w:ascii="Times New Roman" w:hAnsi="Times New Roman" w:eastAsia="宋体" w:cs="Times New Roman"/>
                <w:b/>
                <w:bCs/>
                <w:color w:val="auto"/>
                <w:kern w:val="0"/>
                <w:szCs w:val="21"/>
                <w:lang w:val="en-US" w:eastAsia="zh-CN" w:bidi="ar"/>
              </w:rPr>
              <w:t xml:space="preserve">2 </w:t>
            </w:r>
            <w:r>
              <w:rPr>
                <w:rFonts w:hint="default" w:ascii="Times New Roman" w:hAnsi="Times New Roman" w:eastAsia="宋体" w:cs="Times New Roman"/>
                <w:b/>
                <w:bCs/>
                <w:color w:val="auto"/>
                <w:kern w:val="0"/>
                <w:szCs w:val="21"/>
                <w:lang w:val="en-US" w:eastAsia="zh-CN" w:bidi="ar"/>
              </w:rPr>
              <w:t xml:space="preserve"> </w:t>
            </w:r>
            <w:r>
              <w:rPr>
                <w:rFonts w:hint="eastAsia" w:ascii="Times New Roman" w:hAnsi="Times New Roman" w:eastAsia="宋体" w:cs="Times New Roman"/>
                <w:b/>
                <w:bCs/>
                <w:color w:val="auto"/>
                <w:kern w:val="0"/>
                <w:szCs w:val="21"/>
                <w:lang w:val="en-US" w:eastAsia="zh-CN" w:bidi="ar"/>
              </w:rPr>
              <w:t>施工期监理计划一览表</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6345"/>
            </w:tblGrid>
            <w:tr w14:paraId="3EFE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732A700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监理内容</w:t>
                  </w:r>
                </w:p>
              </w:tc>
              <w:tc>
                <w:tcPr>
                  <w:tcW w:w="4276" w:type="pct"/>
                  <w:noWrap w:val="0"/>
                  <w:vAlign w:val="center"/>
                </w:tcPr>
                <w:p w14:paraId="07D756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监理要求</w:t>
                  </w:r>
                </w:p>
              </w:tc>
            </w:tr>
            <w:tr w14:paraId="35F5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4E81F4D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施工扬尘</w:t>
                  </w:r>
                </w:p>
              </w:tc>
              <w:tc>
                <w:tcPr>
                  <w:tcW w:w="4276" w:type="pct"/>
                  <w:noWrap w:val="0"/>
                  <w:vAlign w:val="center"/>
                </w:tcPr>
                <w:p w14:paraId="33C1760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施工过程中及时喷水抑尘；表土临时堆存、砂石料临时堆放采用土工布或防尘网遮盖；对易产尘的材料，实行轻卸慢放。</w:t>
                  </w:r>
                </w:p>
              </w:tc>
            </w:tr>
            <w:tr w14:paraId="09B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663D8C4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施工废水</w:t>
                  </w:r>
                </w:p>
              </w:tc>
              <w:tc>
                <w:tcPr>
                  <w:tcW w:w="4276" w:type="pct"/>
                  <w:noWrap w:val="0"/>
                  <w:vAlign w:val="center"/>
                </w:tcPr>
                <w:p w14:paraId="24FC59E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施工期生产废水由施工机械的冲洗产生，经过临时沉淀池沉淀处理后回用，不外排；</w:t>
                  </w:r>
                  <w:r>
                    <w:rPr>
                      <w:rFonts w:hint="default" w:ascii="Times New Roman" w:hAnsi="Times New Roman" w:eastAsia="宋体" w:cs="Times New Roman"/>
                      <w:b w:val="0"/>
                      <w:bCs/>
                      <w:color w:val="auto"/>
                      <w:spacing w:val="0"/>
                      <w:sz w:val="21"/>
                      <w:szCs w:val="21"/>
                      <w:vertAlign w:val="baseline"/>
                      <w:lang w:val="en-US" w:eastAsia="zh-CN"/>
                    </w:rPr>
                    <w:t>施工期间应按照水保要求优先完成区内排水沟和沉砂池，为排出场内汇水，光伏方阵区上游应修建排水沟；临时施工场地四周布置临时排水沟，末端设置临时沉砂池；雨水径流经沉砂池沉淀处理后，接入周围地表水体</w:t>
                  </w:r>
                  <w:r>
                    <w:rPr>
                      <w:rFonts w:hint="eastAsia" w:ascii="Times New Roman" w:hAnsi="Times New Roman" w:eastAsia="宋体" w:cs="Times New Roman"/>
                      <w:b w:val="0"/>
                      <w:bCs/>
                      <w:color w:val="auto"/>
                      <w:spacing w:val="0"/>
                      <w:sz w:val="21"/>
                      <w:szCs w:val="21"/>
                      <w:vertAlign w:val="baseline"/>
                      <w:lang w:val="en-US" w:eastAsia="zh-CN"/>
                    </w:rPr>
                    <w:t>。</w:t>
                  </w:r>
                </w:p>
              </w:tc>
            </w:tr>
            <w:tr w14:paraId="57CF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20DEF61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施工噪声</w:t>
                  </w:r>
                </w:p>
              </w:tc>
              <w:tc>
                <w:tcPr>
                  <w:tcW w:w="4276" w:type="pct"/>
                  <w:noWrap w:val="0"/>
                  <w:vAlign w:val="center"/>
                </w:tcPr>
                <w:p w14:paraId="04A0379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使用的主要机械设备为低噪声机械设备，同时施工场地布设远离敏感点，在施工过程中施工单位应设专人对设备进行定期保养和维护，并负责对现场工作人员进行培训，严格按操作规范使用各类机械，合理安排施工时间，禁止夜间施工。</w:t>
                  </w:r>
                </w:p>
              </w:tc>
            </w:tr>
            <w:tr w14:paraId="6D26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0BF240D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施工期固废</w:t>
                  </w:r>
                </w:p>
              </w:tc>
              <w:tc>
                <w:tcPr>
                  <w:tcW w:w="4276" w:type="pct"/>
                  <w:noWrap w:val="0"/>
                  <w:vAlign w:val="center"/>
                </w:tcPr>
                <w:p w14:paraId="7E8E853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施工期间产生的废钢筋、废铁丝和各种废钢配件等收集后回收利用，废混凝土、废砖块等不可回收利用的建筑垃圾等均为无机物，</w:t>
                  </w:r>
                  <w:r>
                    <w:rPr>
                      <w:rFonts w:hint="default" w:ascii="Times New Roman" w:hAnsi="Times New Roman" w:cs="Times New Roman"/>
                      <w:bCs/>
                      <w:color w:val="auto"/>
                      <w:spacing w:val="0"/>
                      <w:sz w:val="21"/>
                      <w:szCs w:val="21"/>
                    </w:rPr>
                    <w:t>应由建设单位运送到当地政府指定的建筑垃圾处理点进行处理</w:t>
                  </w:r>
                  <w:r>
                    <w:rPr>
                      <w:rFonts w:hint="eastAsia" w:ascii="Times New Roman" w:hAnsi="Times New Roman" w:cs="Times New Roman"/>
                      <w:b w:val="0"/>
                      <w:bCs/>
                      <w:color w:val="auto"/>
                      <w:spacing w:val="0"/>
                      <w:sz w:val="21"/>
                      <w:szCs w:val="21"/>
                      <w:vertAlign w:val="baseline"/>
                      <w:lang w:val="en-US" w:eastAsia="zh-CN"/>
                    </w:rPr>
                    <w:t>。</w:t>
                  </w:r>
                </w:p>
              </w:tc>
            </w:tr>
            <w:tr w14:paraId="09EB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624F166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施工期生态保护</w:t>
                  </w:r>
                </w:p>
              </w:tc>
              <w:tc>
                <w:tcPr>
                  <w:tcW w:w="4276" w:type="pct"/>
                  <w:noWrap w:val="0"/>
                  <w:vAlign w:val="center"/>
                </w:tcPr>
                <w:p w14:paraId="75C6C6E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施工期的表土防护、植被恢复、多余土方的处置、水土保持等保护措施均得到落实，未对陆生生态、水源涵养产生明显影响。</w:t>
                  </w:r>
                </w:p>
              </w:tc>
            </w:tr>
          </w:tbl>
          <w:p w14:paraId="277FB9D5">
            <w:pPr>
              <w:keepNext w:val="0"/>
              <w:keepLines w:val="0"/>
              <w:suppressLineNumbers w:val="0"/>
              <w:spacing w:before="0" w:beforeAutospacing="0" w:after="0" w:afterAutospacing="0" w:line="360" w:lineRule="auto"/>
              <w:ind w:left="0" w:right="0" w:firstLine="482" w:firstLineChars="200"/>
              <w:rPr>
                <w:rStyle w:val="105"/>
                <w:rFonts w:hint="default"/>
                <w:color w:val="auto"/>
                <w:sz w:val="24"/>
              </w:rPr>
            </w:pPr>
            <w:r>
              <w:rPr>
                <w:rStyle w:val="105"/>
                <w:rFonts w:hint="eastAsia"/>
                <w:b/>
                <w:color w:val="auto"/>
                <w:sz w:val="24"/>
                <w:lang w:val="en-US" w:eastAsia="zh-CN"/>
              </w:rPr>
              <w:t>3</w:t>
            </w:r>
            <w:r>
              <w:rPr>
                <w:rStyle w:val="105"/>
                <w:rFonts w:hint="eastAsia"/>
                <w:b/>
                <w:color w:val="auto"/>
                <w:sz w:val="24"/>
              </w:rPr>
              <w:t>、环境监测</w:t>
            </w:r>
          </w:p>
          <w:p w14:paraId="14DCD84B">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结合项目区环境现状、项目污染特点，本项目运行期环境监测重点是噪声，</w:t>
            </w:r>
            <w:r>
              <w:rPr>
                <w:rFonts w:hint="default" w:ascii="Times New Roman" w:hAnsi="Times New Roman" w:cs="Times New Roman"/>
                <w:color w:val="auto"/>
                <w:sz w:val="24"/>
              </w:rPr>
              <w:t>因本项目所属行业暂未发布污染防治可行技术指南和排污许可申请与核发技术规范，项目的环境监测计划拟参照《排污单位自行监测技术指南 总则》（HJ819-2017）、《环境影响评价技术导则 生态影响》（HJ19-2022）及其他环境要素导则</w:t>
            </w:r>
            <w:r>
              <w:rPr>
                <w:rFonts w:hint="default" w:ascii="Times New Roman" w:hAnsi="Times New Roman" w:cs="Times New Roman"/>
                <w:color w:val="auto"/>
                <w:kern w:val="0"/>
                <w:sz w:val="24"/>
                <w:lang w:bidi="ar"/>
              </w:rPr>
              <w:t>制定监测计划，其监测时段见表5-</w:t>
            </w:r>
            <w:r>
              <w:rPr>
                <w:rFonts w:hint="eastAsia" w:cs="Times New Roman"/>
                <w:color w:val="auto"/>
                <w:kern w:val="0"/>
                <w:sz w:val="24"/>
                <w:lang w:val="en-US" w:eastAsia="zh-CN" w:bidi="ar"/>
              </w:rPr>
              <w:t>3</w:t>
            </w:r>
            <w:r>
              <w:rPr>
                <w:rFonts w:hint="default" w:ascii="Times New Roman" w:hAnsi="Times New Roman" w:cs="Times New Roman"/>
                <w:color w:val="auto"/>
                <w:kern w:val="0"/>
                <w:sz w:val="24"/>
                <w:lang w:bidi="ar"/>
              </w:rPr>
              <w:t>：</w:t>
            </w:r>
          </w:p>
          <w:p w14:paraId="1876358C">
            <w:pPr>
              <w:keepNext w:val="0"/>
              <w:keepLines w:val="0"/>
              <w:suppressLineNumbers w:val="0"/>
              <w:spacing w:before="0" w:beforeAutospacing="0" w:after="0" w:afterAutospacing="0"/>
              <w:ind w:left="0" w:right="0" w:firstLine="600"/>
              <w:jc w:val="center"/>
              <w:rPr>
                <w:rFonts w:hint="default"/>
                <w:b/>
                <w:bCs/>
                <w:color w:val="auto"/>
                <w:szCs w:val="21"/>
              </w:rPr>
            </w:pPr>
            <w:r>
              <w:rPr>
                <w:rFonts w:hint="default"/>
                <w:b/>
                <w:bCs/>
                <w:color w:val="auto"/>
                <w:szCs w:val="21"/>
              </w:rPr>
              <w:t>表5-</w:t>
            </w:r>
            <w:r>
              <w:rPr>
                <w:rFonts w:hint="eastAsia"/>
                <w:b/>
                <w:bCs/>
                <w:color w:val="auto"/>
                <w:szCs w:val="21"/>
                <w:lang w:val="en-US" w:eastAsia="zh-CN"/>
              </w:rPr>
              <w:t>3</w:t>
            </w:r>
            <w:r>
              <w:rPr>
                <w:rFonts w:hint="default"/>
                <w:b/>
                <w:bCs/>
                <w:color w:val="auto"/>
                <w:szCs w:val="21"/>
              </w:rPr>
              <w:t xml:space="preserve"> </w:t>
            </w:r>
            <w:r>
              <w:rPr>
                <w:rFonts w:hint="eastAsia"/>
                <w:b/>
                <w:bCs/>
                <w:color w:val="auto"/>
                <w:szCs w:val="21"/>
              </w:rPr>
              <w:t xml:space="preserve"> </w:t>
            </w:r>
            <w:r>
              <w:rPr>
                <w:rFonts w:hint="eastAsia"/>
                <w:b/>
                <w:bCs/>
                <w:color w:val="auto"/>
                <w:szCs w:val="21"/>
                <w:lang w:val="en-US" w:eastAsia="zh-CN"/>
              </w:rPr>
              <w:t>项目运营期</w:t>
            </w:r>
            <w:r>
              <w:rPr>
                <w:rFonts w:hint="default"/>
                <w:b/>
                <w:bCs/>
                <w:color w:val="auto"/>
                <w:szCs w:val="21"/>
              </w:rPr>
              <w:t>环境监测计划表</w:t>
            </w:r>
          </w:p>
          <w:tbl>
            <w:tblPr>
              <w:tblStyle w:val="4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530"/>
              <w:gridCol w:w="2657"/>
              <w:gridCol w:w="1268"/>
              <w:gridCol w:w="2086"/>
              <w:gridCol w:w="880"/>
            </w:tblGrid>
            <w:tr w14:paraId="660EE3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vAlign w:val="center"/>
                </w:tcPr>
                <w:p w14:paraId="047D431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项目</w:t>
                  </w:r>
                </w:p>
              </w:tc>
              <w:tc>
                <w:tcPr>
                  <w:tcW w:w="1789" w:type="pct"/>
                  <w:vAlign w:val="center"/>
                </w:tcPr>
                <w:p w14:paraId="33388D0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w:t>
                  </w:r>
                </w:p>
              </w:tc>
              <w:tc>
                <w:tcPr>
                  <w:tcW w:w="854" w:type="pct"/>
                  <w:vAlign w:val="center"/>
                </w:tcPr>
                <w:p w14:paraId="47B0B5C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监测因子</w:t>
                  </w:r>
                </w:p>
              </w:tc>
              <w:tc>
                <w:tcPr>
                  <w:tcW w:w="1405" w:type="pct"/>
                  <w:vAlign w:val="center"/>
                </w:tcPr>
                <w:p w14:paraId="4C7890F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监测频率</w:t>
                  </w:r>
                </w:p>
              </w:tc>
              <w:tc>
                <w:tcPr>
                  <w:tcW w:w="592" w:type="pct"/>
                  <w:vAlign w:val="center"/>
                </w:tcPr>
                <w:p w14:paraId="0115C8B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监测方法</w:t>
                  </w:r>
                </w:p>
              </w:tc>
            </w:tr>
            <w:tr w14:paraId="5E6C6A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vAlign w:val="center"/>
                </w:tcPr>
                <w:p w14:paraId="64AAC9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噪声</w:t>
                  </w:r>
                </w:p>
              </w:tc>
              <w:tc>
                <w:tcPr>
                  <w:tcW w:w="1789" w:type="pct"/>
                  <w:vAlign w:val="center"/>
                </w:tcPr>
                <w:p w14:paraId="44C0051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lang w:val="en-US" w:eastAsia="zh-CN"/>
                    </w:rPr>
                    <w:t>西南片区</w:t>
                  </w:r>
                  <w:r>
                    <w:rPr>
                      <w:rFonts w:hint="default"/>
                      <w:color w:val="auto"/>
                      <w:szCs w:val="21"/>
                    </w:rPr>
                    <w:t>东、南、西、北厂界</w:t>
                  </w:r>
                  <w:r>
                    <w:rPr>
                      <w:rFonts w:hint="eastAsia" w:ascii="宋体" w:hAnsi="宋体" w:cs="宋体"/>
                      <w:color w:val="auto"/>
                      <w:kern w:val="0"/>
                      <w:szCs w:val="21"/>
                      <w:lang w:bidi="ar"/>
                    </w:rPr>
                    <w:t>外</w:t>
                  </w:r>
                  <w:r>
                    <w:rPr>
                      <w:rFonts w:hint="default"/>
                      <w:color w:val="auto"/>
                      <w:kern w:val="0"/>
                      <w:szCs w:val="21"/>
                      <w:lang w:bidi="ar"/>
                    </w:rPr>
                    <w:t>1m</w:t>
                  </w:r>
                  <w:r>
                    <w:rPr>
                      <w:rFonts w:hint="eastAsia" w:ascii="宋体" w:hAnsi="宋体" w:cs="宋体"/>
                      <w:color w:val="auto"/>
                      <w:kern w:val="0"/>
                      <w:szCs w:val="21"/>
                      <w:lang w:bidi="ar"/>
                    </w:rPr>
                    <w:t>各设</w:t>
                  </w:r>
                  <w:r>
                    <w:rPr>
                      <w:rFonts w:hint="default"/>
                      <w:color w:val="auto"/>
                      <w:kern w:val="0"/>
                      <w:szCs w:val="21"/>
                      <w:lang w:bidi="ar"/>
                    </w:rPr>
                    <w:t>1</w:t>
                  </w:r>
                  <w:r>
                    <w:rPr>
                      <w:rFonts w:hint="eastAsia" w:ascii="宋体" w:hAnsi="宋体" w:cs="宋体"/>
                      <w:color w:val="auto"/>
                      <w:kern w:val="0"/>
                      <w:szCs w:val="21"/>
                      <w:lang w:bidi="ar"/>
                    </w:rPr>
                    <w:t>个监测点位</w:t>
                  </w:r>
                  <w:r>
                    <w:rPr>
                      <w:rFonts w:hint="eastAsia" w:ascii="宋体" w:hAnsi="宋体" w:cs="宋体"/>
                      <w:color w:val="auto"/>
                      <w:kern w:val="0"/>
                      <w:szCs w:val="21"/>
                      <w:lang w:eastAsia="zh-CN" w:bidi="ar"/>
                    </w:rPr>
                    <w:t>；</w:t>
                  </w:r>
                  <w:r>
                    <w:rPr>
                      <w:rFonts w:hint="eastAsia"/>
                      <w:color w:val="auto"/>
                      <w:szCs w:val="21"/>
                      <w:lang w:val="en-US" w:eastAsia="zh-CN"/>
                    </w:rPr>
                    <w:t>东北片区</w:t>
                  </w:r>
                  <w:r>
                    <w:rPr>
                      <w:rFonts w:hint="default"/>
                      <w:color w:val="auto"/>
                      <w:szCs w:val="21"/>
                    </w:rPr>
                    <w:t>东、南、西、北厂界</w:t>
                  </w:r>
                  <w:r>
                    <w:rPr>
                      <w:rFonts w:hint="eastAsia" w:ascii="宋体" w:hAnsi="宋体" w:cs="宋体"/>
                      <w:color w:val="auto"/>
                      <w:kern w:val="0"/>
                      <w:szCs w:val="21"/>
                      <w:lang w:bidi="ar"/>
                    </w:rPr>
                    <w:t>外</w:t>
                  </w:r>
                  <w:r>
                    <w:rPr>
                      <w:rFonts w:hint="default"/>
                      <w:color w:val="auto"/>
                      <w:kern w:val="0"/>
                      <w:szCs w:val="21"/>
                      <w:lang w:bidi="ar"/>
                    </w:rPr>
                    <w:t>1m</w:t>
                  </w:r>
                  <w:r>
                    <w:rPr>
                      <w:rFonts w:hint="eastAsia" w:ascii="宋体" w:hAnsi="宋体" w:cs="宋体"/>
                      <w:color w:val="auto"/>
                      <w:kern w:val="0"/>
                      <w:szCs w:val="21"/>
                      <w:lang w:bidi="ar"/>
                    </w:rPr>
                    <w:t>各设</w:t>
                  </w:r>
                  <w:r>
                    <w:rPr>
                      <w:rFonts w:hint="default"/>
                      <w:color w:val="auto"/>
                      <w:kern w:val="0"/>
                      <w:szCs w:val="21"/>
                      <w:lang w:bidi="ar"/>
                    </w:rPr>
                    <w:t>1</w:t>
                  </w:r>
                  <w:r>
                    <w:rPr>
                      <w:rFonts w:hint="eastAsia" w:ascii="宋体" w:hAnsi="宋体" w:cs="宋体"/>
                      <w:color w:val="auto"/>
                      <w:kern w:val="0"/>
                      <w:szCs w:val="21"/>
                      <w:lang w:bidi="ar"/>
                    </w:rPr>
                    <w:t>个监测点位</w:t>
                  </w:r>
                </w:p>
              </w:tc>
              <w:tc>
                <w:tcPr>
                  <w:tcW w:w="854" w:type="pct"/>
                  <w:vAlign w:val="center"/>
                </w:tcPr>
                <w:p w14:paraId="485CFD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Leq</w:t>
                  </w:r>
                </w:p>
              </w:tc>
              <w:tc>
                <w:tcPr>
                  <w:tcW w:w="1405" w:type="pct"/>
                  <w:vAlign w:val="center"/>
                </w:tcPr>
                <w:p w14:paraId="39A4A0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环保竣工验收时监测一次</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运营期1次/</w:t>
                  </w:r>
                  <w:r>
                    <w:rPr>
                      <w:rFonts w:hint="default" w:ascii="Times New Roman" w:hAnsi="Times New Roman" w:cs="Times New Roman"/>
                      <w:color w:val="auto"/>
                      <w:kern w:val="0"/>
                      <w:szCs w:val="21"/>
                      <w:lang w:val="en-US" w:eastAsia="zh-CN" w:bidi="ar"/>
                    </w:rPr>
                    <w:t>季度</w:t>
                  </w:r>
                </w:p>
              </w:tc>
              <w:tc>
                <w:tcPr>
                  <w:tcW w:w="592" w:type="pct"/>
                  <w:vAlign w:val="center"/>
                </w:tcPr>
                <w:p w14:paraId="71E851B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按国家标准进行监测</w:t>
                  </w:r>
                </w:p>
              </w:tc>
            </w:tr>
            <w:tr w14:paraId="624B8F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vAlign w:val="center"/>
                </w:tcPr>
                <w:p w14:paraId="3986044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生态</w:t>
                  </w:r>
                </w:p>
              </w:tc>
              <w:tc>
                <w:tcPr>
                  <w:tcW w:w="1789" w:type="pct"/>
                  <w:vAlign w:val="center"/>
                </w:tcPr>
                <w:p w14:paraId="637FF097">
                  <w:pPr>
                    <w:keepNext w:val="0"/>
                    <w:keepLines w:val="0"/>
                    <w:widowControl/>
                    <w:suppressLineNumbers w:val="0"/>
                    <w:spacing w:before="0" w:beforeAutospacing="0" w:after="0" w:afterAutospacing="0"/>
                    <w:ind w:left="0" w:right="0"/>
                    <w:jc w:val="center"/>
                    <w:rPr>
                      <w:rFonts w:hint="eastAsia"/>
                      <w:color w:val="auto"/>
                      <w:szCs w:val="21"/>
                      <w:lang w:val="en-US" w:eastAsia="zh-CN"/>
                    </w:rPr>
                  </w:pPr>
                  <w:r>
                    <w:rPr>
                      <w:rFonts w:hint="eastAsia" w:ascii="宋体" w:hAnsi="宋体" w:eastAsia="宋体" w:cs="宋体"/>
                      <w:color w:val="auto"/>
                      <w:kern w:val="0"/>
                      <w:sz w:val="20"/>
                      <w:szCs w:val="20"/>
                      <w:lang w:val="en-US" w:eastAsia="zh-CN" w:bidi="ar"/>
                    </w:rPr>
                    <w:t>植物恢复区域</w:t>
                  </w:r>
                </w:p>
              </w:tc>
              <w:tc>
                <w:tcPr>
                  <w:tcW w:w="854" w:type="pct"/>
                  <w:vAlign w:val="center"/>
                </w:tcPr>
                <w:p w14:paraId="5F5620B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color w:val="auto"/>
                      <w:kern w:val="2"/>
                      <w:sz w:val="21"/>
                      <w:szCs w:val="21"/>
                      <w:lang w:val="en-US" w:eastAsia="zh-CN"/>
                    </w:rPr>
                    <w:t>生物群落、植被覆盖度等</w:t>
                  </w:r>
                </w:p>
              </w:tc>
              <w:tc>
                <w:tcPr>
                  <w:tcW w:w="1405" w:type="pct"/>
                  <w:vAlign w:val="center"/>
                </w:tcPr>
                <w:p w14:paraId="0396E78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环保竣工验收时监测一次</w:t>
                  </w:r>
                </w:p>
              </w:tc>
              <w:tc>
                <w:tcPr>
                  <w:tcW w:w="592" w:type="pct"/>
                  <w:vAlign w:val="center"/>
                </w:tcPr>
                <w:p w14:paraId="3BA31DA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bl>
          <w:p w14:paraId="29E515B5">
            <w:pPr>
              <w:keepNext w:val="0"/>
              <w:keepLines w:val="0"/>
              <w:widowControl/>
              <w:suppressLineNumbers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val="en-US" w:eastAsia="zh-CN"/>
              </w:rPr>
              <w:t>4、</w:t>
            </w:r>
            <w:r>
              <w:rPr>
                <w:rFonts w:hint="default"/>
                <w:b/>
                <w:bCs/>
                <w:color w:val="auto"/>
                <w:sz w:val="24"/>
              </w:rPr>
              <w:t>建设项目竣</w:t>
            </w:r>
            <w:r>
              <w:rPr>
                <w:rFonts w:hint="eastAsia"/>
                <w:b/>
                <w:bCs/>
                <w:color w:val="auto"/>
                <w:sz w:val="24"/>
              </w:rPr>
              <w:t>工“环境保护验收</w:t>
            </w:r>
            <w:r>
              <w:rPr>
                <w:rFonts w:hint="eastAsia"/>
                <w:b/>
                <w:bCs/>
                <w:color w:val="auto"/>
                <w:sz w:val="24"/>
                <w:lang w:eastAsia="zh-CN"/>
              </w:rPr>
              <w:t>一览表</w:t>
            </w:r>
            <w:r>
              <w:rPr>
                <w:rFonts w:hint="eastAsia"/>
                <w:b/>
                <w:bCs/>
                <w:color w:val="auto"/>
                <w:sz w:val="24"/>
              </w:rPr>
              <w:t>”</w:t>
            </w:r>
          </w:p>
          <w:p w14:paraId="55468912">
            <w:pPr>
              <w:keepNext w:val="0"/>
              <w:keepLines w:val="0"/>
              <w:widowControl/>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项目建成后，建设单位应按照《建设项目竣工环境保护验收暂行办法》（国环规环评〔</w:t>
            </w:r>
            <w:r>
              <w:rPr>
                <w:rFonts w:hint="default"/>
                <w:color w:val="auto"/>
                <w:sz w:val="24"/>
              </w:rPr>
              <w:t>2017</w:t>
            </w:r>
            <w:r>
              <w:rPr>
                <w:rFonts w:hint="eastAsia"/>
                <w:color w:val="auto"/>
                <w:sz w:val="24"/>
              </w:rPr>
              <w:t>〕</w:t>
            </w:r>
            <w:r>
              <w:rPr>
                <w:rFonts w:hint="default"/>
                <w:color w:val="auto"/>
                <w:sz w:val="24"/>
              </w:rPr>
              <w:t>4</w:t>
            </w:r>
            <w:r>
              <w:rPr>
                <w:rFonts w:hint="eastAsia"/>
                <w:color w:val="auto"/>
                <w:sz w:val="24"/>
              </w:rPr>
              <w:t>号）、《建设项目环境保护管理条例》（</w:t>
            </w:r>
            <w:r>
              <w:rPr>
                <w:rFonts w:hint="default"/>
                <w:color w:val="auto"/>
                <w:sz w:val="24"/>
              </w:rPr>
              <w:t>2017</w:t>
            </w:r>
            <w:r>
              <w:rPr>
                <w:rFonts w:hint="eastAsia"/>
                <w:color w:val="auto"/>
                <w:sz w:val="24"/>
              </w:rPr>
              <w:t>年</w:t>
            </w:r>
            <w:r>
              <w:rPr>
                <w:rFonts w:hint="default"/>
                <w:color w:val="auto"/>
                <w:sz w:val="24"/>
              </w:rPr>
              <w:t>10</w:t>
            </w:r>
            <w:r>
              <w:rPr>
                <w:rFonts w:hint="eastAsia"/>
                <w:color w:val="auto"/>
                <w:sz w:val="24"/>
              </w:rPr>
              <w:t>月</w:t>
            </w:r>
            <w:r>
              <w:rPr>
                <w:rFonts w:hint="default"/>
                <w:color w:val="auto"/>
                <w:sz w:val="24"/>
              </w:rPr>
              <w:t>1</w:t>
            </w:r>
            <w:r>
              <w:rPr>
                <w:rFonts w:hint="eastAsia"/>
                <w:color w:val="auto"/>
                <w:sz w:val="24"/>
              </w:rPr>
              <w:t>日）等相关要求，及时组织开展本项目竣工环境保护自主验收工作。本项目竣工环保验收主要内容见表</w:t>
            </w:r>
            <w:r>
              <w:rPr>
                <w:rFonts w:hint="eastAsia"/>
                <w:color w:val="auto"/>
                <w:sz w:val="24"/>
                <w:lang w:val="en-US" w:eastAsia="zh-CN"/>
              </w:rPr>
              <w:t>5</w:t>
            </w:r>
            <w:r>
              <w:rPr>
                <w:rFonts w:hint="default"/>
                <w:color w:val="auto"/>
                <w:sz w:val="24"/>
              </w:rPr>
              <w:t>-</w:t>
            </w:r>
            <w:r>
              <w:rPr>
                <w:rFonts w:hint="eastAsia"/>
                <w:color w:val="auto"/>
                <w:sz w:val="24"/>
                <w:lang w:val="en-US" w:eastAsia="zh-CN"/>
              </w:rPr>
              <w:t>4</w:t>
            </w:r>
            <w:r>
              <w:rPr>
                <w:rFonts w:hint="eastAsia"/>
                <w:color w:val="auto"/>
                <w:sz w:val="24"/>
              </w:rPr>
              <w:t xml:space="preserve">。 </w:t>
            </w:r>
          </w:p>
          <w:p w14:paraId="1C704B8F">
            <w:pPr>
              <w:keepNext w:val="0"/>
              <w:keepLines w:val="0"/>
              <w:widowControl/>
              <w:suppressLineNumbers w:val="0"/>
              <w:spacing w:before="0" w:beforeAutospacing="0" w:after="0" w:afterAutospacing="0"/>
              <w:ind w:left="0" w:right="0"/>
              <w:jc w:val="center"/>
              <w:rPr>
                <w:rFonts w:hint="default"/>
                <w:color w:val="auto"/>
                <w:szCs w:val="21"/>
              </w:rPr>
            </w:pPr>
            <w:r>
              <w:rPr>
                <w:rFonts w:hint="eastAsia" w:ascii="宋体" w:hAnsi="宋体" w:cs="宋体"/>
                <w:b/>
                <w:bCs/>
                <w:color w:val="auto"/>
                <w:kern w:val="0"/>
                <w:szCs w:val="21"/>
                <w:lang w:bidi="ar"/>
              </w:rPr>
              <w:t>表</w:t>
            </w:r>
            <w:r>
              <w:rPr>
                <w:rFonts w:hint="eastAsia"/>
                <w:b/>
                <w:bCs/>
                <w:color w:val="auto"/>
                <w:kern w:val="0"/>
                <w:szCs w:val="21"/>
                <w:lang w:val="en-US" w:eastAsia="zh-CN" w:bidi="ar"/>
              </w:rPr>
              <w:t>5</w:t>
            </w:r>
            <w:r>
              <w:rPr>
                <w:rFonts w:hint="default"/>
                <w:b/>
                <w:bCs/>
                <w:color w:val="auto"/>
                <w:kern w:val="0"/>
                <w:szCs w:val="21"/>
                <w:lang w:bidi="ar"/>
              </w:rPr>
              <w:t>-</w:t>
            </w:r>
            <w:r>
              <w:rPr>
                <w:rFonts w:hint="eastAsia"/>
                <w:b/>
                <w:bCs/>
                <w:color w:val="auto"/>
                <w:kern w:val="0"/>
                <w:szCs w:val="21"/>
                <w:lang w:val="en-US" w:eastAsia="zh-CN" w:bidi="ar"/>
              </w:rPr>
              <w:t>4</w:t>
            </w:r>
            <w:r>
              <w:rPr>
                <w:rFonts w:hint="default"/>
                <w:b/>
                <w:bCs/>
                <w:color w:val="auto"/>
                <w:kern w:val="0"/>
                <w:szCs w:val="21"/>
                <w:lang w:bidi="ar"/>
              </w:rPr>
              <w:t xml:space="preserve"> </w:t>
            </w:r>
            <w:r>
              <w:rPr>
                <w:rFonts w:hint="eastAsia"/>
                <w:b/>
                <w:bCs/>
                <w:color w:val="auto"/>
                <w:kern w:val="0"/>
                <w:szCs w:val="21"/>
                <w:lang w:bidi="ar"/>
              </w:rPr>
              <w:t xml:space="preserve"> </w:t>
            </w:r>
            <w:r>
              <w:rPr>
                <w:rFonts w:hint="eastAsia" w:ascii="宋体" w:hAnsi="宋体" w:cs="宋体"/>
                <w:b/>
                <w:bCs/>
                <w:color w:val="auto"/>
                <w:kern w:val="0"/>
                <w:szCs w:val="21"/>
                <w:lang w:bidi="ar"/>
              </w:rPr>
              <w:t>项目工程竣工环保验收主要内容</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6"/>
              <w:gridCol w:w="1523"/>
              <w:gridCol w:w="3219"/>
              <w:gridCol w:w="1981"/>
            </w:tblGrid>
            <w:tr w14:paraId="1E5C4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51DF02B6">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序号</w:t>
                  </w:r>
                </w:p>
              </w:tc>
              <w:tc>
                <w:tcPr>
                  <w:tcW w:w="1523" w:type="dxa"/>
                  <w:noWrap w:val="0"/>
                  <w:vAlign w:val="center"/>
                </w:tcPr>
                <w:p w14:paraId="18CBCB79">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验收类别</w:t>
                  </w:r>
                </w:p>
              </w:tc>
              <w:tc>
                <w:tcPr>
                  <w:tcW w:w="3219" w:type="dxa"/>
                  <w:noWrap w:val="0"/>
                  <w:vAlign w:val="center"/>
                </w:tcPr>
                <w:p w14:paraId="2CB04145">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验收要求</w:t>
                  </w:r>
                </w:p>
              </w:tc>
              <w:tc>
                <w:tcPr>
                  <w:tcW w:w="1981" w:type="dxa"/>
                  <w:noWrap w:val="0"/>
                  <w:vAlign w:val="center"/>
                </w:tcPr>
                <w:p w14:paraId="765B82EC">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rPr>
                  </w:pPr>
                  <w:r>
                    <w:rPr>
                      <w:rFonts w:hint="default"/>
                      <w:b/>
                      <w:bCs/>
                      <w:color w:val="auto"/>
                      <w:sz w:val="21"/>
                      <w:szCs w:val="21"/>
                    </w:rPr>
                    <w:t>备注</w:t>
                  </w:r>
                </w:p>
              </w:tc>
            </w:tr>
            <w:tr w14:paraId="138B1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696" w:type="dxa"/>
                  <w:noWrap w:val="0"/>
                  <w:vAlign w:val="center"/>
                </w:tcPr>
                <w:p w14:paraId="382D55B0">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1</w:t>
                  </w:r>
                </w:p>
              </w:tc>
              <w:tc>
                <w:tcPr>
                  <w:tcW w:w="1523" w:type="dxa"/>
                  <w:noWrap w:val="0"/>
                  <w:vAlign w:val="center"/>
                </w:tcPr>
                <w:p w14:paraId="0E56165B">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管理</w:t>
                  </w:r>
                </w:p>
              </w:tc>
              <w:tc>
                <w:tcPr>
                  <w:tcW w:w="3219" w:type="dxa"/>
                  <w:noWrap w:val="0"/>
                  <w:vAlign w:val="center"/>
                </w:tcPr>
                <w:p w14:paraId="6F14B61B">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环保手续、环保资料档案、环保制度等的完善。</w:t>
                  </w:r>
                </w:p>
              </w:tc>
              <w:tc>
                <w:tcPr>
                  <w:tcW w:w="1981" w:type="dxa"/>
                  <w:noWrap w:val="0"/>
                  <w:vAlign w:val="center"/>
                </w:tcPr>
                <w:p w14:paraId="57DF5D18">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齐全</w:t>
                  </w:r>
                </w:p>
              </w:tc>
            </w:tr>
            <w:tr w14:paraId="5D520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696" w:type="dxa"/>
                  <w:tcBorders>
                    <w:bottom w:val="single" w:color="auto" w:sz="4" w:space="0"/>
                  </w:tcBorders>
                  <w:noWrap w:val="0"/>
                  <w:vAlign w:val="center"/>
                </w:tcPr>
                <w:p w14:paraId="58EC7A3A">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2</w:t>
                  </w:r>
                </w:p>
              </w:tc>
              <w:tc>
                <w:tcPr>
                  <w:tcW w:w="1523" w:type="dxa"/>
                  <w:tcBorders>
                    <w:bottom w:val="single" w:color="auto" w:sz="4" w:space="0"/>
                  </w:tcBorders>
                  <w:noWrap w:val="0"/>
                  <w:vAlign w:val="center"/>
                </w:tcPr>
                <w:p w14:paraId="5860699B">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生态环境水土流失影响</w:t>
                  </w:r>
                </w:p>
              </w:tc>
              <w:tc>
                <w:tcPr>
                  <w:tcW w:w="3219" w:type="dxa"/>
                  <w:tcBorders>
                    <w:bottom w:val="single" w:color="auto" w:sz="4" w:space="0"/>
                  </w:tcBorders>
                  <w:noWrap w:val="0"/>
                  <w:vAlign w:val="center"/>
                </w:tcPr>
                <w:p w14:paraId="323224F7">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施工场地及光伏</w:t>
                  </w:r>
                  <w:r>
                    <w:rPr>
                      <w:rFonts w:hint="eastAsia"/>
                      <w:color w:val="auto"/>
                      <w:sz w:val="21"/>
                      <w:szCs w:val="21"/>
                      <w:lang w:eastAsia="zh-CN"/>
                    </w:rPr>
                    <w:t>片区</w:t>
                  </w:r>
                  <w:r>
                    <w:rPr>
                      <w:rFonts w:hint="default"/>
                      <w:color w:val="auto"/>
                      <w:sz w:val="21"/>
                      <w:szCs w:val="21"/>
                    </w:rPr>
                    <w:t>的生态恢复和效果。</w:t>
                  </w:r>
                </w:p>
              </w:tc>
              <w:tc>
                <w:tcPr>
                  <w:tcW w:w="1981" w:type="dxa"/>
                  <w:tcBorders>
                    <w:bottom w:val="single" w:color="auto" w:sz="4" w:space="0"/>
                  </w:tcBorders>
                  <w:noWrap w:val="0"/>
                  <w:vAlign w:val="center"/>
                </w:tcPr>
                <w:p w14:paraId="1CBFCF41">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符合环境要求</w:t>
                  </w:r>
                </w:p>
              </w:tc>
            </w:tr>
            <w:tr w14:paraId="5B53B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dxa"/>
                  <w:tcBorders>
                    <w:top w:val="single" w:color="auto" w:sz="4" w:space="0"/>
                    <w:bottom w:val="single" w:color="auto" w:sz="4" w:space="0"/>
                  </w:tcBorders>
                  <w:noWrap w:val="0"/>
                  <w:vAlign w:val="center"/>
                </w:tcPr>
                <w:p w14:paraId="7343D76C">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3</w:t>
                  </w:r>
                </w:p>
              </w:tc>
              <w:tc>
                <w:tcPr>
                  <w:tcW w:w="1523" w:type="dxa"/>
                  <w:tcBorders>
                    <w:top w:val="single" w:color="auto" w:sz="4" w:space="0"/>
                    <w:bottom w:val="single" w:color="auto" w:sz="4" w:space="0"/>
                  </w:tcBorders>
                  <w:noWrap w:val="0"/>
                  <w:vAlign w:val="center"/>
                </w:tcPr>
                <w:p w14:paraId="71694E03">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各类环保设施是否落实</w:t>
                  </w:r>
                </w:p>
              </w:tc>
              <w:tc>
                <w:tcPr>
                  <w:tcW w:w="3219" w:type="dxa"/>
                  <w:tcBorders>
                    <w:top w:val="single" w:color="auto" w:sz="4" w:space="0"/>
                    <w:bottom w:val="single" w:color="auto" w:sz="4" w:space="0"/>
                  </w:tcBorders>
                  <w:noWrap w:val="0"/>
                  <w:vAlign w:val="center"/>
                </w:tcPr>
                <w:p w14:paraId="6E28E859">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工程设计提出的措施，施工期及运行期的声环境、水环境等落实情况，实施效果。</w:t>
                  </w:r>
                </w:p>
              </w:tc>
              <w:tc>
                <w:tcPr>
                  <w:tcW w:w="1981" w:type="dxa"/>
                  <w:tcBorders>
                    <w:top w:val="single" w:color="auto" w:sz="4" w:space="0"/>
                    <w:bottom w:val="single" w:color="auto" w:sz="4" w:space="0"/>
                  </w:tcBorders>
                  <w:noWrap w:val="0"/>
                  <w:vAlign w:val="center"/>
                </w:tcPr>
                <w:p w14:paraId="022C6988">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按要求完成</w:t>
                  </w:r>
                </w:p>
              </w:tc>
            </w:tr>
            <w:tr w14:paraId="1E3EB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696" w:type="dxa"/>
                  <w:tcBorders>
                    <w:top w:val="single" w:color="auto" w:sz="4" w:space="0"/>
                    <w:bottom w:val="single" w:color="auto" w:sz="4" w:space="0"/>
                  </w:tcBorders>
                  <w:noWrap w:val="0"/>
                  <w:vAlign w:val="center"/>
                </w:tcPr>
                <w:p w14:paraId="0DB6D884">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4</w:t>
                  </w:r>
                </w:p>
              </w:tc>
              <w:tc>
                <w:tcPr>
                  <w:tcW w:w="1523" w:type="dxa"/>
                  <w:tcBorders>
                    <w:top w:val="single" w:color="auto" w:sz="4" w:space="0"/>
                    <w:bottom w:val="single" w:color="auto" w:sz="4" w:space="0"/>
                  </w:tcBorders>
                  <w:noWrap w:val="0"/>
                  <w:vAlign w:val="center"/>
                </w:tcPr>
                <w:p w14:paraId="687116C2">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环境保护措施正常运作条件</w:t>
                  </w:r>
                </w:p>
              </w:tc>
              <w:tc>
                <w:tcPr>
                  <w:tcW w:w="3219" w:type="dxa"/>
                  <w:tcBorders>
                    <w:top w:val="single" w:color="auto" w:sz="4" w:space="0"/>
                    <w:bottom w:val="single" w:color="auto" w:sz="4" w:space="0"/>
                  </w:tcBorders>
                  <w:noWrap w:val="0"/>
                  <w:vAlign w:val="center"/>
                </w:tcPr>
                <w:p w14:paraId="593209D9">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各项环保措施是否有合格的操作人员，操作制度。</w:t>
                  </w:r>
                </w:p>
              </w:tc>
              <w:tc>
                <w:tcPr>
                  <w:tcW w:w="1981" w:type="dxa"/>
                  <w:tcBorders>
                    <w:top w:val="single" w:color="auto" w:sz="4" w:space="0"/>
                    <w:bottom w:val="single" w:color="auto" w:sz="4" w:space="0"/>
                  </w:tcBorders>
                  <w:noWrap w:val="0"/>
                  <w:vAlign w:val="center"/>
                </w:tcPr>
                <w:p w14:paraId="7865AA7E">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按要求完成</w:t>
                  </w:r>
                </w:p>
              </w:tc>
            </w:tr>
            <w:tr w14:paraId="34CC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6CC087CF">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eastAsia" w:eastAsia="宋体"/>
                      <w:color w:val="auto"/>
                      <w:sz w:val="21"/>
                      <w:szCs w:val="21"/>
                      <w:lang w:eastAsia="zh-CN"/>
                    </w:rPr>
                  </w:pPr>
                  <w:r>
                    <w:rPr>
                      <w:rFonts w:hint="eastAsia"/>
                      <w:color w:val="auto"/>
                      <w:sz w:val="21"/>
                      <w:szCs w:val="21"/>
                      <w:lang w:val="en-US" w:eastAsia="zh-CN"/>
                    </w:rPr>
                    <w:t>5</w:t>
                  </w:r>
                </w:p>
              </w:tc>
              <w:tc>
                <w:tcPr>
                  <w:tcW w:w="1523" w:type="dxa"/>
                  <w:noWrap w:val="0"/>
                  <w:vAlign w:val="center"/>
                </w:tcPr>
                <w:p w14:paraId="4997BC6E">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敏感点</w:t>
                  </w:r>
                </w:p>
              </w:tc>
              <w:tc>
                <w:tcPr>
                  <w:tcW w:w="3219" w:type="dxa"/>
                  <w:noWrap w:val="0"/>
                  <w:vAlign w:val="center"/>
                </w:tcPr>
                <w:p w14:paraId="48FBC0E6">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敏感点声环境达《声环境质量标准》（GB3096-2008）中</w:t>
                  </w:r>
                  <w:r>
                    <w:rPr>
                      <w:rFonts w:hint="eastAsia"/>
                      <w:color w:val="auto"/>
                      <w:sz w:val="21"/>
                      <w:szCs w:val="21"/>
                      <w:lang w:val="en-US" w:eastAsia="zh-CN"/>
                    </w:rPr>
                    <w:t>1</w:t>
                  </w:r>
                  <w:r>
                    <w:rPr>
                      <w:rFonts w:hint="default"/>
                      <w:color w:val="auto"/>
                      <w:sz w:val="21"/>
                      <w:szCs w:val="21"/>
                    </w:rPr>
                    <w:t>类标准</w:t>
                  </w:r>
                </w:p>
              </w:tc>
              <w:tc>
                <w:tcPr>
                  <w:tcW w:w="1981" w:type="dxa"/>
                  <w:noWrap w:val="0"/>
                  <w:vAlign w:val="center"/>
                </w:tcPr>
                <w:p w14:paraId="000F41AD">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《声环境质量标准》（GB3096-2008）</w:t>
                  </w:r>
                </w:p>
              </w:tc>
            </w:tr>
            <w:tr w14:paraId="5DF7F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2A5E6F9D">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eastAsia" w:eastAsia="宋体"/>
                      <w:color w:val="auto"/>
                      <w:sz w:val="21"/>
                      <w:szCs w:val="21"/>
                      <w:lang w:eastAsia="zh-CN"/>
                    </w:rPr>
                  </w:pPr>
                  <w:r>
                    <w:rPr>
                      <w:rFonts w:hint="eastAsia"/>
                      <w:color w:val="auto"/>
                      <w:sz w:val="21"/>
                      <w:szCs w:val="21"/>
                      <w:lang w:val="en-US" w:eastAsia="zh-CN"/>
                    </w:rPr>
                    <w:t>6</w:t>
                  </w:r>
                </w:p>
              </w:tc>
              <w:tc>
                <w:tcPr>
                  <w:tcW w:w="1523" w:type="dxa"/>
                  <w:noWrap w:val="0"/>
                  <w:vAlign w:val="center"/>
                </w:tcPr>
                <w:p w14:paraId="595B5392">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厂界噪声</w:t>
                  </w:r>
                </w:p>
              </w:tc>
              <w:tc>
                <w:tcPr>
                  <w:tcW w:w="3219" w:type="dxa"/>
                  <w:noWrap w:val="0"/>
                  <w:vAlign w:val="center"/>
                </w:tcPr>
                <w:p w14:paraId="71BA527A">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厂界</w:t>
                  </w:r>
                  <w:r>
                    <w:rPr>
                      <w:rFonts w:hint="default"/>
                      <w:color w:val="auto"/>
                      <w:sz w:val="21"/>
                      <w:szCs w:val="21"/>
                    </w:rPr>
                    <w:t>噪声达《工业企业厂界环境噪声排放标准》（GB12348-2008）</w:t>
                  </w:r>
                  <w:r>
                    <w:rPr>
                      <w:rFonts w:hint="eastAsia"/>
                      <w:color w:val="auto"/>
                      <w:sz w:val="21"/>
                      <w:szCs w:val="21"/>
                      <w:lang w:val="en-US" w:eastAsia="zh-CN"/>
                    </w:rPr>
                    <w:t>1类标准</w:t>
                  </w:r>
                </w:p>
              </w:tc>
              <w:tc>
                <w:tcPr>
                  <w:tcW w:w="1981" w:type="dxa"/>
                  <w:noWrap w:val="0"/>
                  <w:vAlign w:val="center"/>
                </w:tcPr>
                <w:p w14:paraId="5DEC1088">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《工业企业厂界环境噪声排放标准》（GB12348-2008）</w:t>
                  </w:r>
                </w:p>
              </w:tc>
            </w:tr>
            <w:tr w14:paraId="19567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6799F4D0">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8</w:t>
                  </w:r>
                </w:p>
              </w:tc>
              <w:tc>
                <w:tcPr>
                  <w:tcW w:w="1523" w:type="dxa"/>
                  <w:noWrap w:val="0"/>
                  <w:vAlign w:val="center"/>
                </w:tcPr>
                <w:p w14:paraId="45981694">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事故油池</w:t>
                  </w:r>
                </w:p>
              </w:tc>
              <w:tc>
                <w:tcPr>
                  <w:tcW w:w="3219" w:type="dxa"/>
                  <w:noWrap w:val="0"/>
                  <w:vAlign w:val="center"/>
                </w:tcPr>
                <w:p w14:paraId="189B8C01">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ascii="Times New Roman" w:hAnsi="Times New Roman" w:eastAsia="宋体" w:cs="Times New Roman"/>
                      <w:color w:val="auto"/>
                      <w:sz w:val="21"/>
                      <w:szCs w:val="21"/>
                    </w:rPr>
                    <w:t>在</w:t>
                  </w: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个箱式变压器</w:t>
                  </w:r>
                  <w:r>
                    <w:rPr>
                      <w:rFonts w:hint="eastAsia" w:cs="Times New Roman"/>
                      <w:color w:val="auto"/>
                      <w:sz w:val="21"/>
                      <w:szCs w:val="21"/>
                      <w:highlight w:val="none"/>
                      <w:lang w:val="en-US" w:eastAsia="zh-CN"/>
                    </w:rPr>
                    <w:t>附近</w:t>
                  </w:r>
                  <w:r>
                    <w:rPr>
                      <w:rFonts w:hint="default" w:ascii="Times New Roman" w:hAnsi="Times New Roman" w:eastAsia="宋体" w:cs="Times New Roman"/>
                      <w:color w:val="auto"/>
                      <w:sz w:val="21"/>
                      <w:szCs w:val="21"/>
                      <w:highlight w:val="none"/>
                    </w:rPr>
                    <w:t>分别设置1个</w:t>
                  </w:r>
                  <w:r>
                    <w:rPr>
                      <w:rFonts w:hint="default" w:ascii="Times New Roman" w:hAnsi="Times New Roman" w:eastAsia="宋体" w:cs="Times New Roman"/>
                      <w:color w:val="auto"/>
                      <w:sz w:val="21"/>
                      <w:szCs w:val="21"/>
                      <w:highlight w:val="none"/>
                      <w:lang w:val="en-US" w:eastAsia="zh-CN"/>
                    </w:rPr>
                    <w:t>事故油池</w:t>
                  </w:r>
                  <w:r>
                    <w:rPr>
                      <w:rFonts w:hint="default" w:ascii="Times New Roman" w:hAnsi="Times New Roman" w:eastAsia="宋体" w:cs="Times New Roman"/>
                      <w:color w:val="auto"/>
                      <w:sz w:val="21"/>
                      <w:szCs w:val="21"/>
                      <w:highlight w:val="none"/>
                    </w:rPr>
                    <w:t>（</w:t>
                  </w:r>
                  <w:r>
                    <w:rPr>
                      <w:rFonts w:hint="eastAsia"/>
                      <w:color w:val="auto"/>
                      <w:kern w:val="0"/>
                      <w:sz w:val="21"/>
                      <w:szCs w:val="21"/>
                    </w:rPr>
                    <w:t>其中</w:t>
                  </w:r>
                  <w:r>
                    <w:rPr>
                      <w:rFonts w:hint="eastAsia"/>
                      <w:color w:val="auto"/>
                      <w:kern w:val="0"/>
                      <w:sz w:val="21"/>
                      <w:szCs w:val="21"/>
                      <w:lang w:val="en-US" w:eastAsia="zh-CN"/>
                    </w:rPr>
                    <w:t>1</w:t>
                  </w:r>
                  <w:r>
                    <w:rPr>
                      <w:rFonts w:hint="eastAsia"/>
                      <w:color w:val="auto"/>
                      <w:kern w:val="0"/>
                      <w:sz w:val="21"/>
                      <w:szCs w:val="21"/>
                    </w:rPr>
                    <w:t>个容积不低于</w:t>
                  </w:r>
                  <w:r>
                    <w:rPr>
                      <w:rFonts w:hint="eastAsia"/>
                      <w:color w:val="auto"/>
                      <w:kern w:val="0"/>
                      <w:sz w:val="21"/>
                      <w:szCs w:val="21"/>
                      <w:lang w:val="en-US" w:eastAsia="zh-CN"/>
                    </w:rPr>
                    <w:t>1.8</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11</w:t>
                  </w:r>
                  <w:r>
                    <w:rPr>
                      <w:rFonts w:hint="eastAsia"/>
                      <w:color w:val="auto"/>
                      <w:kern w:val="0"/>
                      <w:sz w:val="21"/>
                      <w:szCs w:val="21"/>
                    </w:rPr>
                    <w:t>个容积不低于</w:t>
                  </w:r>
                  <w:r>
                    <w:rPr>
                      <w:rFonts w:hint="eastAsia"/>
                      <w:color w:val="auto"/>
                      <w:kern w:val="0"/>
                      <w:sz w:val="21"/>
                      <w:szCs w:val="21"/>
                      <w:lang w:val="en-US" w:eastAsia="zh-CN"/>
                    </w:rPr>
                    <w:t>1.9</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1</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3</w:t>
                  </w:r>
                  <w:r>
                    <w:rPr>
                      <w:rFonts w:hint="eastAsia"/>
                      <w:color w:val="auto"/>
                      <w:kern w:val="0"/>
                      <w:sz w:val="21"/>
                      <w:szCs w:val="21"/>
                    </w:rPr>
                    <w:t>m</w:t>
                  </w:r>
                  <w:r>
                    <w:rPr>
                      <w:rFonts w:hint="eastAsia"/>
                      <w:color w:val="auto"/>
                      <w:kern w:val="0"/>
                      <w:sz w:val="21"/>
                      <w:szCs w:val="21"/>
                      <w:vertAlign w:val="superscript"/>
                    </w:rPr>
                    <w:t>3</w:t>
                  </w:r>
                  <w:r>
                    <w:rPr>
                      <w:rFonts w:hint="default" w:ascii="Times New Roman" w:hAnsi="Times New Roman" w:eastAsia="宋体" w:cs="Times New Roman"/>
                      <w:color w:val="auto"/>
                      <w:sz w:val="21"/>
                      <w:szCs w:val="21"/>
                      <w:highlight w:val="none"/>
                    </w:rPr>
                    <w:t>）</w:t>
                  </w:r>
                  <w:r>
                    <w:rPr>
                      <w:rFonts w:hint="default"/>
                      <w:color w:val="auto"/>
                      <w:sz w:val="21"/>
                      <w:szCs w:val="21"/>
                      <w:highlight w:val="none"/>
                    </w:rPr>
                    <w:t>，</w:t>
                  </w:r>
                  <w:r>
                    <w:rPr>
                      <w:rFonts w:hint="default"/>
                      <w:color w:val="auto"/>
                      <w:sz w:val="21"/>
                      <w:szCs w:val="21"/>
                    </w:rPr>
                    <w:t>钢筋混凝土结构并进行防渗处理。</w:t>
                  </w:r>
                </w:p>
                <w:p w14:paraId="2F18EB35">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事故油池施工时，必须</w:t>
                  </w:r>
                  <w:r>
                    <w:rPr>
                      <w:rFonts w:hint="eastAsia"/>
                      <w:color w:val="auto"/>
                      <w:sz w:val="21"/>
                      <w:szCs w:val="21"/>
                    </w:rPr>
                    <w:t>完成一项</w:t>
                  </w:r>
                  <w:r>
                    <w:rPr>
                      <w:rFonts w:hint="default"/>
                      <w:color w:val="auto"/>
                      <w:sz w:val="21"/>
                      <w:szCs w:val="21"/>
                    </w:rPr>
                    <w:t>，验收</w:t>
                  </w:r>
                  <w:r>
                    <w:rPr>
                      <w:rFonts w:hint="eastAsia"/>
                      <w:color w:val="auto"/>
                      <w:sz w:val="21"/>
                      <w:szCs w:val="21"/>
                    </w:rPr>
                    <w:t>一项</w:t>
                  </w:r>
                  <w:r>
                    <w:rPr>
                      <w:rFonts w:hint="default"/>
                      <w:color w:val="auto"/>
                      <w:sz w:val="21"/>
                      <w:szCs w:val="21"/>
                    </w:rPr>
                    <w:t>，并且严格检查防渗系统施工材料质量，必须保证用合格达标材料</w:t>
                  </w:r>
                  <w:r>
                    <w:rPr>
                      <w:rFonts w:hint="eastAsia"/>
                      <w:color w:val="auto"/>
                      <w:sz w:val="21"/>
                      <w:szCs w:val="21"/>
                      <w:lang w:eastAsia="zh-CN"/>
                    </w:rPr>
                    <w:t>，</w:t>
                  </w:r>
                  <w:r>
                    <w:rPr>
                      <w:rFonts w:hint="eastAsia"/>
                      <w:color w:val="auto"/>
                      <w:sz w:val="21"/>
                      <w:szCs w:val="21"/>
                      <w:lang w:val="en-US" w:eastAsia="zh-CN"/>
                    </w:rPr>
                    <w:t>并留存相关影像资料。</w:t>
                  </w:r>
                </w:p>
              </w:tc>
              <w:tc>
                <w:tcPr>
                  <w:tcW w:w="1981" w:type="dxa"/>
                  <w:noWrap w:val="0"/>
                  <w:vAlign w:val="center"/>
                </w:tcPr>
                <w:p w14:paraId="5A146215">
                  <w:pPr>
                    <w:pStyle w:val="2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rPr>
                  </w:pPr>
                  <w:r>
                    <w:rPr>
                      <w:rFonts w:hint="default"/>
                      <w:color w:val="auto"/>
                      <w:sz w:val="21"/>
                      <w:szCs w:val="21"/>
                    </w:rPr>
                    <w:t>事故油池进行防渗处理，设置标</w:t>
                  </w:r>
                  <w:r>
                    <w:rPr>
                      <w:rFonts w:hint="eastAsia"/>
                      <w:color w:val="auto"/>
                      <w:sz w:val="21"/>
                      <w:szCs w:val="21"/>
                      <w:lang w:val="en-US" w:eastAsia="zh-CN"/>
                    </w:rPr>
                    <w:t>识</w:t>
                  </w:r>
                  <w:r>
                    <w:rPr>
                      <w:rFonts w:hint="default"/>
                      <w:color w:val="auto"/>
                      <w:sz w:val="21"/>
                      <w:szCs w:val="21"/>
                    </w:rPr>
                    <w:t>牌。加强对</w:t>
                  </w:r>
                  <w:r>
                    <w:rPr>
                      <w:rFonts w:hint="eastAsia"/>
                      <w:color w:val="auto"/>
                      <w:sz w:val="21"/>
                      <w:szCs w:val="21"/>
                      <w:lang w:val="en-US" w:eastAsia="zh-CN"/>
                    </w:rPr>
                    <w:t>废</w:t>
                  </w:r>
                  <w:r>
                    <w:rPr>
                      <w:rFonts w:hint="default"/>
                      <w:color w:val="auto"/>
                      <w:sz w:val="21"/>
                      <w:szCs w:val="21"/>
                    </w:rPr>
                    <w:t>变压器油的管理，</w:t>
                  </w:r>
                  <w:r>
                    <w:rPr>
                      <w:rFonts w:hint="eastAsia"/>
                      <w:color w:val="auto"/>
                      <w:sz w:val="21"/>
                      <w:szCs w:val="21"/>
                      <w:lang w:val="en-US" w:eastAsia="zh-CN"/>
                    </w:rPr>
                    <w:t>事故情况下，废油不外泄</w:t>
                  </w:r>
                  <w:r>
                    <w:rPr>
                      <w:rFonts w:hint="default"/>
                      <w:color w:val="auto"/>
                      <w:sz w:val="21"/>
                      <w:szCs w:val="21"/>
                    </w:rPr>
                    <w:t>。</w:t>
                  </w:r>
                </w:p>
              </w:tc>
            </w:tr>
          </w:tbl>
          <w:p w14:paraId="62458208">
            <w:pPr>
              <w:keepNext w:val="0"/>
              <w:keepLines w:val="0"/>
              <w:suppressLineNumbers w:val="0"/>
              <w:shd w:val="clear"/>
              <w:spacing w:before="0" w:beforeAutospacing="0" w:after="0" w:afterAutospacing="0" w:line="360" w:lineRule="auto"/>
              <w:ind w:left="0" w:right="0"/>
              <w:jc w:val="center"/>
              <w:rPr>
                <w:rFonts w:hint="default"/>
                <w:bCs/>
                <w:color w:val="auto"/>
                <w:spacing w:val="10"/>
                <w:sz w:val="24"/>
                <w:highlight w:val="none"/>
                <w:shd w:val="clear" w:color="auto" w:fill="auto"/>
              </w:rPr>
            </w:pPr>
          </w:p>
        </w:tc>
      </w:tr>
      <w:tr w14:paraId="5FD497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1" w:hRule="atLeast"/>
          <w:jc w:val="center"/>
        </w:trPr>
        <w:tc>
          <w:tcPr>
            <w:tcW w:w="475" w:type="pct"/>
            <w:vAlign w:val="center"/>
          </w:tcPr>
          <w:p w14:paraId="4AC68BCF">
            <w:pPr>
              <w:keepNext w:val="0"/>
              <w:keepLines w:val="0"/>
              <w:suppressLineNumbers w:val="0"/>
              <w:shd w:val="clear"/>
              <w:adjustRightInd w:val="0"/>
              <w:snapToGrid w:val="0"/>
              <w:spacing w:before="0" w:beforeAutospacing="0" w:after="0" w:afterAutospacing="0"/>
              <w:ind w:left="0" w:right="0"/>
              <w:jc w:val="center"/>
              <w:rPr>
                <w:rFonts w:hint="default"/>
                <w:bCs/>
                <w:color w:val="auto"/>
                <w:spacing w:val="10"/>
                <w:sz w:val="24"/>
                <w:highlight w:val="none"/>
                <w:shd w:val="clear" w:color="auto" w:fill="auto"/>
              </w:rPr>
            </w:pPr>
            <w:r>
              <w:rPr>
                <w:rFonts w:hint="default"/>
                <w:bCs/>
                <w:color w:val="auto"/>
                <w:sz w:val="24"/>
                <w:highlight w:val="none"/>
                <w:shd w:val="clear" w:color="auto" w:fill="auto"/>
              </w:rPr>
              <w:t>环保投资</w:t>
            </w:r>
          </w:p>
        </w:tc>
        <w:tc>
          <w:tcPr>
            <w:tcW w:w="4524" w:type="pct"/>
          </w:tcPr>
          <w:p w14:paraId="03FFAA9F">
            <w:pPr>
              <w:keepNext w:val="0"/>
              <w:keepLines w:val="0"/>
              <w:suppressLineNumbers w:val="0"/>
              <w:shd w:val="clear"/>
              <w:spacing w:before="0" w:beforeAutospacing="0" w:after="0" w:afterAutospacing="0" w:line="360" w:lineRule="auto"/>
              <w:ind w:left="0" w:right="0" w:firstLine="480" w:firstLineChars="200"/>
              <w:jc w:val="left"/>
              <w:rPr>
                <w:rFonts w:hint="default"/>
                <w:color w:val="auto"/>
                <w:sz w:val="24"/>
                <w:szCs w:val="22"/>
                <w:highlight w:val="none"/>
                <w:shd w:val="clear" w:color="auto" w:fill="auto"/>
              </w:rPr>
            </w:pPr>
            <w:r>
              <w:rPr>
                <w:rFonts w:hint="default"/>
                <w:color w:val="auto"/>
                <w:sz w:val="24"/>
                <w:szCs w:val="22"/>
                <w:highlight w:val="none"/>
                <w:shd w:val="clear" w:color="auto" w:fill="auto"/>
              </w:rPr>
              <w:t>项目总投资为</w:t>
            </w:r>
            <w:r>
              <w:rPr>
                <w:rFonts w:hint="eastAsia"/>
                <w:color w:val="auto"/>
                <w:sz w:val="24"/>
                <w:highlight w:val="none"/>
                <w:shd w:val="clear" w:color="auto" w:fill="auto"/>
                <w:lang w:val="en-US" w:eastAsia="zh-CN"/>
              </w:rPr>
              <w:t>19400</w:t>
            </w:r>
            <w:r>
              <w:rPr>
                <w:rFonts w:hint="default"/>
                <w:color w:val="auto"/>
                <w:sz w:val="24"/>
                <w:szCs w:val="22"/>
                <w:highlight w:val="none"/>
                <w:shd w:val="clear" w:color="auto" w:fill="auto"/>
              </w:rPr>
              <w:t>万元，其中环保投资为</w:t>
            </w:r>
            <w:r>
              <w:rPr>
                <w:rFonts w:hint="eastAsia"/>
                <w:color w:val="auto"/>
                <w:sz w:val="24"/>
                <w:szCs w:val="22"/>
                <w:highlight w:val="none"/>
                <w:shd w:val="clear" w:color="auto" w:fill="auto"/>
                <w:lang w:val="en-US" w:eastAsia="zh-CN"/>
              </w:rPr>
              <w:t>102.5</w:t>
            </w:r>
            <w:r>
              <w:rPr>
                <w:rFonts w:hint="default"/>
                <w:color w:val="auto"/>
                <w:sz w:val="24"/>
                <w:szCs w:val="22"/>
                <w:highlight w:val="none"/>
                <w:shd w:val="clear" w:color="auto" w:fill="auto"/>
              </w:rPr>
              <w:t>万元，占总投资的</w:t>
            </w:r>
            <w:r>
              <w:rPr>
                <w:rFonts w:hint="eastAsia"/>
                <w:color w:val="auto"/>
                <w:sz w:val="24"/>
                <w:szCs w:val="22"/>
                <w:highlight w:val="none"/>
                <w:shd w:val="clear" w:color="auto" w:fill="auto"/>
                <w:lang w:val="en-US" w:eastAsia="zh-CN"/>
              </w:rPr>
              <w:t>0.53</w:t>
            </w:r>
            <w:r>
              <w:rPr>
                <w:rFonts w:hint="default"/>
                <w:color w:val="auto"/>
                <w:sz w:val="24"/>
                <w:szCs w:val="22"/>
                <w:highlight w:val="none"/>
                <w:shd w:val="clear" w:color="auto" w:fill="auto"/>
              </w:rPr>
              <w:t>%。</w:t>
            </w:r>
            <w:r>
              <w:rPr>
                <w:rFonts w:hint="eastAsia"/>
                <w:color w:val="auto"/>
                <w:sz w:val="24"/>
                <w:szCs w:val="22"/>
                <w:highlight w:val="none"/>
                <w:shd w:val="clear" w:color="auto" w:fill="auto"/>
              </w:rPr>
              <w:t>项目环保投资</w:t>
            </w:r>
            <w:r>
              <w:rPr>
                <w:rFonts w:hint="default"/>
                <w:color w:val="auto"/>
                <w:sz w:val="24"/>
                <w:szCs w:val="22"/>
                <w:highlight w:val="none"/>
                <w:shd w:val="clear" w:color="auto" w:fill="auto"/>
              </w:rPr>
              <w:t>详见下表。</w:t>
            </w:r>
          </w:p>
          <w:p w14:paraId="4594A6F4">
            <w:pPr>
              <w:keepNext w:val="0"/>
              <w:keepLines w:val="0"/>
              <w:suppressLineNumbers w:val="0"/>
              <w:shd w:val="clear"/>
              <w:spacing w:before="0" w:beforeAutospacing="0" w:after="0" w:afterAutospacing="0"/>
              <w:ind w:left="0" w:right="0"/>
              <w:jc w:val="center"/>
              <w:rPr>
                <w:rFonts w:hint="default"/>
                <w:b/>
                <w:color w:val="auto"/>
                <w:szCs w:val="21"/>
                <w:highlight w:val="none"/>
                <w:shd w:val="clear" w:color="auto" w:fill="auto"/>
              </w:rPr>
            </w:pPr>
            <w:r>
              <w:rPr>
                <w:rFonts w:hint="eastAsia"/>
                <w:b/>
                <w:color w:val="auto"/>
                <w:szCs w:val="21"/>
                <w:highlight w:val="none"/>
                <w:shd w:val="clear" w:color="auto" w:fill="auto"/>
              </w:rPr>
              <w:t>表5</w:t>
            </w:r>
            <w:r>
              <w:rPr>
                <w:rFonts w:hint="default"/>
                <w:b/>
                <w:color w:val="auto"/>
                <w:szCs w:val="21"/>
                <w:highlight w:val="none"/>
                <w:shd w:val="clear" w:color="auto" w:fill="auto"/>
              </w:rPr>
              <w:t>-</w:t>
            </w:r>
            <w:r>
              <w:rPr>
                <w:rFonts w:hint="eastAsia"/>
                <w:b/>
                <w:color w:val="auto"/>
                <w:szCs w:val="21"/>
                <w:highlight w:val="none"/>
                <w:shd w:val="clear" w:color="auto" w:fill="auto"/>
                <w:lang w:val="en-US" w:eastAsia="zh-CN"/>
              </w:rPr>
              <w:t>5</w:t>
            </w:r>
            <w:r>
              <w:rPr>
                <w:rFonts w:hint="default"/>
                <w:b/>
                <w:color w:val="auto"/>
                <w:szCs w:val="21"/>
                <w:highlight w:val="none"/>
                <w:shd w:val="clear" w:color="auto" w:fill="auto"/>
              </w:rPr>
              <w:t xml:space="preserve"> </w:t>
            </w:r>
            <w:r>
              <w:rPr>
                <w:rFonts w:hint="eastAsia"/>
                <w:b/>
                <w:color w:val="auto"/>
                <w:szCs w:val="21"/>
                <w:highlight w:val="none"/>
                <w:shd w:val="clear" w:color="auto" w:fill="auto"/>
                <w:lang w:val="en-US" w:eastAsia="zh-CN"/>
              </w:rPr>
              <w:t xml:space="preserve"> </w:t>
            </w:r>
            <w:r>
              <w:rPr>
                <w:rFonts w:hint="eastAsia"/>
                <w:b/>
                <w:color w:val="auto"/>
                <w:szCs w:val="21"/>
                <w:highlight w:val="none"/>
                <w:shd w:val="clear" w:color="auto" w:fill="auto"/>
              </w:rPr>
              <w:t>项目</w:t>
            </w:r>
            <w:r>
              <w:rPr>
                <w:rFonts w:hint="default"/>
                <w:b/>
                <w:color w:val="auto"/>
                <w:szCs w:val="21"/>
                <w:highlight w:val="none"/>
                <w:shd w:val="clear" w:color="auto" w:fill="auto"/>
              </w:rPr>
              <w:t>环保投资一览表</w:t>
            </w:r>
            <w:r>
              <w:rPr>
                <w:rFonts w:hint="eastAsia"/>
                <w:b/>
                <w:color w:val="auto"/>
                <w:szCs w:val="21"/>
                <w:highlight w:val="none"/>
                <w:shd w:val="clear" w:color="auto" w:fill="auto"/>
              </w:rPr>
              <w:t xml:space="preserve">  单位：万元</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008"/>
              <w:gridCol w:w="2733"/>
              <w:gridCol w:w="1693"/>
              <w:gridCol w:w="1008"/>
            </w:tblGrid>
            <w:tr w14:paraId="104D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noWrap w:val="0"/>
                  <w:vAlign w:val="center"/>
                </w:tcPr>
                <w:p w14:paraId="044434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阶段</w:t>
                  </w:r>
                </w:p>
              </w:tc>
              <w:tc>
                <w:tcPr>
                  <w:tcW w:w="679" w:type="pct"/>
                  <w:noWrap w:val="0"/>
                  <w:vAlign w:val="center"/>
                </w:tcPr>
                <w:p w14:paraId="6EE63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类别</w:t>
                  </w:r>
                </w:p>
              </w:tc>
              <w:tc>
                <w:tcPr>
                  <w:tcW w:w="1842" w:type="pct"/>
                  <w:noWrap w:val="0"/>
                  <w:vAlign w:val="center"/>
                </w:tcPr>
                <w:p w14:paraId="5C9DAC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环境治理措施</w:t>
                  </w:r>
                </w:p>
              </w:tc>
              <w:tc>
                <w:tcPr>
                  <w:tcW w:w="1140" w:type="pct"/>
                  <w:noWrap w:val="0"/>
                  <w:vAlign w:val="center"/>
                </w:tcPr>
                <w:p w14:paraId="6474B5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规模</w:t>
                  </w:r>
                </w:p>
              </w:tc>
              <w:tc>
                <w:tcPr>
                  <w:tcW w:w="679" w:type="pct"/>
                  <w:noWrap w:val="0"/>
                  <w:vAlign w:val="center"/>
                </w:tcPr>
                <w:p w14:paraId="19AF1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投资</w:t>
                  </w:r>
                </w:p>
              </w:tc>
            </w:tr>
            <w:tr w14:paraId="2558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vMerge w:val="restart"/>
                  <w:noWrap w:val="0"/>
                  <w:vAlign w:val="center"/>
                </w:tcPr>
                <w:p w14:paraId="572ADB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施工期</w:t>
                  </w:r>
                </w:p>
              </w:tc>
              <w:tc>
                <w:tcPr>
                  <w:tcW w:w="679" w:type="pct"/>
                  <w:noWrap w:val="0"/>
                  <w:vAlign w:val="center"/>
                </w:tcPr>
                <w:p w14:paraId="481552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w:t>
                  </w:r>
                </w:p>
              </w:tc>
              <w:tc>
                <w:tcPr>
                  <w:tcW w:w="2982" w:type="pct"/>
                  <w:gridSpan w:val="2"/>
                  <w:noWrap w:val="0"/>
                  <w:vAlign w:val="center"/>
                </w:tcPr>
                <w:p w14:paraId="3527B6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租用</w:t>
                  </w:r>
                  <w:r>
                    <w:rPr>
                      <w:rFonts w:hint="default" w:ascii="Times New Roman" w:hAnsi="Times New Roman" w:eastAsia="宋体" w:cs="Times New Roman"/>
                      <w:color w:val="auto"/>
                      <w:kern w:val="0"/>
                      <w:sz w:val="21"/>
                      <w:szCs w:val="21"/>
                      <w:lang w:val="en-US" w:eastAsia="zh-CN" w:bidi="ar"/>
                    </w:rPr>
                    <w:t>1辆洒水车、洒水降尘、防尘网</w:t>
                  </w:r>
                  <w:r>
                    <w:rPr>
                      <w:rFonts w:hint="default" w:ascii="Times New Roman" w:hAnsi="Times New Roman" w:eastAsia="宋体" w:cs="Times New Roman"/>
                      <w:color w:val="auto"/>
                      <w:kern w:val="0"/>
                      <w:sz w:val="21"/>
                      <w:szCs w:val="21"/>
                      <w:lang w:bidi="ar"/>
                    </w:rPr>
                    <w:t>、料场遮盖、拦挡</w:t>
                  </w:r>
                </w:p>
              </w:tc>
              <w:tc>
                <w:tcPr>
                  <w:tcW w:w="679" w:type="pct"/>
                  <w:noWrap w:val="0"/>
                  <w:vAlign w:val="center"/>
                </w:tcPr>
                <w:p w14:paraId="555308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10</w:t>
                  </w:r>
                </w:p>
              </w:tc>
            </w:tr>
            <w:tr w14:paraId="714A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58" w:type="pct"/>
                  <w:vMerge w:val="continue"/>
                  <w:noWrap w:val="0"/>
                  <w:vAlign w:val="center"/>
                </w:tcPr>
                <w:p w14:paraId="4FB5CA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vMerge w:val="restart"/>
                  <w:noWrap w:val="0"/>
                  <w:vAlign w:val="center"/>
                </w:tcPr>
                <w:p w14:paraId="129069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废水</w:t>
                  </w:r>
                </w:p>
              </w:tc>
              <w:tc>
                <w:tcPr>
                  <w:tcW w:w="2982" w:type="pct"/>
                  <w:gridSpan w:val="2"/>
                  <w:noWrap w:val="0"/>
                  <w:vAlign w:val="center"/>
                </w:tcPr>
                <w:p w14:paraId="20B572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lang w:val="en-US" w:eastAsia="zh-CN" w:bidi="ar"/>
                    </w:rPr>
                    <w:t>沉淀</w:t>
                  </w:r>
                  <w:r>
                    <w:rPr>
                      <w:rFonts w:hint="default" w:ascii="Times New Roman" w:hAnsi="Times New Roman" w:eastAsia="宋体" w:cs="Times New Roman"/>
                      <w:color w:val="auto"/>
                      <w:kern w:val="0"/>
                      <w:sz w:val="21"/>
                      <w:szCs w:val="21"/>
                      <w:lang w:val="en-US" w:eastAsia="zh-CN" w:bidi="ar"/>
                    </w:rPr>
                    <w:t>池</w:t>
                  </w:r>
                  <w:r>
                    <w:rPr>
                      <w:rFonts w:hint="eastAsia" w:cs="Times New Roman"/>
                      <w:color w:val="auto"/>
                      <w:kern w:val="0"/>
                      <w:sz w:val="21"/>
                      <w:szCs w:val="21"/>
                      <w:lang w:val="en-US" w:eastAsia="zh-CN" w:bidi="ar"/>
                    </w:rPr>
                    <w:t>2个，</w:t>
                  </w:r>
                  <w:r>
                    <w:rPr>
                      <w:rFonts w:hint="eastAsia" w:ascii="Times New Roman" w:hAnsi="Times New Roman" w:cs="Times New Roman"/>
                      <w:color w:val="auto"/>
                      <w:kern w:val="0"/>
                      <w:sz w:val="21"/>
                      <w:szCs w:val="21"/>
                      <w:highlight w:val="none"/>
                      <w:vertAlign w:val="baseline"/>
                      <w:lang w:val="en-US" w:eastAsia="zh-CN"/>
                    </w:rPr>
                    <w:t>容积不低于</w:t>
                  </w:r>
                  <w:r>
                    <w:rPr>
                      <w:rFonts w:hint="eastAsia" w:cs="Times New Roman"/>
                      <w:color w:val="auto"/>
                      <w:kern w:val="0"/>
                      <w:sz w:val="21"/>
                      <w:szCs w:val="21"/>
                      <w:highlight w:val="none"/>
                      <w:vertAlign w:val="baseline"/>
                      <w:lang w:val="en-US" w:eastAsia="zh-CN"/>
                    </w:rPr>
                    <w:t>5</w:t>
                  </w:r>
                  <w:r>
                    <w:rPr>
                      <w:rFonts w:hint="eastAsia" w:ascii="Times New Roman" w:hAnsi="Times New Roman" w:cs="Times New Roman"/>
                      <w:color w:val="auto"/>
                      <w:kern w:val="0"/>
                      <w:sz w:val="21"/>
                      <w:szCs w:val="21"/>
                      <w:highlight w:val="none"/>
                      <w:vertAlign w:val="baseline"/>
                      <w:lang w:val="en-US" w:eastAsia="zh-CN"/>
                    </w:rPr>
                    <w:t>m</w:t>
                  </w:r>
                  <w:r>
                    <w:rPr>
                      <w:rFonts w:hint="eastAsia" w:ascii="Times New Roman" w:hAnsi="Times New Roman" w:cs="Times New Roman"/>
                      <w:color w:val="auto"/>
                      <w:kern w:val="0"/>
                      <w:sz w:val="21"/>
                      <w:szCs w:val="21"/>
                      <w:highlight w:val="none"/>
                      <w:vertAlign w:val="superscript"/>
                      <w:lang w:val="en-US" w:eastAsia="zh-CN"/>
                    </w:rPr>
                    <w:t>3</w:t>
                  </w:r>
                </w:p>
              </w:tc>
              <w:tc>
                <w:tcPr>
                  <w:tcW w:w="679" w:type="pct"/>
                  <w:noWrap w:val="0"/>
                  <w:vAlign w:val="center"/>
                </w:tcPr>
                <w:p w14:paraId="7B5F9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2.5</w:t>
                  </w:r>
                </w:p>
              </w:tc>
            </w:tr>
            <w:tr w14:paraId="41DB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58" w:type="pct"/>
                  <w:vMerge w:val="continue"/>
                  <w:noWrap w:val="0"/>
                  <w:vAlign w:val="center"/>
                </w:tcPr>
                <w:p w14:paraId="5352B3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vMerge w:val="continue"/>
                  <w:noWrap w:val="0"/>
                  <w:vAlign w:val="center"/>
                </w:tcPr>
                <w:p w14:paraId="0824B2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p>
              </w:tc>
              <w:tc>
                <w:tcPr>
                  <w:tcW w:w="2982" w:type="pct"/>
                  <w:gridSpan w:val="2"/>
                  <w:noWrap w:val="0"/>
                  <w:vAlign w:val="center"/>
                </w:tcPr>
                <w:p w14:paraId="57F5AF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vertAlign w:val="baseline"/>
                      <w:lang w:val="en-US" w:eastAsia="zh-CN"/>
                    </w:rPr>
                    <w:t>沉沙池8</w:t>
                  </w:r>
                  <w:r>
                    <w:rPr>
                      <w:rFonts w:hint="eastAsia" w:ascii="Times New Roman" w:hAnsi="Times New Roman" w:cs="Times New Roman"/>
                      <w:color w:val="auto"/>
                      <w:kern w:val="0"/>
                      <w:sz w:val="21"/>
                      <w:szCs w:val="21"/>
                      <w:highlight w:val="none"/>
                      <w:vertAlign w:val="baseline"/>
                      <w:lang w:val="en-US" w:eastAsia="zh-CN"/>
                    </w:rPr>
                    <w:t>个，每个容积不低于2m</w:t>
                  </w:r>
                  <w:r>
                    <w:rPr>
                      <w:rFonts w:hint="eastAsia" w:ascii="Times New Roman" w:hAnsi="Times New Roman" w:cs="Times New Roman"/>
                      <w:color w:val="auto"/>
                      <w:kern w:val="0"/>
                      <w:sz w:val="21"/>
                      <w:szCs w:val="21"/>
                      <w:highlight w:val="none"/>
                      <w:vertAlign w:val="superscript"/>
                      <w:lang w:val="en-US" w:eastAsia="zh-CN"/>
                    </w:rPr>
                    <w:t>3</w:t>
                  </w:r>
                </w:p>
              </w:tc>
              <w:tc>
                <w:tcPr>
                  <w:tcW w:w="679" w:type="pct"/>
                  <w:noWrap w:val="0"/>
                  <w:vAlign w:val="center"/>
                </w:tcPr>
                <w:p w14:paraId="5881C1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计入水保投资</w:t>
                  </w:r>
                </w:p>
              </w:tc>
            </w:tr>
            <w:tr w14:paraId="3D52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vMerge w:val="continue"/>
                  <w:noWrap w:val="0"/>
                  <w:vAlign w:val="center"/>
                </w:tcPr>
                <w:p w14:paraId="063BA0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vMerge w:val="continue"/>
                  <w:noWrap w:val="0"/>
                  <w:vAlign w:val="center"/>
                </w:tcPr>
                <w:p w14:paraId="04B4AF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2982" w:type="pct"/>
                  <w:gridSpan w:val="2"/>
                  <w:noWrap w:val="0"/>
                  <w:vAlign w:val="center"/>
                </w:tcPr>
                <w:p w14:paraId="3A69A8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排水沟、</w:t>
                  </w:r>
                  <w:r>
                    <w:rPr>
                      <w:rFonts w:hint="default" w:ascii="Times New Roman" w:hAnsi="Times New Roman" w:eastAsia="宋体" w:cs="Times New Roman"/>
                      <w:color w:val="auto"/>
                      <w:sz w:val="21"/>
                      <w:szCs w:val="21"/>
                      <w:highlight w:val="none"/>
                      <w:lang w:val="zh-CN" w:eastAsia="zh-CN"/>
                    </w:rPr>
                    <w:t>编织袋拦挡</w:t>
                  </w:r>
                  <w:r>
                    <w:rPr>
                      <w:rFonts w:hint="default" w:ascii="Times New Roman" w:hAnsi="Times New Roman" w:eastAsia="宋体" w:cs="Times New Roman"/>
                      <w:color w:val="auto"/>
                      <w:sz w:val="21"/>
                      <w:szCs w:val="21"/>
                      <w:highlight w:val="none"/>
                      <w:lang w:val="en-US" w:eastAsia="zh-CN"/>
                    </w:rPr>
                    <w:t>等措施</w:t>
                  </w:r>
                </w:p>
              </w:tc>
              <w:tc>
                <w:tcPr>
                  <w:tcW w:w="679" w:type="pct"/>
                  <w:noWrap w:val="0"/>
                  <w:vAlign w:val="center"/>
                </w:tcPr>
                <w:p w14:paraId="03F539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计入水保投资</w:t>
                  </w:r>
                </w:p>
              </w:tc>
            </w:tr>
            <w:tr w14:paraId="3E1E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vMerge w:val="continue"/>
                  <w:noWrap w:val="0"/>
                  <w:vAlign w:val="center"/>
                </w:tcPr>
                <w:p w14:paraId="6393A8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noWrap w:val="0"/>
                  <w:vAlign w:val="center"/>
                </w:tcPr>
                <w:p w14:paraId="337471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噪声</w:t>
                  </w:r>
                </w:p>
              </w:tc>
              <w:tc>
                <w:tcPr>
                  <w:tcW w:w="2982" w:type="pct"/>
                  <w:gridSpan w:val="2"/>
                  <w:noWrap w:val="0"/>
                  <w:vAlign w:val="center"/>
                </w:tcPr>
                <w:p w14:paraId="77F30A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产噪设备进行隔声、减震处理</w:t>
                  </w:r>
                </w:p>
              </w:tc>
              <w:tc>
                <w:tcPr>
                  <w:tcW w:w="679" w:type="pct"/>
                  <w:noWrap w:val="0"/>
                  <w:vAlign w:val="center"/>
                </w:tcPr>
                <w:p w14:paraId="4CA641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4</w:t>
                  </w:r>
                </w:p>
              </w:tc>
            </w:tr>
            <w:tr w14:paraId="5988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vMerge w:val="continue"/>
                  <w:noWrap w:val="0"/>
                  <w:vAlign w:val="center"/>
                </w:tcPr>
                <w:p w14:paraId="2E7849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noWrap w:val="0"/>
                  <w:vAlign w:val="center"/>
                </w:tcPr>
                <w:p w14:paraId="2EC9C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固废</w:t>
                  </w:r>
                </w:p>
              </w:tc>
              <w:tc>
                <w:tcPr>
                  <w:tcW w:w="2982" w:type="pct"/>
                  <w:gridSpan w:val="2"/>
                  <w:noWrap w:val="0"/>
                  <w:vAlign w:val="center"/>
                </w:tcPr>
                <w:p w14:paraId="162C68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建筑垃圾</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val="en-US" w:eastAsia="zh-CN" w:bidi="ar"/>
                    </w:rPr>
                    <w:t>生活垃圾</w:t>
                  </w:r>
                  <w:r>
                    <w:rPr>
                      <w:rFonts w:hint="default" w:ascii="Times New Roman" w:hAnsi="Times New Roman" w:eastAsia="宋体" w:cs="Times New Roman"/>
                      <w:color w:val="auto"/>
                      <w:kern w:val="0"/>
                      <w:sz w:val="21"/>
                      <w:szCs w:val="21"/>
                      <w:lang w:bidi="ar"/>
                    </w:rPr>
                    <w:t>及时清运</w:t>
                  </w:r>
                </w:p>
              </w:tc>
              <w:tc>
                <w:tcPr>
                  <w:tcW w:w="679" w:type="pct"/>
                  <w:noWrap w:val="0"/>
                  <w:vAlign w:val="center"/>
                </w:tcPr>
                <w:p w14:paraId="7F1817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w:t>
                  </w:r>
                </w:p>
              </w:tc>
            </w:tr>
            <w:tr w14:paraId="75E1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vMerge w:val="restart"/>
                  <w:noWrap w:val="0"/>
                  <w:vAlign w:val="center"/>
                </w:tcPr>
                <w:p w14:paraId="448E54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运营期</w:t>
                  </w:r>
                </w:p>
              </w:tc>
              <w:tc>
                <w:tcPr>
                  <w:tcW w:w="679" w:type="pct"/>
                  <w:noWrap w:val="0"/>
                  <w:vAlign w:val="center"/>
                </w:tcPr>
                <w:p w14:paraId="029329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噪声</w:t>
                  </w:r>
                </w:p>
              </w:tc>
              <w:tc>
                <w:tcPr>
                  <w:tcW w:w="2982" w:type="pct"/>
                  <w:gridSpan w:val="2"/>
                  <w:noWrap w:val="0"/>
                  <w:vAlign w:val="center"/>
                </w:tcPr>
                <w:p w14:paraId="5059BC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eastAsia"/>
                      <w:color w:val="auto"/>
                      <w:kern w:val="0"/>
                      <w:sz w:val="21"/>
                      <w:szCs w:val="21"/>
                    </w:rPr>
                    <w:t>设备隔声，</w:t>
                  </w:r>
                  <w:r>
                    <w:rPr>
                      <w:rFonts w:hint="eastAsia"/>
                      <w:color w:val="auto"/>
                      <w:kern w:val="0"/>
                      <w:sz w:val="21"/>
                      <w:szCs w:val="21"/>
                      <w:lang w:val="en-US" w:eastAsia="zh-CN"/>
                    </w:rPr>
                    <w:t>箱式</w:t>
                  </w:r>
                  <w:r>
                    <w:rPr>
                      <w:rFonts w:hint="eastAsia"/>
                      <w:color w:val="auto"/>
                      <w:kern w:val="0"/>
                      <w:sz w:val="21"/>
                      <w:szCs w:val="21"/>
                    </w:rPr>
                    <w:t>变压器减振装置等</w:t>
                  </w:r>
                </w:p>
              </w:tc>
              <w:tc>
                <w:tcPr>
                  <w:tcW w:w="679" w:type="pct"/>
                  <w:noWrap w:val="0"/>
                  <w:vAlign w:val="center"/>
                </w:tcPr>
                <w:p w14:paraId="34A349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3</w:t>
                  </w:r>
                </w:p>
              </w:tc>
            </w:tr>
            <w:tr w14:paraId="4728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658" w:type="pct"/>
                  <w:vMerge w:val="continue"/>
                  <w:noWrap w:val="0"/>
                  <w:vAlign w:val="center"/>
                </w:tcPr>
                <w:p w14:paraId="265913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noWrap w:val="0"/>
                  <w:vAlign w:val="center"/>
                </w:tcPr>
                <w:p w14:paraId="7ECE26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固废</w:t>
                  </w:r>
                </w:p>
              </w:tc>
              <w:tc>
                <w:tcPr>
                  <w:tcW w:w="2982" w:type="pct"/>
                  <w:gridSpan w:val="2"/>
                  <w:noWrap w:val="0"/>
                  <w:vAlign w:val="center"/>
                </w:tcPr>
                <w:p w14:paraId="581DCD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项目废光伏板、</w:t>
                  </w:r>
                  <w:r>
                    <w:rPr>
                      <w:rFonts w:hint="eastAsia" w:cs="Times New Roman"/>
                      <w:bCs/>
                      <w:color w:val="auto"/>
                      <w:sz w:val="21"/>
                      <w:szCs w:val="21"/>
                      <w:lang w:val="en-US" w:eastAsia="zh-CN"/>
                    </w:rPr>
                    <w:t>废元气件</w:t>
                  </w:r>
                  <w:r>
                    <w:rPr>
                      <w:rFonts w:hint="eastAsia"/>
                      <w:color w:val="auto"/>
                      <w:sz w:val="21"/>
                      <w:szCs w:val="21"/>
                      <w:lang w:eastAsia="zh-CN"/>
                    </w:rPr>
                    <w:t>、</w:t>
                  </w:r>
                  <w:r>
                    <w:rPr>
                      <w:rFonts w:hint="eastAsia"/>
                      <w:bCs/>
                      <w:color w:val="auto"/>
                      <w:sz w:val="21"/>
                      <w:szCs w:val="21"/>
                      <w:highlight w:val="none"/>
                      <w:shd w:val="clear" w:color="auto" w:fill="auto"/>
                    </w:rPr>
                    <w:t>废变压器油</w:t>
                  </w:r>
                  <w:r>
                    <w:rPr>
                      <w:rFonts w:hint="eastAsia"/>
                      <w:color w:val="auto"/>
                      <w:kern w:val="0"/>
                      <w:sz w:val="21"/>
                      <w:szCs w:val="21"/>
                      <w:lang w:val="en-US" w:eastAsia="zh-CN" w:bidi="ar"/>
                    </w:rPr>
                    <w:t>清运</w:t>
                  </w:r>
                </w:p>
              </w:tc>
              <w:tc>
                <w:tcPr>
                  <w:tcW w:w="679" w:type="pct"/>
                  <w:noWrap w:val="0"/>
                  <w:vAlign w:val="center"/>
                </w:tcPr>
                <w:p w14:paraId="63B6A6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bidi="ar"/>
                    </w:rPr>
                    <w:t>5</w:t>
                  </w:r>
                </w:p>
              </w:tc>
            </w:tr>
            <w:tr w14:paraId="0CAB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58" w:type="pct"/>
                  <w:vMerge w:val="continue"/>
                  <w:noWrap w:val="0"/>
                  <w:vAlign w:val="center"/>
                </w:tcPr>
                <w:p w14:paraId="1722B7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79" w:type="pct"/>
                  <w:noWrap w:val="0"/>
                  <w:vAlign w:val="center"/>
                </w:tcPr>
                <w:p w14:paraId="104E63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环境风险</w:t>
                  </w:r>
                </w:p>
              </w:tc>
              <w:tc>
                <w:tcPr>
                  <w:tcW w:w="2982" w:type="pct"/>
                  <w:gridSpan w:val="2"/>
                  <w:noWrap w:val="0"/>
                  <w:vAlign w:val="center"/>
                </w:tcPr>
                <w:p w14:paraId="5C53A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箱变</w:t>
                  </w:r>
                  <w:r>
                    <w:rPr>
                      <w:rFonts w:hint="default" w:ascii="Times New Roman" w:hAnsi="Times New Roman" w:eastAsia="宋体" w:cs="Times New Roman"/>
                      <w:color w:val="auto"/>
                      <w:kern w:val="0"/>
                      <w:sz w:val="21"/>
                      <w:szCs w:val="21"/>
                      <w:lang w:val="en-US" w:eastAsia="zh-CN" w:bidi="ar"/>
                    </w:rPr>
                    <w:t>事故油池</w:t>
                  </w:r>
                  <w:r>
                    <w:rPr>
                      <w:rFonts w:hint="eastAsia" w:cs="Times New Roman"/>
                      <w:color w:val="auto"/>
                      <w:kern w:val="0"/>
                      <w:sz w:val="21"/>
                      <w:szCs w:val="21"/>
                      <w:lang w:val="en-US" w:eastAsia="zh-CN" w:bidi="ar"/>
                    </w:rPr>
                    <w:t>14个，</w:t>
                  </w:r>
                  <w:r>
                    <w:rPr>
                      <w:rFonts w:hint="eastAsia"/>
                      <w:color w:val="auto"/>
                      <w:kern w:val="0"/>
                      <w:sz w:val="21"/>
                      <w:szCs w:val="21"/>
                    </w:rPr>
                    <w:t>其中</w:t>
                  </w:r>
                  <w:r>
                    <w:rPr>
                      <w:rFonts w:hint="eastAsia"/>
                      <w:color w:val="auto"/>
                      <w:kern w:val="0"/>
                      <w:sz w:val="21"/>
                      <w:szCs w:val="21"/>
                      <w:lang w:val="en-US" w:eastAsia="zh-CN"/>
                    </w:rPr>
                    <w:t>1</w:t>
                  </w:r>
                  <w:r>
                    <w:rPr>
                      <w:rFonts w:hint="eastAsia"/>
                      <w:color w:val="auto"/>
                      <w:kern w:val="0"/>
                      <w:sz w:val="21"/>
                      <w:szCs w:val="21"/>
                    </w:rPr>
                    <w:t>个容积不低于</w:t>
                  </w:r>
                  <w:r>
                    <w:rPr>
                      <w:rFonts w:hint="eastAsia"/>
                      <w:color w:val="auto"/>
                      <w:kern w:val="0"/>
                      <w:sz w:val="21"/>
                      <w:szCs w:val="21"/>
                      <w:lang w:val="en-US" w:eastAsia="zh-CN"/>
                    </w:rPr>
                    <w:t>1.8</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11</w:t>
                  </w:r>
                  <w:r>
                    <w:rPr>
                      <w:rFonts w:hint="eastAsia"/>
                      <w:color w:val="auto"/>
                      <w:kern w:val="0"/>
                      <w:sz w:val="21"/>
                      <w:szCs w:val="21"/>
                    </w:rPr>
                    <w:t>个容积不低于</w:t>
                  </w:r>
                  <w:r>
                    <w:rPr>
                      <w:rFonts w:hint="eastAsia"/>
                      <w:color w:val="auto"/>
                      <w:kern w:val="0"/>
                      <w:sz w:val="21"/>
                      <w:szCs w:val="21"/>
                      <w:lang w:val="en-US" w:eastAsia="zh-CN"/>
                    </w:rPr>
                    <w:t>1.9</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1</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3</w:t>
                  </w:r>
                  <w:r>
                    <w:rPr>
                      <w:rFonts w:hint="eastAsia"/>
                      <w:color w:val="auto"/>
                      <w:kern w:val="0"/>
                      <w:sz w:val="21"/>
                      <w:szCs w:val="21"/>
                    </w:rPr>
                    <w:t>m</w:t>
                  </w:r>
                  <w:r>
                    <w:rPr>
                      <w:rFonts w:hint="eastAsia"/>
                      <w:color w:val="auto"/>
                      <w:kern w:val="0"/>
                      <w:sz w:val="21"/>
                      <w:szCs w:val="21"/>
                      <w:vertAlign w:val="superscript"/>
                    </w:rPr>
                    <w:t>3</w:t>
                  </w:r>
                  <w:r>
                    <w:rPr>
                      <w:rFonts w:hint="default" w:ascii="Times New Roman" w:hAnsi="Times New Roman" w:eastAsia="宋体" w:cs="Times New Roman"/>
                      <w:color w:val="auto"/>
                      <w:kern w:val="0"/>
                      <w:sz w:val="21"/>
                      <w:szCs w:val="21"/>
                      <w:highlight w:val="none"/>
                      <w:lang w:val="en-US" w:eastAsia="zh-CN" w:bidi="ar"/>
                    </w:rPr>
                    <w:t>，池</w:t>
                  </w:r>
                  <w:r>
                    <w:rPr>
                      <w:rFonts w:hint="default" w:ascii="Times New Roman" w:hAnsi="Times New Roman" w:eastAsia="宋体" w:cs="Times New Roman"/>
                      <w:color w:val="auto"/>
                      <w:kern w:val="0"/>
                      <w:sz w:val="21"/>
                      <w:szCs w:val="21"/>
                      <w:lang w:bidi="ar"/>
                    </w:rPr>
                    <w:t>体进行防渗处理</w:t>
                  </w:r>
                </w:p>
              </w:tc>
              <w:tc>
                <w:tcPr>
                  <w:tcW w:w="679" w:type="pct"/>
                  <w:noWrap w:val="0"/>
                  <w:vAlign w:val="center"/>
                </w:tcPr>
                <w:p w14:paraId="67C82A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13</w:t>
                  </w:r>
                </w:p>
              </w:tc>
            </w:tr>
            <w:tr w14:paraId="03A2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noWrap w:val="0"/>
                  <w:vAlign w:val="center"/>
                </w:tcPr>
                <w:p w14:paraId="5C3ED3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其他</w:t>
                  </w:r>
                </w:p>
              </w:tc>
              <w:tc>
                <w:tcPr>
                  <w:tcW w:w="3662" w:type="pct"/>
                  <w:gridSpan w:val="3"/>
                  <w:noWrap w:val="0"/>
                  <w:vAlign w:val="center"/>
                </w:tcPr>
                <w:p w14:paraId="2C898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环境影响评价、施工期环境监理、竣工环保验收、环境监测、环境风险应急预案、标识、标牌制作等</w:t>
                  </w:r>
                </w:p>
              </w:tc>
              <w:tc>
                <w:tcPr>
                  <w:tcW w:w="679" w:type="pct"/>
                  <w:noWrap w:val="0"/>
                  <w:vAlign w:val="center"/>
                </w:tcPr>
                <w:p w14:paraId="4BA930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20</w:t>
                  </w:r>
                </w:p>
              </w:tc>
            </w:tr>
            <w:tr w14:paraId="32B5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8" w:type="pct"/>
                  <w:noWrap w:val="0"/>
                  <w:vAlign w:val="center"/>
                </w:tcPr>
                <w:p w14:paraId="0E6308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运营期满</w:t>
                  </w:r>
                </w:p>
              </w:tc>
              <w:tc>
                <w:tcPr>
                  <w:tcW w:w="679" w:type="pct"/>
                  <w:noWrap w:val="0"/>
                  <w:vAlign w:val="center"/>
                </w:tcPr>
                <w:p w14:paraId="167E1E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生态</w:t>
                  </w:r>
                </w:p>
              </w:tc>
              <w:tc>
                <w:tcPr>
                  <w:tcW w:w="2982" w:type="pct"/>
                  <w:gridSpan w:val="2"/>
                  <w:noWrap w:val="0"/>
                  <w:vAlign w:val="center"/>
                </w:tcPr>
                <w:p w14:paraId="2A6BFE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eastAsia" w:ascii="Times New Roman" w:hAnsi="Times New Roman"/>
                      <w:color w:val="auto"/>
                      <w:kern w:val="2"/>
                      <w:sz w:val="21"/>
                      <w:szCs w:val="21"/>
                    </w:rPr>
                    <w:t>临时占用的场内道路边坡及施工场地区进行施工迹地恢复</w:t>
                  </w:r>
                </w:p>
              </w:tc>
              <w:tc>
                <w:tcPr>
                  <w:tcW w:w="679" w:type="pct"/>
                  <w:noWrap w:val="0"/>
                  <w:vAlign w:val="center"/>
                </w:tcPr>
                <w:p w14:paraId="17A460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40</w:t>
                  </w:r>
                </w:p>
              </w:tc>
            </w:tr>
            <w:tr w14:paraId="3691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320" w:type="pct"/>
                  <w:gridSpan w:val="4"/>
                  <w:noWrap w:val="0"/>
                  <w:vAlign w:val="center"/>
                </w:tcPr>
                <w:p w14:paraId="48977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总计</w:t>
                  </w:r>
                </w:p>
              </w:tc>
              <w:tc>
                <w:tcPr>
                  <w:tcW w:w="679" w:type="pct"/>
                  <w:noWrap w:val="0"/>
                  <w:vAlign w:val="center"/>
                </w:tcPr>
                <w:p w14:paraId="31CEBE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102.5</w:t>
                  </w:r>
                </w:p>
              </w:tc>
            </w:tr>
          </w:tbl>
          <w:p w14:paraId="025A50DB">
            <w:pPr>
              <w:keepNext w:val="0"/>
              <w:keepLines w:val="0"/>
              <w:suppressLineNumbers w:val="0"/>
              <w:shd w:val="clear"/>
              <w:adjustRightInd w:val="0"/>
              <w:snapToGrid w:val="0"/>
              <w:spacing w:before="0" w:beforeAutospacing="0" w:after="0" w:afterAutospacing="0"/>
              <w:ind w:left="0" w:right="0"/>
              <w:rPr>
                <w:rFonts w:hint="default"/>
                <w:bCs/>
                <w:color w:val="auto"/>
                <w:spacing w:val="10"/>
                <w:szCs w:val="21"/>
                <w:highlight w:val="none"/>
                <w:shd w:val="clear" w:color="auto" w:fill="auto"/>
              </w:rPr>
            </w:pPr>
          </w:p>
        </w:tc>
      </w:tr>
    </w:tbl>
    <w:p w14:paraId="0C6B75E9">
      <w:pPr>
        <w:shd w:val="clear"/>
        <w:rPr>
          <w:color w:val="auto"/>
          <w:highlight w:val="none"/>
          <w:shd w:val="clear" w:color="auto" w:fill="auto"/>
        </w:rPr>
        <w:sectPr>
          <w:pgSz w:w="11907" w:h="16840"/>
          <w:pgMar w:top="1440" w:right="1797" w:bottom="1440" w:left="1797" w:header="851" w:footer="1077" w:gutter="0"/>
          <w:pgNumType w:fmt="decimal"/>
          <w:cols w:space="425" w:num="1"/>
          <w:docGrid w:linePitch="312" w:charSpace="0"/>
        </w:sectPr>
      </w:pPr>
    </w:p>
    <w:p w14:paraId="2C3CE3C1">
      <w:pPr>
        <w:pStyle w:val="40"/>
        <w:shd w:val="clear"/>
        <w:spacing w:before="0" w:beforeAutospacing="0" w:after="0" w:afterAutospacing="0" w:line="360" w:lineRule="auto"/>
        <w:outlineLvl w:val="0"/>
        <w:rPr>
          <w:b/>
          <w:bCs/>
          <w:snapToGrid w:val="0"/>
          <w:color w:val="auto"/>
          <w:sz w:val="30"/>
          <w:szCs w:val="30"/>
          <w:highlight w:val="none"/>
          <w:shd w:val="clear" w:color="auto" w:fill="auto"/>
        </w:rPr>
      </w:pPr>
      <w:bookmarkStart w:id="67" w:name="_Toc11521"/>
      <w:r>
        <w:rPr>
          <w:b/>
          <w:bCs/>
          <w:snapToGrid w:val="0"/>
          <w:color w:val="auto"/>
          <w:sz w:val="30"/>
          <w:szCs w:val="30"/>
          <w:highlight w:val="none"/>
          <w:shd w:val="clear" w:color="auto" w:fill="auto"/>
        </w:rPr>
        <w:t>六、生态环境保护措施监督检查清单</w:t>
      </w:r>
      <w:bookmarkEnd w:id="67"/>
    </w:p>
    <w:tbl>
      <w:tblPr>
        <w:tblStyle w:val="42"/>
        <w:tblW w:w="1417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61"/>
        <w:gridCol w:w="4874"/>
        <w:gridCol w:w="1802"/>
        <w:gridCol w:w="3813"/>
        <w:gridCol w:w="2124"/>
      </w:tblGrid>
      <w:tr w14:paraId="5C4FD8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6" w:hRule="atLeast"/>
          <w:tblHeader/>
          <w:jc w:val="center"/>
        </w:trPr>
        <w:tc>
          <w:tcPr>
            <w:tcW w:w="1561" w:type="dxa"/>
            <w:vMerge w:val="restart"/>
            <w:tcBorders>
              <w:top w:val="single" w:color="auto" w:sz="2" w:space="0"/>
              <w:left w:val="single" w:color="auto" w:sz="2" w:space="0"/>
              <w:bottom w:val="single" w:color="auto" w:sz="2" w:space="0"/>
              <w:right w:val="single" w:color="auto" w:sz="2" w:space="0"/>
              <w:tl2br w:val="single" w:color="auto" w:sz="4" w:space="0"/>
            </w:tcBorders>
          </w:tcPr>
          <w:p w14:paraId="69D2190B">
            <w:pPr>
              <w:pStyle w:val="40"/>
              <w:keepNext w:val="0"/>
              <w:keepLines w:val="0"/>
              <w:suppressLineNumbers w:val="0"/>
              <w:shd w:val="clear"/>
              <w:adjustRightInd w:val="0"/>
              <w:snapToGrid w:val="0"/>
              <w:spacing w:before="0" w:beforeAutospacing="0" w:after="0" w:afterAutospacing="0"/>
              <w:ind w:left="422" w:right="0" w:hanging="422" w:hangingChars="200"/>
              <w:outlineLvl w:val="0"/>
              <w:rPr>
                <w:rFonts w:hint="default" w:ascii="Times New Roman" w:hAnsi="Times New Roman"/>
                <w:b/>
                <w:bCs/>
                <w:color w:val="auto"/>
                <w:kern w:val="2"/>
                <w:sz w:val="21"/>
                <w:szCs w:val="21"/>
                <w:highlight w:val="none"/>
                <w:shd w:val="clear" w:color="auto" w:fill="auto"/>
              </w:rPr>
            </w:pPr>
            <w:bookmarkStart w:id="68" w:name="_Toc69118011"/>
            <w:r>
              <w:rPr>
                <w:rFonts w:hint="default" w:ascii="Times New Roman" w:hAnsi="Times New Roman"/>
                <w:b/>
                <w:bCs/>
                <w:color w:val="auto"/>
                <w:kern w:val="2"/>
                <w:sz w:val="21"/>
                <w:szCs w:val="21"/>
                <w:highlight w:val="none"/>
                <w:shd w:val="clear" w:color="auto" w:fill="auto"/>
              </w:rPr>
              <w:t xml:space="preserve">    </w:t>
            </w:r>
            <w:bookmarkStart w:id="69" w:name="_Toc24620"/>
            <w:bookmarkStart w:id="70" w:name="_Toc15523"/>
            <w:bookmarkStart w:id="71" w:name="_Toc28053"/>
            <w:bookmarkStart w:id="72" w:name="_Toc16287"/>
            <w:r>
              <w:rPr>
                <w:rFonts w:hint="eastAsia" w:ascii="Times New Roman" w:hAnsi="Times New Roman"/>
                <w:b/>
                <w:bCs/>
                <w:color w:val="auto"/>
                <w:kern w:val="2"/>
                <w:sz w:val="21"/>
                <w:szCs w:val="21"/>
                <w:highlight w:val="none"/>
                <w:shd w:val="clear" w:color="auto" w:fill="auto"/>
                <w:lang w:val="en-US" w:eastAsia="zh-CN"/>
              </w:rPr>
              <w:t xml:space="preserve">    </w:t>
            </w:r>
            <w:r>
              <w:rPr>
                <w:rFonts w:hint="default" w:ascii="Times New Roman" w:hAnsi="Times New Roman"/>
                <w:b/>
                <w:bCs/>
                <w:color w:val="auto"/>
                <w:kern w:val="2"/>
                <w:sz w:val="21"/>
                <w:szCs w:val="21"/>
                <w:highlight w:val="none"/>
                <w:shd w:val="clear" w:color="auto" w:fill="auto"/>
              </w:rPr>
              <w:t>内容</w:t>
            </w:r>
            <w:bookmarkEnd w:id="68"/>
            <w:bookmarkEnd w:id="69"/>
            <w:bookmarkEnd w:id="70"/>
            <w:bookmarkEnd w:id="71"/>
            <w:bookmarkEnd w:id="72"/>
            <w:bookmarkStart w:id="73" w:name="_Toc69118012"/>
          </w:p>
          <w:p w14:paraId="3F5E42A3">
            <w:pPr>
              <w:pStyle w:val="40"/>
              <w:keepNext w:val="0"/>
              <w:keepLines w:val="0"/>
              <w:suppressLineNumbers w:val="0"/>
              <w:shd w:val="clear"/>
              <w:adjustRightInd w:val="0"/>
              <w:snapToGrid w:val="0"/>
              <w:spacing w:before="0" w:beforeAutospacing="0" w:after="0" w:afterAutospacing="0"/>
              <w:ind w:left="0" w:right="0"/>
              <w:outlineLvl w:val="0"/>
              <w:rPr>
                <w:rFonts w:hint="default" w:ascii="Times New Roman" w:hAnsi="Times New Roman"/>
                <w:b/>
                <w:bCs/>
                <w:color w:val="auto"/>
                <w:kern w:val="2"/>
                <w:sz w:val="21"/>
                <w:szCs w:val="21"/>
                <w:highlight w:val="none"/>
                <w:shd w:val="clear" w:color="auto" w:fill="auto"/>
              </w:rPr>
            </w:pPr>
            <w:bookmarkStart w:id="74" w:name="_Toc9029"/>
            <w:bookmarkStart w:id="75" w:name="_Toc21118"/>
            <w:bookmarkStart w:id="76" w:name="_Toc2472"/>
            <w:bookmarkStart w:id="77" w:name="_Toc21802"/>
            <w:r>
              <w:rPr>
                <w:rFonts w:hint="default" w:ascii="Times New Roman" w:hAnsi="Times New Roman"/>
                <w:b/>
                <w:bCs/>
                <w:color w:val="auto"/>
                <w:kern w:val="2"/>
                <w:sz w:val="21"/>
                <w:szCs w:val="21"/>
                <w:highlight w:val="none"/>
                <w:shd w:val="clear" w:color="auto" w:fill="auto"/>
              </w:rPr>
              <w:t>要素</w:t>
            </w:r>
            <w:bookmarkEnd w:id="73"/>
            <w:bookmarkEnd w:id="74"/>
            <w:bookmarkEnd w:id="75"/>
            <w:bookmarkEnd w:id="76"/>
            <w:bookmarkEnd w:id="77"/>
          </w:p>
        </w:tc>
        <w:tc>
          <w:tcPr>
            <w:tcW w:w="6676" w:type="dxa"/>
            <w:gridSpan w:val="2"/>
            <w:tcBorders>
              <w:top w:val="single" w:color="auto" w:sz="2" w:space="0"/>
              <w:left w:val="single" w:color="auto" w:sz="2" w:space="0"/>
              <w:bottom w:val="single" w:color="auto" w:sz="2" w:space="0"/>
              <w:right w:val="single" w:color="auto" w:sz="2" w:space="0"/>
            </w:tcBorders>
            <w:vAlign w:val="center"/>
          </w:tcPr>
          <w:p w14:paraId="33F2DBA8">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78" w:name="_Toc25816"/>
            <w:bookmarkStart w:id="79" w:name="_Toc18281"/>
            <w:bookmarkStart w:id="80" w:name="_Toc17278"/>
            <w:bookmarkStart w:id="81" w:name="_Toc11294"/>
            <w:bookmarkStart w:id="82" w:name="_Toc69118013"/>
            <w:r>
              <w:rPr>
                <w:rFonts w:hint="default" w:ascii="Times New Roman" w:hAnsi="Times New Roman"/>
                <w:b/>
                <w:bCs/>
                <w:color w:val="auto"/>
                <w:kern w:val="2"/>
                <w:sz w:val="21"/>
                <w:szCs w:val="21"/>
                <w:highlight w:val="none"/>
                <w:shd w:val="clear" w:color="auto" w:fill="auto"/>
              </w:rPr>
              <w:t>施工期</w:t>
            </w:r>
            <w:bookmarkEnd w:id="78"/>
            <w:bookmarkEnd w:id="79"/>
            <w:bookmarkEnd w:id="80"/>
            <w:bookmarkEnd w:id="81"/>
            <w:bookmarkEnd w:id="82"/>
          </w:p>
        </w:tc>
        <w:tc>
          <w:tcPr>
            <w:tcW w:w="5937" w:type="dxa"/>
            <w:gridSpan w:val="2"/>
            <w:tcBorders>
              <w:top w:val="single" w:color="auto" w:sz="2" w:space="0"/>
              <w:left w:val="single" w:color="auto" w:sz="2" w:space="0"/>
              <w:bottom w:val="single" w:color="auto" w:sz="2" w:space="0"/>
              <w:right w:val="single" w:color="auto" w:sz="2" w:space="0"/>
            </w:tcBorders>
            <w:vAlign w:val="center"/>
          </w:tcPr>
          <w:p w14:paraId="383EFBA9">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83" w:name="_Toc26174"/>
            <w:bookmarkStart w:id="84" w:name="_Toc28723"/>
            <w:bookmarkStart w:id="85" w:name="_Toc7319"/>
            <w:bookmarkStart w:id="86" w:name="_Toc69118014"/>
            <w:bookmarkStart w:id="87" w:name="_Toc29004"/>
            <w:r>
              <w:rPr>
                <w:rFonts w:hint="default" w:ascii="Times New Roman" w:hAnsi="Times New Roman"/>
                <w:b/>
                <w:bCs/>
                <w:color w:val="auto"/>
                <w:kern w:val="2"/>
                <w:sz w:val="21"/>
                <w:szCs w:val="21"/>
                <w:highlight w:val="none"/>
                <w:shd w:val="clear" w:color="auto" w:fill="auto"/>
              </w:rPr>
              <w:t>运营期</w:t>
            </w:r>
            <w:bookmarkEnd w:id="83"/>
            <w:bookmarkEnd w:id="84"/>
            <w:bookmarkEnd w:id="85"/>
            <w:bookmarkEnd w:id="86"/>
            <w:bookmarkEnd w:id="87"/>
          </w:p>
        </w:tc>
      </w:tr>
      <w:tr w14:paraId="03C226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3" w:hRule="atLeast"/>
          <w:tblHeader/>
          <w:jc w:val="center"/>
        </w:trPr>
        <w:tc>
          <w:tcPr>
            <w:tcW w:w="1561" w:type="dxa"/>
            <w:vMerge w:val="continue"/>
            <w:tcBorders>
              <w:top w:val="single" w:color="auto" w:sz="2" w:space="0"/>
              <w:left w:val="single" w:color="auto" w:sz="2" w:space="0"/>
              <w:bottom w:val="single" w:color="auto" w:sz="2" w:space="0"/>
              <w:right w:val="single" w:color="auto" w:sz="2" w:space="0"/>
            </w:tcBorders>
          </w:tcPr>
          <w:p w14:paraId="710B0B0F">
            <w:pPr>
              <w:pStyle w:val="40"/>
              <w:keepNext w:val="0"/>
              <w:keepLines w:val="0"/>
              <w:suppressLineNumbers w:val="0"/>
              <w:shd w:val="clear"/>
              <w:adjustRightInd w:val="0"/>
              <w:snapToGrid w:val="0"/>
              <w:spacing w:before="0" w:beforeAutospacing="0" w:after="0" w:afterAutospacing="0"/>
              <w:ind w:left="0" w:right="0" w:firstLine="840"/>
              <w:jc w:val="center"/>
              <w:outlineLvl w:val="0"/>
              <w:rPr>
                <w:rFonts w:hint="default" w:ascii="Times New Roman" w:hAnsi="Times New Roman"/>
                <w:b/>
                <w:bCs/>
                <w:color w:val="auto"/>
                <w:kern w:val="2"/>
                <w:sz w:val="21"/>
                <w:szCs w:val="21"/>
                <w:highlight w:val="none"/>
                <w:shd w:val="clear" w:color="auto" w:fill="auto"/>
              </w:rPr>
            </w:pPr>
          </w:p>
        </w:tc>
        <w:tc>
          <w:tcPr>
            <w:tcW w:w="4874" w:type="dxa"/>
            <w:tcBorders>
              <w:top w:val="single" w:color="auto" w:sz="2" w:space="0"/>
              <w:left w:val="single" w:color="auto" w:sz="2" w:space="0"/>
              <w:bottom w:val="single" w:color="auto" w:sz="2" w:space="0"/>
              <w:right w:val="single" w:color="auto" w:sz="2" w:space="0"/>
            </w:tcBorders>
            <w:vAlign w:val="center"/>
          </w:tcPr>
          <w:p w14:paraId="66FFAAE4">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88" w:name="_Toc69118015"/>
            <w:bookmarkStart w:id="89" w:name="_Toc13433"/>
            <w:bookmarkStart w:id="90" w:name="_Toc25779"/>
            <w:bookmarkStart w:id="91" w:name="_Toc23045"/>
            <w:bookmarkStart w:id="92" w:name="_Toc17177"/>
            <w:r>
              <w:rPr>
                <w:rFonts w:hint="default" w:ascii="Times New Roman" w:hAnsi="Times New Roman"/>
                <w:b/>
                <w:bCs/>
                <w:color w:val="auto"/>
                <w:kern w:val="2"/>
                <w:sz w:val="21"/>
                <w:szCs w:val="21"/>
                <w:highlight w:val="none"/>
                <w:shd w:val="clear" w:color="auto" w:fill="auto"/>
              </w:rPr>
              <w:t>环境保护措施</w:t>
            </w:r>
            <w:bookmarkEnd w:id="88"/>
            <w:bookmarkEnd w:id="89"/>
            <w:bookmarkEnd w:id="90"/>
            <w:bookmarkEnd w:id="91"/>
            <w:bookmarkEnd w:id="92"/>
          </w:p>
        </w:tc>
        <w:tc>
          <w:tcPr>
            <w:tcW w:w="1802" w:type="dxa"/>
            <w:tcBorders>
              <w:top w:val="single" w:color="auto" w:sz="2" w:space="0"/>
              <w:left w:val="single" w:color="auto" w:sz="2" w:space="0"/>
              <w:bottom w:val="single" w:color="auto" w:sz="2" w:space="0"/>
              <w:right w:val="single" w:color="auto" w:sz="2" w:space="0"/>
            </w:tcBorders>
            <w:vAlign w:val="center"/>
          </w:tcPr>
          <w:p w14:paraId="43A158C4">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93" w:name="_Toc69118016"/>
            <w:bookmarkStart w:id="94" w:name="_Toc13479"/>
            <w:bookmarkStart w:id="95" w:name="_Toc20504"/>
            <w:bookmarkStart w:id="96" w:name="_Toc26437"/>
            <w:bookmarkStart w:id="97" w:name="_Toc16271"/>
            <w:r>
              <w:rPr>
                <w:rFonts w:hint="default" w:ascii="Times New Roman" w:hAnsi="Times New Roman"/>
                <w:b/>
                <w:bCs/>
                <w:color w:val="auto"/>
                <w:kern w:val="2"/>
                <w:sz w:val="21"/>
                <w:szCs w:val="21"/>
                <w:highlight w:val="none"/>
                <w:shd w:val="clear" w:color="auto" w:fill="auto"/>
              </w:rPr>
              <w:t>验收要求</w:t>
            </w:r>
            <w:bookmarkEnd w:id="93"/>
            <w:bookmarkEnd w:id="94"/>
            <w:bookmarkEnd w:id="95"/>
            <w:bookmarkEnd w:id="96"/>
            <w:bookmarkEnd w:id="97"/>
          </w:p>
        </w:tc>
        <w:tc>
          <w:tcPr>
            <w:tcW w:w="3813" w:type="dxa"/>
            <w:tcBorders>
              <w:top w:val="single" w:color="auto" w:sz="2" w:space="0"/>
              <w:left w:val="single" w:color="auto" w:sz="2" w:space="0"/>
              <w:bottom w:val="single" w:color="auto" w:sz="2" w:space="0"/>
              <w:right w:val="single" w:color="auto" w:sz="2" w:space="0"/>
            </w:tcBorders>
            <w:vAlign w:val="center"/>
          </w:tcPr>
          <w:p w14:paraId="07A75B06">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98" w:name="_Toc5727"/>
            <w:bookmarkStart w:id="99" w:name="_Toc69118017"/>
            <w:bookmarkStart w:id="100" w:name="_Toc29593"/>
            <w:bookmarkStart w:id="101" w:name="_Toc12968"/>
            <w:bookmarkStart w:id="102" w:name="_Toc1480"/>
            <w:r>
              <w:rPr>
                <w:rFonts w:hint="default" w:ascii="Times New Roman" w:hAnsi="Times New Roman"/>
                <w:b/>
                <w:bCs/>
                <w:color w:val="auto"/>
                <w:kern w:val="2"/>
                <w:sz w:val="21"/>
                <w:szCs w:val="21"/>
                <w:highlight w:val="none"/>
                <w:shd w:val="clear" w:color="auto" w:fill="auto"/>
              </w:rPr>
              <w:t>环境保护措施</w:t>
            </w:r>
            <w:bookmarkEnd w:id="98"/>
            <w:bookmarkEnd w:id="99"/>
            <w:bookmarkEnd w:id="100"/>
            <w:bookmarkEnd w:id="101"/>
            <w:bookmarkEnd w:id="102"/>
          </w:p>
        </w:tc>
        <w:tc>
          <w:tcPr>
            <w:tcW w:w="2124" w:type="dxa"/>
            <w:tcBorders>
              <w:top w:val="single" w:color="auto" w:sz="2" w:space="0"/>
              <w:left w:val="single" w:color="auto" w:sz="2" w:space="0"/>
              <w:bottom w:val="single" w:color="auto" w:sz="2" w:space="0"/>
              <w:right w:val="single" w:color="auto" w:sz="2" w:space="0"/>
            </w:tcBorders>
            <w:vAlign w:val="center"/>
          </w:tcPr>
          <w:p w14:paraId="3B442BC4">
            <w:pPr>
              <w:pStyle w:val="40"/>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103" w:name="_Toc3308"/>
            <w:bookmarkStart w:id="104" w:name="_Toc69118018"/>
            <w:bookmarkStart w:id="105" w:name="_Toc10470"/>
            <w:bookmarkStart w:id="106" w:name="_Toc27226"/>
            <w:bookmarkStart w:id="107" w:name="_Toc20724"/>
            <w:r>
              <w:rPr>
                <w:rFonts w:hint="default" w:ascii="Times New Roman" w:hAnsi="Times New Roman"/>
                <w:b/>
                <w:bCs/>
                <w:color w:val="auto"/>
                <w:kern w:val="2"/>
                <w:sz w:val="21"/>
                <w:szCs w:val="21"/>
                <w:highlight w:val="none"/>
                <w:shd w:val="clear" w:color="auto" w:fill="auto"/>
              </w:rPr>
              <w:t>验收要求</w:t>
            </w:r>
            <w:bookmarkEnd w:id="103"/>
            <w:bookmarkEnd w:id="104"/>
            <w:bookmarkEnd w:id="105"/>
            <w:bookmarkEnd w:id="106"/>
            <w:bookmarkEnd w:id="107"/>
          </w:p>
        </w:tc>
      </w:tr>
      <w:tr w14:paraId="777D9D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110F6EDF">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陆生生态</w:t>
            </w:r>
          </w:p>
        </w:tc>
        <w:tc>
          <w:tcPr>
            <w:tcW w:w="4874" w:type="dxa"/>
            <w:tcBorders>
              <w:top w:val="single" w:color="auto" w:sz="2" w:space="0"/>
              <w:left w:val="single" w:color="auto" w:sz="2" w:space="0"/>
              <w:bottom w:val="single" w:color="auto" w:sz="2" w:space="0"/>
              <w:right w:val="single" w:color="auto" w:sz="2" w:space="0"/>
            </w:tcBorders>
            <w:vAlign w:val="center"/>
          </w:tcPr>
          <w:p w14:paraId="4A4BC6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sz w:val="21"/>
                <w:szCs w:val="21"/>
                <w:lang w:val="en-US" w:eastAsia="zh-CN"/>
              </w:rPr>
              <w:t>施工设计阶段必须进行施工组织设计，合理规划临时施工场地，严格选择施工附属设施的布置位置，光伏列阵应避让植被长势较好的植被区，如应避让天然灌木林地，植被尽可能保留，不改变林草地性质，</w:t>
            </w:r>
            <w:r>
              <w:rPr>
                <w:rFonts w:hint="eastAsia" w:cs="Times New Roman"/>
                <w:color w:val="auto"/>
                <w:sz w:val="21"/>
                <w:szCs w:val="21"/>
                <w:lang w:val="en-US" w:eastAsia="zh-CN"/>
              </w:rPr>
              <w:t>并远离</w:t>
            </w:r>
            <w:r>
              <w:rPr>
                <w:rFonts w:hint="default" w:ascii="Times New Roman" w:hAnsi="Times New Roman" w:eastAsia="宋体" w:cs="Times New Roman"/>
                <w:color w:val="auto"/>
                <w:sz w:val="21"/>
                <w:szCs w:val="21"/>
                <w:lang w:val="en-US" w:eastAsia="zh-CN"/>
              </w:rPr>
              <w:t>线路附近的村庄，优化布置，减少占地。</w:t>
            </w:r>
          </w:p>
          <w:p w14:paraId="16CF5C39">
            <w:pPr>
              <w:pStyle w:val="91"/>
              <w:keepNext w:val="0"/>
              <w:keepLines w:val="0"/>
              <w:suppressLineNumbers w:val="0"/>
              <w:overflowPunct w:val="0"/>
              <w:spacing w:before="0" w:beforeAutospacing="0" w:after="0" w:afterAutospacing="0" w:line="240" w:lineRule="auto"/>
              <w:ind w:left="0" w:right="0" w:firstLine="420" w:firstLineChars="200"/>
              <w:jc w:val="left"/>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2）施工期临时用地应永临结合，优先利用荒地、劣地；临时占地采取隔离保护措施（如铺设草垫或棕垫），施工结束后将多余砂石料、混凝土残渣等及时清除，做到“工完、料尽、场地清”。</w:t>
            </w:r>
          </w:p>
          <w:p w14:paraId="7176B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严格施工管理，禁止超范围占地；光伏区除桩基用地外，严禁硬化地面、破坏林草植被，严禁抛荒、撂荒；施工结束后，对裸露的土地进行植被恢复、对临时占地进行修复。</w:t>
            </w:r>
          </w:p>
          <w:p w14:paraId="6E31D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4）占用林草地区域时，光伏板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尽量选用当地物种，不引入外来物种。</w:t>
            </w:r>
          </w:p>
          <w:p w14:paraId="507DF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（5）植被恢复及绿化过程中，宜采用当地植物进行“恢复性”种植，然后采取“封育”手段，促进自然恢复。在植被恢复及绿化过程中，应选择乡土树种及适合当地环境的植物，并注意乔、灌、草搭配的原则。</w:t>
            </w:r>
          </w:p>
          <w:p w14:paraId="3E1B2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光伏阵列区支架基础、箱变施工时，对周边施工场地区域造成碾压、踩踏等，在施工结束后对施工场地占用的区域进行场地清理、生态恢复。</w:t>
            </w:r>
          </w:p>
          <w:p w14:paraId="3F0B6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（7）施工结束及时完成临时设施拆除、场地清理及植被恢复；及时完成林光互补工程。</w:t>
            </w:r>
          </w:p>
          <w:p w14:paraId="6D77A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植被恢复期应注意加强管理巡查，做好浇水、施肥保障措施，若发现种植的植物死亡，应查明死亡原因，并进行补种和加强管理。</w:t>
            </w:r>
          </w:p>
          <w:p w14:paraId="179AC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）项目施工过程中、施工结束后应按照《白石岩光伏发电项目水土保持方案报告书》中的要求采取相应水保措施</w:t>
            </w:r>
            <w:r>
              <w:rPr>
                <w:rFonts w:hint="default" w:ascii="Times New Roman" w:hAnsi="Times New Roman" w:eastAsia="宋体" w:cs="Times New Roman"/>
                <w:color w:val="auto"/>
                <w:sz w:val="21"/>
                <w:szCs w:val="21"/>
                <w:lang w:val="en-US" w:eastAsia="zh-CN"/>
              </w:rPr>
              <w:t>。</w:t>
            </w:r>
          </w:p>
          <w:p w14:paraId="1F8DBF51">
            <w:pPr>
              <w:keepNext w:val="0"/>
              <w:keepLines w:val="0"/>
              <w:widowControl/>
              <w:suppressLineNumbers w:val="0"/>
              <w:shd w:val="clear"/>
              <w:spacing w:before="0" w:beforeAutospacing="0" w:after="0" w:afterAutospacing="0"/>
              <w:ind w:left="0" w:right="0" w:firstLine="420" w:firstLineChars="200"/>
              <w:jc w:val="left"/>
              <w:rPr>
                <w:rFonts w:hint="default"/>
                <w:color w:val="auto"/>
                <w:szCs w:val="21"/>
                <w:highlight w:val="none"/>
                <w:shd w:val="clear" w:color="auto" w:fill="auto"/>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建设单位应成立监督管理机构，制定相应的管理、奖惩制度，配备专职人员对工程施工的全过程进行监督管理。杜绝乱砍滥伐、捕猎行为的发生；加强林业管理，严禁捕猎鸟类、兽类、砍伐非施工区域的植物，违者应依法处理。同时注意森林防火，避免森林火灾的发生。工程建设区应设置警示牌提醒施工人员，保护生态环境。</w:t>
            </w:r>
          </w:p>
        </w:tc>
        <w:tc>
          <w:tcPr>
            <w:tcW w:w="1802" w:type="dxa"/>
            <w:tcBorders>
              <w:top w:val="single" w:color="auto" w:sz="2" w:space="0"/>
              <w:left w:val="single" w:color="auto" w:sz="2" w:space="0"/>
              <w:bottom w:val="single" w:color="auto" w:sz="2" w:space="0"/>
              <w:right w:val="single" w:color="auto" w:sz="2" w:space="0"/>
            </w:tcBorders>
            <w:vAlign w:val="center"/>
          </w:tcPr>
          <w:p w14:paraId="431C4750">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eastAsia" w:ascii="Times New Roman" w:hAnsi="Times New Roman" w:eastAsia="宋体" w:cs="Times New Roman"/>
                <w:color w:val="auto"/>
                <w:kern w:val="0"/>
                <w:sz w:val="21"/>
                <w:szCs w:val="21"/>
                <w:lang w:eastAsia="zh-CN" w:bidi="ar"/>
              </w:rPr>
              <w:t>项目</w:t>
            </w:r>
            <w:r>
              <w:rPr>
                <w:rFonts w:hint="default" w:ascii="Times New Roman" w:hAnsi="Times New Roman" w:eastAsia="宋体" w:cs="Times New Roman"/>
                <w:color w:val="auto"/>
                <w:kern w:val="0"/>
                <w:sz w:val="21"/>
                <w:szCs w:val="21"/>
                <w:lang w:bidi="ar"/>
              </w:rPr>
              <w:t>不占生态环境敏感区；不破坏施工用地范围之外植被；无</w:t>
            </w:r>
            <w:r>
              <w:rPr>
                <w:rFonts w:hint="default" w:ascii="Times New Roman" w:hAnsi="Times New Roman" w:eastAsia="宋体" w:cs="Times New Roman"/>
                <w:color w:val="auto"/>
                <w:kern w:val="0"/>
                <w:sz w:val="21"/>
                <w:szCs w:val="21"/>
                <w:lang w:eastAsia="zh-CN" w:bidi="ar"/>
              </w:rPr>
              <w:t>乱砍滥伐</w:t>
            </w:r>
            <w:r>
              <w:rPr>
                <w:rFonts w:hint="default" w:ascii="Times New Roman" w:hAnsi="Times New Roman" w:eastAsia="宋体" w:cs="Times New Roman"/>
                <w:color w:val="auto"/>
                <w:kern w:val="0"/>
                <w:sz w:val="21"/>
                <w:szCs w:val="21"/>
                <w:lang w:bidi="ar"/>
              </w:rPr>
              <w:t>、盗猎现象；施工迹地无临时建构筑物及垃圾等残留；及时开展植被恢复水保措施执行到位，达到《生产建设项目水土保持技术规范》（GB50433-2018）及《生产建设项目水土流失防治标准》（GB/T50434-2018）</w:t>
            </w:r>
            <w:r>
              <w:rPr>
                <w:rFonts w:hint="eastAsia" w:ascii="Times New Roman" w:hAnsi="Times New Roman" w:eastAsia="宋体" w:cs="Times New Roman"/>
                <w:color w:val="auto"/>
                <w:kern w:val="0"/>
                <w:sz w:val="21"/>
                <w:szCs w:val="21"/>
                <w:lang w:eastAsia="zh-CN" w:bidi="ar"/>
              </w:rPr>
              <w:t>。</w:t>
            </w:r>
          </w:p>
        </w:tc>
        <w:tc>
          <w:tcPr>
            <w:tcW w:w="3813" w:type="dxa"/>
            <w:tcBorders>
              <w:top w:val="single" w:color="auto" w:sz="2" w:space="0"/>
              <w:left w:val="single" w:color="auto" w:sz="2" w:space="0"/>
              <w:bottom w:val="single" w:color="auto" w:sz="2" w:space="0"/>
              <w:right w:val="single" w:color="auto" w:sz="2" w:space="0"/>
            </w:tcBorders>
            <w:vAlign w:val="center"/>
          </w:tcPr>
          <w:p w14:paraId="29F76E2D">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（1）严格执行《云南省能源局关于进一步支持光伏扶贫和规范光伏发电产业用地的通知》（云自然资〔2019〕196号）和《自然资源部办公厅 国家林业和草原局办公室 国家能源局综合司关于支持光伏发电产业发展规范用地管理有关工作的通知》（自然资办发〔2023〕12号），光伏复合项目，光伏板下及周围种植林业或农作物，光伏组件严格执行最低沿高于地面2.5m、桩基间列间距大于4m、行间距大于6.5m，且光伏支架最低点应高于灌木高度1米以上的要求，不破坏林业或农业生产条件，除桩基用地外，严禁硬化地面、破坏林草植被，严禁抛荒、撂荒。</w:t>
            </w:r>
          </w:p>
          <w:p w14:paraId="6149C122">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（2）光伏场区及临时道路区等临时用地区域在植被恢复过程中，应加强初期、中期的植被抚育工作。尽量采取场地封禁自然恢复，并辅以适当的人工手段；如选取本地常见的乡土物种补种补植。</w:t>
            </w:r>
          </w:p>
          <w:p w14:paraId="432A6F4B">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（3）占用林草地区域，后期光伏场区植被恢复后，生长过程中在满足电站正常运行的基础上，应尽量减少对下方及周边植物的扰动。在影响电站发电时，应尽量采取人工修剪高度的方式，避免直接清理砍伐。</w:t>
            </w:r>
          </w:p>
          <w:p w14:paraId="7504EBAE">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（4）保护当地的野生动物，禁止人为捕杀；禁止引入外来有害生物。</w:t>
            </w:r>
          </w:p>
          <w:p w14:paraId="5C02A00B">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（5）对光伏区鸟类死亡、受伤情况进行调查，必要时采取驱赶措施，降低光伏板对鸟类的影响。</w:t>
            </w:r>
          </w:p>
          <w:p w14:paraId="2CAB0BB5">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（6）光伏厂区周围建设好截排水沟，空闲地多种植本地树种，减少区域水土流失。</w:t>
            </w:r>
          </w:p>
          <w:p w14:paraId="67199D19">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（7）建设单位要做好项目区的森林草原防火工作，重点加强项目运营、检修期间的野外火源管理，落实森林草原防火管护人员和措施。</w:t>
            </w:r>
          </w:p>
          <w:p w14:paraId="2812FBED">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（8）强化光伏电站运营期环境风险管理，避免泄漏事故发生。</w:t>
            </w:r>
          </w:p>
          <w:p w14:paraId="54616C89">
            <w:pPr>
              <w:keepNext w:val="0"/>
              <w:keepLines w:val="0"/>
              <w:suppressLineNumbers w:val="0"/>
              <w:shd w:val="clear"/>
              <w:adjustRightInd w:val="0"/>
              <w:snapToGrid w:val="0"/>
              <w:spacing w:before="0" w:beforeAutospacing="0" w:after="0" w:afterAutospacing="0"/>
              <w:ind w:left="-92" w:leftChars="-44" w:right="-92" w:rightChars="-44"/>
              <w:rPr>
                <w:rFonts w:hint="default"/>
                <w:color w:val="auto"/>
                <w:szCs w:val="21"/>
                <w:highlight w:val="none"/>
                <w:shd w:val="clear" w:color="auto" w:fill="auto"/>
              </w:rPr>
            </w:pPr>
            <w:r>
              <w:rPr>
                <w:rFonts w:hint="eastAsia"/>
                <w:color w:val="auto"/>
                <w:kern w:val="0"/>
                <w:szCs w:val="21"/>
                <w:highlight w:val="none"/>
                <w:shd w:val="clear" w:color="auto" w:fill="auto"/>
                <w:lang w:bidi="ar"/>
              </w:rPr>
              <w:t>（9）在满足正常运营的同时，须保证光伏阵列下方不改变林草地用途，不得硬化或作其他用途。</w:t>
            </w:r>
          </w:p>
        </w:tc>
        <w:tc>
          <w:tcPr>
            <w:tcW w:w="2124" w:type="dxa"/>
            <w:tcBorders>
              <w:top w:val="single" w:color="auto" w:sz="2" w:space="0"/>
              <w:left w:val="single" w:color="auto" w:sz="2" w:space="0"/>
              <w:bottom w:val="single" w:color="auto" w:sz="2" w:space="0"/>
              <w:right w:val="single" w:color="auto" w:sz="2" w:space="0"/>
            </w:tcBorders>
            <w:vAlign w:val="center"/>
          </w:tcPr>
          <w:p w14:paraId="146FCA35">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kern w:val="0"/>
                <w:szCs w:val="21"/>
                <w:highlight w:val="none"/>
                <w:shd w:val="clear" w:color="auto" w:fill="auto"/>
                <w:lang w:bidi="ar"/>
              </w:rPr>
              <w:t>光伏场区植被恢复良好，场区围栏等设置保留一定的动物通行空间；施工迹地植被恢复良好；未引入外来入侵物种</w:t>
            </w:r>
          </w:p>
        </w:tc>
      </w:tr>
      <w:tr w14:paraId="3B6692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4B3FE8E8">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水生生态</w:t>
            </w:r>
          </w:p>
        </w:tc>
        <w:tc>
          <w:tcPr>
            <w:tcW w:w="4874" w:type="dxa"/>
            <w:tcBorders>
              <w:top w:val="single" w:color="auto" w:sz="2" w:space="0"/>
              <w:left w:val="single" w:color="auto" w:sz="2" w:space="0"/>
              <w:bottom w:val="single" w:color="auto" w:sz="2" w:space="0"/>
              <w:right w:val="single" w:color="auto" w:sz="2" w:space="0"/>
            </w:tcBorders>
            <w:vAlign w:val="center"/>
          </w:tcPr>
          <w:p w14:paraId="56BC836F">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48324A5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6CD5D882">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1E05D6A4">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r>
      <w:tr w14:paraId="2BA98D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6C9066CE">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地表水环境</w:t>
            </w:r>
          </w:p>
        </w:tc>
        <w:tc>
          <w:tcPr>
            <w:tcW w:w="4874" w:type="dxa"/>
            <w:tcBorders>
              <w:top w:val="single" w:color="auto" w:sz="2" w:space="0"/>
              <w:left w:val="single" w:color="auto" w:sz="2" w:space="0"/>
              <w:bottom w:val="single" w:color="auto" w:sz="2" w:space="0"/>
              <w:right w:val="single" w:color="auto" w:sz="2" w:space="0"/>
            </w:tcBorders>
            <w:vAlign w:val="center"/>
          </w:tcPr>
          <w:p w14:paraId="2A321713">
            <w:pPr>
              <w:keepNext w:val="0"/>
              <w:keepLines w:val="0"/>
              <w:suppressLineNumbers w:val="0"/>
              <w:spacing w:before="0" w:beforeAutospacing="0" w:after="0" w:afterAutospacing="0" w:line="240" w:lineRule="auto"/>
              <w:ind w:left="0" w:right="0" w:firstLine="420" w:firstLineChars="200"/>
              <w:rPr>
                <w:rFonts w:hint="default" w:ascii="Times New Roman" w:hAnsi="Times New Roman" w:eastAsia="宋体" w:cs="Times New Roman"/>
                <w:color w:val="auto"/>
                <w:sz w:val="21"/>
                <w:szCs w:val="21"/>
                <w:lang w:val="en-US" w:eastAsia="zh-CN"/>
              </w:rPr>
            </w:pPr>
            <w:r>
              <w:rPr>
                <w:rFonts w:hint="default"/>
                <w:color w:val="auto"/>
                <w:sz w:val="21"/>
                <w:szCs w:val="21"/>
              </w:rPr>
              <w:t>（1）</w:t>
            </w:r>
            <w:r>
              <w:rPr>
                <w:rFonts w:hint="default" w:ascii="Times New Roman" w:hAnsi="Times New Roman" w:eastAsia="宋体" w:cs="Times New Roman"/>
                <w:color w:val="auto"/>
                <w:sz w:val="21"/>
                <w:szCs w:val="21"/>
                <w:lang w:val="en-US" w:eastAsia="zh-CN"/>
              </w:rPr>
              <w:t>施工期间应按照水保要求优先完成区内排水沟和沉砂池，为排出场内汇水，光</w:t>
            </w:r>
            <w:r>
              <w:rPr>
                <w:rFonts w:hint="default" w:ascii="Times New Roman" w:hAnsi="Times New Roman" w:eastAsia="宋体" w:cs="Times New Roman"/>
                <w:color w:val="auto"/>
                <w:sz w:val="21"/>
                <w:szCs w:val="21"/>
                <w:highlight w:val="none"/>
                <w:lang w:val="en-US" w:eastAsia="zh-CN"/>
              </w:rPr>
              <w:t>伏方阵区上游应修建排水</w:t>
            </w:r>
            <w:r>
              <w:rPr>
                <w:rFonts w:hint="default" w:ascii="Times New Roman" w:hAnsi="Times New Roman" w:eastAsia="宋体" w:cs="Times New Roman"/>
                <w:color w:val="auto"/>
                <w:sz w:val="21"/>
                <w:szCs w:val="21"/>
                <w:lang w:val="en-US" w:eastAsia="zh-CN"/>
              </w:rPr>
              <w:t>沟；临时施工场地四周布置临时排水沟，末端设置临时沉砂池；雨水径流经沉砂池沉淀处理后，接入周围地表水体。</w:t>
            </w:r>
          </w:p>
          <w:p w14:paraId="60BA282A">
            <w:pPr>
              <w:keepNext w:val="0"/>
              <w:keepLines w:val="0"/>
              <w:suppressLineNumbers w:val="0"/>
              <w:spacing w:before="0" w:beforeAutospacing="0" w:after="0" w:afterAutospacing="0" w:line="240" w:lineRule="auto"/>
              <w:ind w:left="0" w:right="0" w:firstLine="420" w:firstLineChars="200"/>
              <w:rPr>
                <w:rFonts w:hint="default"/>
                <w:color w:val="auto"/>
                <w:sz w:val="21"/>
                <w:szCs w:val="21"/>
              </w:rPr>
            </w:pPr>
            <w:r>
              <w:rPr>
                <w:rFonts w:hint="default"/>
                <w:color w:val="auto"/>
                <w:sz w:val="21"/>
                <w:szCs w:val="21"/>
              </w:rPr>
              <w:t>（</w:t>
            </w:r>
            <w:r>
              <w:rPr>
                <w:rFonts w:hint="eastAsia"/>
                <w:color w:val="auto"/>
                <w:sz w:val="21"/>
                <w:szCs w:val="21"/>
                <w:lang w:val="en-US" w:eastAsia="zh-CN"/>
              </w:rPr>
              <w:t>2</w:t>
            </w:r>
            <w:r>
              <w:rPr>
                <w:rFonts w:hint="default"/>
                <w:color w:val="auto"/>
                <w:sz w:val="21"/>
                <w:szCs w:val="21"/>
              </w:rPr>
              <w:t>）加强管理，做好机械的日常维修保养，杜绝跑、冒、滴、漏现象。另外，雨天应对各类机械、粉状物料进行遮盖防雨。</w:t>
            </w:r>
          </w:p>
          <w:p w14:paraId="6DBD07ED">
            <w:pPr>
              <w:keepNext w:val="0"/>
              <w:keepLines w:val="0"/>
              <w:suppressLineNumbers w:val="0"/>
              <w:spacing w:before="0" w:beforeAutospacing="0" w:after="0" w:afterAutospacing="0" w:line="240" w:lineRule="auto"/>
              <w:ind w:left="0" w:right="0" w:firstLine="420" w:firstLineChars="200"/>
              <w:rPr>
                <w:rFonts w:hint="default"/>
                <w:color w:val="auto"/>
                <w:sz w:val="21"/>
                <w:szCs w:val="21"/>
              </w:rPr>
            </w:pPr>
            <w:r>
              <w:rPr>
                <w:rFonts w:hint="default"/>
                <w:color w:val="auto"/>
                <w:sz w:val="21"/>
                <w:szCs w:val="21"/>
              </w:rPr>
              <w:t>（</w:t>
            </w:r>
            <w:r>
              <w:rPr>
                <w:rFonts w:hint="eastAsia"/>
                <w:color w:val="auto"/>
                <w:sz w:val="21"/>
                <w:szCs w:val="21"/>
                <w:lang w:val="en-US" w:eastAsia="zh-CN"/>
              </w:rPr>
              <w:t>3</w:t>
            </w:r>
            <w:r>
              <w:rPr>
                <w:rFonts w:hint="default"/>
                <w:color w:val="auto"/>
                <w:sz w:val="21"/>
                <w:szCs w:val="21"/>
              </w:rPr>
              <w:t>）节约用水，减少施工废水的产生，且尽量避免雨季土石方施工，暴雨期间停止地基开挖等扰动地表类的施工。禁止任何施工废水排入周边地表水。</w:t>
            </w:r>
          </w:p>
          <w:p w14:paraId="570CB1BE">
            <w:pPr>
              <w:keepNext w:val="0"/>
              <w:keepLines w:val="0"/>
              <w:suppressLineNumbers w:val="0"/>
              <w:spacing w:before="0" w:beforeAutospacing="0" w:after="0" w:afterAutospacing="0" w:line="240" w:lineRule="auto"/>
              <w:ind w:left="0" w:right="0" w:firstLine="420" w:firstLineChars="200"/>
              <w:rPr>
                <w:rFonts w:hint="default"/>
                <w:color w:val="auto"/>
                <w:szCs w:val="21"/>
                <w:highlight w:val="none"/>
                <w:shd w:val="clear" w:color="auto" w:fill="auto"/>
              </w:rPr>
            </w:pPr>
            <w:r>
              <w:rPr>
                <w:rFonts w:hint="eastAsia" w:eastAsia="宋体"/>
                <w:color w:val="auto"/>
                <w:sz w:val="21"/>
                <w:szCs w:val="21"/>
                <w:lang w:val="en-US" w:eastAsia="zh-CN"/>
              </w:rPr>
              <w:t>（4）对饮用水水源保护区的防控措施：①严格划定施工范围，禁止超范围施工。②严格按照水保方案进行水土保持，避免施工期大量水土流失对地表水体造成扰动。③严禁在保护区范围内挖沙、取土等，不向水体中倾倒固体废物，不破坏保护区相关设施。禁止施工人员在饮用水水源保护区进行捕鱼、游泳等活动。④施工时设立警示牌，提醒施工人员注意保护水源地环境。⑤施工监理单位人员加大对水源保护区附近光伏方阵的监理力度。</w:t>
            </w:r>
          </w:p>
        </w:tc>
        <w:tc>
          <w:tcPr>
            <w:tcW w:w="1802" w:type="dxa"/>
            <w:tcBorders>
              <w:top w:val="single" w:color="auto" w:sz="2" w:space="0"/>
              <w:left w:val="single" w:color="auto" w:sz="2" w:space="0"/>
              <w:bottom w:val="single" w:color="auto" w:sz="2" w:space="0"/>
              <w:right w:val="single" w:color="auto" w:sz="2" w:space="0"/>
            </w:tcBorders>
            <w:vAlign w:val="center"/>
          </w:tcPr>
          <w:p w14:paraId="54B354A6">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施工废水不外排</w:t>
            </w:r>
          </w:p>
        </w:tc>
        <w:tc>
          <w:tcPr>
            <w:tcW w:w="3813" w:type="dxa"/>
            <w:tcBorders>
              <w:top w:val="single" w:color="auto" w:sz="2" w:space="0"/>
              <w:left w:val="single" w:color="auto" w:sz="2" w:space="0"/>
              <w:bottom w:val="single" w:color="auto" w:sz="2" w:space="0"/>
              <w:right w:val="single" w:color="auto" w:sz="2" w:space="0"/>
            </w:tcBorders>
            <w:vAlign w:val="center"/>
          </w:tcPr>
          <w:p w14:paraId="31A68B92">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太阳能电池板尽量在旱季进行清洗，产生的清洗废水由光伏板下方林草植被吸收，不外排。</w:t>
            </w:r>
          </w:p>
        </w:tc>
        <w:tc>
          <w:tcPr>
            <w:tcW w:w="2124" w:type="dxa"/>
            <w:tcBorders>
              <w:top w:val="single" w:color="auto" w:sz="2" w:space="0"/>
              <w:left w:val="single" w:color="auto" w:sz="2" w:space="0"/>
              <w:bottom w:val="single" w:color="auto" w:sz="2" w:space="0"/>
              <w:right w:val="single" w:color="auto" w:sz="2" w:space="0"/>
            </w:tcBorders>
            <w:vAlign w:val="center"/>
          </w:tcPr>
          <w:p w14:paraId="417E326A">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eastAsia"/>
                <w:color w:val="auto"/>
                <w:spacing w:val="1"/>
                <w:szCs w:val="21"/>
                <w:highlight w:val="none"/>
                <w:shd w:val="clear" w:color="auto" w:fill="auto"/>
              </w:rPr>
              <w:t>废水</w:t>
            </w:r>
            <w:r>
              <w:rPr>
                <w:rFonts w:hint="default"/>
                <w:color w:val="auto"/>
                <w:szCs w:val="21"/>
                <w:highlight w:val="none"/>
                <w:shd w:val="clear" w:color="auto" w:fill="auto"/>
              </w:rPr>
              <w:t>不外排</w:t>
            </w:r>
          </w:p>
        </w:tc>
      </w:tr>
      <w:tr w14:paraId="1DB376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760E9FF5">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地下水及土壤环境</w:t>
            </w:r>
          </w:p>
        </w:tc>
        <w:tc>
          <w:tcPr>
            <w:tcW w:w="4874" w:type="dxa"/>
            <w:tcBorders>
              <w:top w:val="single" w:color="auto" w:sz="2" w:space="0"/>
              <w:left w:val="single" w:color="auto" w:sz="2" w:space="0"/>
              <w:bottom w:val="single" w:color="auto" w:sz="2" w:space="0"/>
              <w:right w:val="single" w:color="auto" w:sz="2" w:space="0"/>
            </w:tcBorders>
            <w:vAlign w:val="center"/>
          </w:tcPr>
          <w:p w14:paraId="3C7AF8E1">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24519DE6">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51701C28">
            <w:pPr>
              <w:keepNext w:val="0"/>
              <w:keepLines w:val="0"/>
              <w:widowControl/>
              <w:suppressLineNumbers w:val="0"/>
              <w:spacing w:before="0" w:beforeAutospacing="0" w:after="0" w:afterAutospacing="0"/>
              <w:ind w:left="0" w:right="0"/>
              <w:jc w:val="left"/>
              <w:rPr>
                <w:rFonts w:hint="default"/>
                <w:color w:val="auto"/>
                <w:szCs w:val="21"/>
                <w:highlight w:val="none"/>
                <w:shd w:val="clear" w:color="auto" w:fill="auto"/>
              </w:rPr>
            </w:pPr>
            <w:r>
              <w:rPr>
                <w:rFonts w:hint="default" w:ascii="Times New Roman" w:hAnsi="Times New Roman" w:eastAsia="宋体" w:cs="Times New Roman"/>
                <w:color w:val="auto"/>
                <w:kern w:val="0"/>
                <w:sz w:val="21"/>
                <w:szCs w:val="21"/>
                <w:lang w:val="en-US" w:eastAsia="zh-CN" w:bidi="ar"/>
              </w:rPr>
              <w:t>箱式变压器、</w:t>
            </w:r>
            <w:r>
              <w:rPr>
                <w:rFonts w:hint="eastAsia" w:ascii="宋体" w:hAnsi="宋体" w:eastAsia="宋体" w:cs="宋体"/>
                <w:color w:val="auto"/>
                <w:kern w:val="0"/>
                <w:sz w:val="21"/>
                <w:szCs w:val="21"/>
                <w:lang w:val="en-US" w:eastAsia="zh-CN" w:bidi="ar"/>
              </w:rPr>
              <w:t>事故油池设置防渗层，</w:t>
            </w:r>
            <w:r>
              <w:rPr>
                <w:rFonts w:hint="default" w:ascii="Times New Roman" w:hAnsi="Times New Roman" w:eastAsia="宋体" w:cs="Times New Roman"/>
                <w:color w:val="auto"/>
                <w:sz w:val="21"/>
                <w:szCs w:val="21"/>
                <w:highlight w:val="none"/>
                <w:shd w:val="clear" w:color="auto" w:fill="auto"/>
              </w:rPr>
              <w:t>等效黏土防渗层Mb≥6m，K≤1×10</w:t>
            </w:r>
            <w:r>
              <w:rPr>
                <w:rFonts w:hint="default" w:ascii="Times New Roman" w:hAnsi="Times New Roman" w:eastAsia="宋体" w:cs="Times New Roman"/>
                <w:color w:val="auto"/>
                <w:sz w:val="21"/>
                <w:szCs w:val="21"/>
                <w:highlight w:val="none"/>
                <w:shd w:val="clear" w:color="auto" w:fill="auto"/>
                <w:vertAlign w:val="superscript"/>
              </w:rPr>
              <w:t>-7</w:t>
            </w:r>
            <w:r>
              <w:rPr>
                <w:rFonts w:hint="default" w:ascii="Times New Roman" w:hAnsi="Times New Roman" w:eastAsia="宋体" w:cs="Times New Roman"/>
                <w:color w:val="auto"/>
                <w:sz w:val="21"/>
                <w:szCs w:val="21"/>
                <w:highlight w:val="none"/>
                <w:shd w:val="clear" w:color="auto" w:fill="auto"/>
              </w:rPr>
              <w:t>cm/s，或</w:t>
            </w:r>
            <w:r>
              <w:rPr>
                <w:rFonts w:hint="eastAsia" w:ascii="Times New Roman" w:hAnsi="Times New Roman" w:eastAsia="宋体" w:cs="Times New Roman"/>
                <w:color w:val="auto"/>
                <w:sz w:val="21"/>
                <w:szCs w:val="21"/>
                <w:highlight w:val="none"/>
                <w:shd w:val="clear" w:color="auto" w:fill="auto"/>
                <w:lang w:val="en-US" w:eastAsia="zh-CN"/>
              </w:rPr>
              <w:t>至少</w:t>
            </w:r>
            <w:r>
              <w:rPr>
                <w:rFonts w:hint="default" w:ascii="Times New Roman" w:hAnsi="Times New Roman" w:eastAsia="宋体" w:cs="Times New Roman"/>
                <w:color w:val="auto"/>
                <w:sz w:val="21"/>
                <w:szCs w:val="21"/>
                <w:highlight w:val="none"/>
                <w:shd w:val="clear" w:color="auto" w:fill="auto"/>
              </w:rPr>
              <w:t>2mm厚高密度聚乙烯</w:t>
            </w:r>
            <w:r>
              <w:rPr>
                <w:rFonts w:hint="eastAsia" w:ascii="Times New Roman" w:hAnsi="Times New Roman" w:eastAsia="宋体" w:cs="Times New Roman"/>
                <w:color w:val="auto"/>
                <w:sz w:val="21"/>
                <w:szCs w:val="21"/>
                <w:highlight w:val="none"/>
                <w:shd w:val="clear" w:color="auto" w:fill="auto"/>
                <w:lang w:val="en-US" w:eastAsia="zh-CN"/>
              </w:rPr>
              <w:t>膜等人工防渗材料（渗透系数</w:t>
            </w:r>
            <w:r>
              <w:rPr>
                <w:rFonts w:hint="default" w:ascii="Times New Roman" w:hAnsi="Times New Roman" w:eastAsia="宋体" w:cs="Times New Roman"/>
                <w:color w:val="auto"/>
                <w:sz w:val="21"/>
                <w:szCs w:val="21"/>
                <w:highlight w:val="none"/>
                <w:shd w:val="clear" w:color="auto" w:fill="auto"/>
                <w:lang w:val="zh-CN"/>
              </w:rPr>
              <w:t>≤</w:t>
            </w:r>
            <w:r>
              <w:rPr>
                <w:rFonts w:hint="default" w:ascii="Times New Roman" w:hAnsi="Times New Roman" w:eastAsia="宋体" w:cs="Times New Roman"/>
                <w:color w:val="auto"/>
                <w:sz w:val="21"/>
                <w:szCs w:val="21"/>
                <w:highlight w:val="none"/>
                <w:shd w:val="clear" w:color="auto" w:fill="auto"/>
              </w:rPr>
              <w:t>1×</w:t>
            </w:r>
            <w:r>
              <w:rPr>
                <w:rFonts w:hint="default" w:ascii="Times New Roman" w:hAnsi="Times New Roman" w:eastAsia="宋体" w:cs="Times New Roman"/>
                <w:color w:val="auto"/>
                <w:sz w:val="21"/>
                <w:szCs w:val="21"/>
                <w:highlight w:val="none"/>
                <w:shd w:val="clear" w:color="auto" w:fill="auto"/>
                <w:lang w:val="zh-CN"/>
              </w:rPr>
              <w:t>10</w:t>
            </w:r>
            <w:r>
              <w:rPr>
                <w:rFonts w:hint="default" w:ascii="Times New Roman" w:hAnsi="Times New Roman" w:eastAsia="宋体" w:cs="Times New Roman"/>
                <w:color w:val="auto"/>
                <w:sz w:val="21"/>
                <w:szCs w:val="21"/>
                <w:highlight w:val="none"/>
                <w:shd w:val="clear" w:color="auto" w:fill="auto"/>
                <w:vertAlign w:val="superscript"/>
                <w:lang w:val="zh-CN"/>
              </w:rPr>
              <w:t>-</w:t>
            </w:r>
            <w:r>
              <w:rPr>
                <w:rFonts w:hint="eastAsia" w:ascii="Times New Roman" w:hAnsi="Times New Roman" w:eastAsia="宋体" w:cs="Times New Roman"/>
                <w:color w:val="auto"/>
                <w:sz w:val="21"/>
                <w:szCs w:val="21"/>
                <w:highlight w:val="none"/>
                <w:shd w:val="clear" w:color="auto" w:fill="auto"/>
                <w:vertAlign w:val="superscript"/>
                <w:lang w:val="en-US" w:eastAsia="zh-CN"/>
              </w:rPr>
              <w:t>10</w:t>
            </w:r>
            <w:r>
              <w:rPr>
                <w:rFonts w:hint="default" w:ascii="Times New Roman" w:hAnsi="Times New Roman" w:eastAsia="宋体" w:cs="Times New Roman"/>
                <w:color w:val="auto"/>
                <w:sz w:val="21"/>
                <w:szCs w:val="21"/>
                <w:highlight w:val="none"/>
                <w:shd w:val="clear" w:color="auto" w:fill="auto"/>
                <w:lang w:val="zh-CN"/>
              </w:rPr>
              <w:t>cm/s</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或其他防渗性能等效的材料。</w:t>
            </w:r>
          </w:p>
        </w:tc>
        <w:tc>
          <w:tcPr>
            <w:tcW w:w="2124" w:type="dxa"/>
            <w:tcBorders>
              <w:top w:val="single" w:color="auto" w:sz="2" w:space="0"/>
              <w:left w:val="single" w:color="auto" w:sz="2" w:space="0"/>
              <w:bottom w:val="single" w:color="auto" w:sz="2" w:space="0"/>
              <w:right w:val="single" w:color="auto" w:sz="2" w:space="0"/>
            </w:tcBorders>
            <w:vAlign w:val="center"/>
          </w:tcPr>
          <w:p w14:paraId="31F5A6EA">
            <w:pPr>
              <w:keepNext w:val="0"/>
              <w:keepLines w:val="0"/>
              <w:suppressLineNumbers w:val="0"/>
              <w:shd w:val="clear"/>
              <w:adjustRightInd w:val="0"/>
              <w:snapToGrid w:val="0"/>
              <w:spacing w:before="0" w:beforeAutospacing="0" w:after="0" w:afterAutospacing="0"/>
              <w:ind w:left="0" w:right="0"/>
              <w:rPr>
                <w:rFonts w:hint="default" w:eastAsia="宋体"/>
                <w:color w:val="auto"/>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满足</w:t>
            </w:r>
            <w:r>
              <w:rPr>
                <w:rFonts w:hint="default" w:ascii="Times New Roman" w:hAnsi="Times New Roman" w:eastAsia="宋体" w:cs="Times New Roman"/>
                <w:color w:val="auto"/>
                <w:sz w:val="21"/>
                <w:szCs w:val="21"/>
                <w:highlight w:val="none"/>
                <w:shd w:val="clear" w:color="auto" w:fill="auto"/>
                <w:lang w:val="en-US" w:eastAsia="zh-CN"/>
              </w:rPr>
              <w:t>《环境影响评价技术导则 地下水环境》（HJ610-2016）</w:t>
            </w:r>
            <w:r>
              <w:rPr>
                <w:rFonts w:hint="eastAsia" w:ascii="Times New Roman" w:hAnsi="Times New Roman" w:eastAsia="宋体" w:cs="Times New Roman"/>
                <w:color w:val="auto"/>
                <w:sz w:val="21"/>
                <w:szCs w:val="21"/>
                <w:highlight w:val="none"/>
                <w:shd w:val="clear" w:color="auto" w:fill="auto"/>
                <w:lang w:val="en-US" w:eastAsia="zh-CN"/>
              </w:rPr>
              <w:t>和</w:t>
            </w:r>
            <w:r>
              <w:rPr>
                <w:rFonts w:hint="default" w:ascii="Times New Roman" w:hAnsi="Times New Roman" w:eastAsia="宋体" w:cs="Times New Roman"/>
                <w:color w:val="auto"/>
                <w:sz w:val="21"/>
                <w:szCs w:val="21"/>
                <w:highlight w:val="none"/>
                <w:shd w:val="clear" w:color="auto" w:fill="auto"/>
              </w:rPr>
              <w:t>《危险废物贮存污染控制标准》（GB 18597-20</w:t>
            </w:r>
            <w:r>
              <w:rPr>
                <w:rFonts w:hint="default"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要求</w:t>
            </w:r>
          </w:p>
        </w:tc>
      </w:tr>
      <w:tr w14:paraId="5AE81B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00BF107A">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声环境</w:t>
            </w:r>
          </w:p>
        </w:tc>
        <w:tc>
          <w:tcPr>
            <w:tcW w:w="4874" w:type="dxa"/>
            <w:tcBorders>
              <w:top w:val="single" w:color="auto" w:sz="2" w:space="0"/>
              <w:left w:val="single" w:color="auto" w:sz="2" w:space="0"/>
              <w:bottom w:val="single" w:color="auto" w:sz="2" w:space="0"/>
              <w:right w:val="single" w:color="auto" w:sz="2" w:space="0"/>
            </w:tcBorders>
            <w:vAlign w:val="center"/>
          </w:tcPr>
          <w:p w14:paraId="4AF5272A">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（1）使用低噪声机械设备，同时对设备进行定期保养和维护，严格操作规范和操作规程，减少设备噪声的产生；</w:t>
            </w:r>
          </w:p>
          <w:p w14:paraId="74BE6082">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（2）做好设备保养维护工作，以最大限度的减轻高噪声施工机械对周围环境的影响；</w:t>
            </w:r>
          </w:p>
          <w:p w14:paraId="0FE7D215">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（3）项目方还应该加强对施工人员的管理，做到文明施工，避免人为噪声的产生；</w:t>
            </w:r>
          </w:p>
          <w:p w14:paraId="520E7E4C">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（4）施工车辆一般禁鸣喇叭；在施工现场禁止大声喧哗吵闹或敲击工具等；</w:t>
            </w:r>
          </w:p>
          <w:p w14:paraId="24097C60">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（5）作业中搬运物件，必须轻拿轻放，钢铁件堆放不发出大的声响，严禁抛掷物件而造成噪声；</w:t>
            </w:r>
          </w:p>
          <w:p w14:paraId="5974E3F5">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（6）合理安排施工时间：合理安排施工时间，除工程必须，并取得主管部门批准，严禁在22：00-6：00期间施工；</w:t>
            </w:r>
          </w:p>
          <w:p w14:paraId="30C77749">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（7）施工期间建设单位应与施工方签订环境管理责任书，具体落实施工期噪声防治措施，并且加强与周围可能受影响单位的沟通，减轻对声环境的不利影响。</w:t>
            </w:r>
          </w:p>
        </w:tc>
        <w:tc>
          <w:tcPr>
            <w:tcW w:w="1802" w:type="dxa"/>
            <w:tcBorders>
              <w:top w:val="single" w:color="auto" w:sz="2" w:space="0"/>
              <w:left w:val="single" w:color="auto" w:sz="2" w:space="0"/>
              <w:bottom w:val="single" w:color="auto" w:sz="2" w:space="0"/>
              <w:right w:val="single" w:color="auto" w:sz="2" w:space="0"/>
            </w:tcBorders>
            <w:vAlign w:val="center"/>
          </w:tcPr>
          <w:p w14:paraId="61F45B22">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highlight w:val="none"/>
                <w:shd w:val="clear" w:color="auto" w:fill="auto"/>
              </w:rPr>
              <w:t>噪声满足</w:t>
            </w:r>
            <w:r>
              <w:rPr>
                <w:rFonts w:hint="default"/>
                <w:color w:val="auto"/>
                <w:szCs w:val="21"/>
                <w:highlight w:val="none"/>
                <w:shd w:val="clear" w:color="auto" w:fill="auto"/>
              </w:rPr>
              <w:t>《建筑施工场界环境噪声排放标准》（GB12523-2011）</w:t>
            </w:r>
            <w:r>
              <w:rPr>
                <w:rFonts w:hint="eastAsia"/>
                <w:color w:val="auto"/>
                <w:szCs w:val="21"/>
                <w:highlight w:val="none"/>
                <w:shd w:val="clear" w:color="auto" w:fill="auto"/>
              </w:rPr>
              <w:t>的要求</w:t>
            </w:r>
          </w:p>
        </w:tc>
        <w:tc>
          <w:tcPr>
            <w:tcW w:w="3813" w:type="dxa"/>
            <w:tcBorders>
              <w:top w:val="single" w:color="auto" w:sz="2" w:space="0"/>
              <w:left w:val="single" w:color="auto" w:sz="2" w:space="0"/>
              <w:bottom w:val="single" w:color="auto" w:sz="2" w:space="0"/>
              <w:right w:val="single" w:color="auto" w:sz="2" w:space="0"/>
            </w:tcBorders>
            <w:vAlign w:val="center"/>
          </w:tcPr>
          <w:p w14:paraId="2CF73FE8">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箱式变压器、逆变器选用低噪声类型设备，均设置外壳隔声；设备底部基础安装减振垫；加强对逆变器和箱式变压器的定期检查维护使其处于正常稳定的运行状态。</w:t>
            </w:r>
          </w:p>
        </w:tc>
        <w:tc>
          <w:tcPr>
            <w:tcW w:w="2124" w:type="dxa"/>
            <w:tcBorders>
              <w:top w:val="single" w:color="auto" w:sz="2" w:space="0"/>
              <w:left w:val="single" w:color="auto" w:sz="2" w:space="0"/>
              <w:bottom w:val="single" w:color="auto" w:sz="2" w:space="0"/>
              <w:right w:val="single" w:color="auto" w:sz="2" w:space="0"/>
            </w:tcBorders>
            <w:vAlign w:val="center"/>
          </w:tcPr>
          <w:p w14:paraId="72E9DA2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《工业企业厂界环境噪声排放标准》</w:t>
            </w:r>
            <w:r>
              <w:rPr>
                <w:rFonts w:hint="eastAsia"/>
                <w:color w:val="auto"/>
                <w:szCs w:val="21"/>
                <w:highlight w:val="none"/>
                <w:shd w:val="clear" w:color="auto" w:fill="auto"/>
              </w:rPr>
              <w:t>（</w:t>
            </w:r>
            <w:r>
              <w:rPr>
                <w:rFonts w:hint="default"/>
                <w:color w:val="auto"/>
                <w:szCs w:val="21"/>
                <w:highlight w:val="none"/>
                <w:shd w:val="clear" w:color="auto" w:fill="auto"/>
              </w:rPr>
              <w:t>GB12348-2008</w:t>
            </w:r>
            <w:r>
              <w:rPr>
                <w:rFonts w:hint="eastAsia"/>
                <w:color w:val="auto"/>
                <w:szCs w:val="21"/>
                <w:highlight w:val="none"/>
                <w:shd w:val="clear" w:color="auto" w:fill="auto"/>
              </w:rPr>
              <w:t>）</w:t>
            </w:r>
            <w:r>
              <w:rPr>
                <w:rFonts w:hint="eastAsia"/>
                <w:color w:val="auto"/>
                <w:szCs w:val="21"/>
                <w:highlight w:val="none"/>
                <w:shd w:val="clear" w:color="auto" w:fill="auto"/>
                <w:lang w:val="en-US" w:eastAsia="zh-CN"/>
              </w:rPr>
              <w:t>1</w:t>
            </w:r>
            <w:r>
              <w:rPr>
                <w:rFonts w:hint="default"/>
                <w:color w:val="auto"/>
                <w:szCs w:val="21"/>
                <w:highlight w:val="none"/>
                <w:shd w:val="clear" w:color="auto" w:fill="auto"/>
              </w:rPr>
              <w:t>类标准</w:t>
            </w:r>
          </w:p>
        </w:tc>
      </w:tr>
      <w:tr w14:paraId="5AB223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41BACA26">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振动</w:t>
            </w:r>
          </w:p>
        </w:tc>
        <w:tc>
          <w:tcPr>
            <w:tcW w:w="4874" w:type="dxa"/>
            <w:tcBorders>
              <w:top w:val="single" w:color="auto" w:sz="2" w:space="0"/>
              <w:left w:val="single" w:color="auto" w:sz="2" w:space="0"/>
              <w:bottom w:val="single" w:color="auto" w:sz="2" w:space="0"/>
              <w:right w:val="single" w:color="auto" w:sz="2" w:space="0"/>
            </w:tcBorders>
            <w:vAlign w:val="center"/>
          </w:tcPr>
          <w:p w14:paraId="2FCE4751">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49DAAB2B">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78289363">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3CD50CD7">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r>
      <w:tr w14:paraId="5BB4D9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2865C864">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大气环境</w:t>
            </w:r>
          </w:p>
        </w:tc>
        <w:tc>
          <w:tcPr>
            <w:tcW w:w="4874" w:type="dxa"/>
            <w:tcBorders>
              <w:top w:val="single" w:color="auto" w:sz="2" w:space="0"/>
              <w:left w:val="single" w:color="auto" w:sz="2" w:space="0"/>
              <w:bottom w:val="single" w:color="auto" w:sz="2" w:space="0"/>
              <w:right w:val="single" w:color="auto" w:sz="2" w:space="0"/>
            </w:tcBorders>
            <w:vAlign w:val="center"/>
          </w:tcPr>
          <w:p w14:paraId="062BD3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bCs/>
                <w:color w:val="auto"/>
                <w:spacing w:val="0"/>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租用</w:t>
            </w:r>
            <w:r>
              <w:rPr>
                <w:rFonts w:hint="default" w:ascii="Times New Roman" w:hAnsi="Times New Roman" w:eastAsia="宋体" w:cs="Times New Roman"/>
                <w:color w:val="auto"/>
                <w:sz w:val="21"/>
                <w:szCs w:val="21"/>
                <w:lang w:val="en-US" w:eastAsia="zh-CN"/>
              </w:rPr>
              <w:t>1辆洒水车，</w:t>
            </w:r>
            <w:r>
              <w:rPr>
                <w:rFonts w:hint="eastAsia" w:ascii="Times New Roman" w:hAnsi="Times New Roman" w:eastAsia="宋体" w:cs="Times New Roman"/>
                <w:bCs/>
                <w:color w:val="auto"/>
                <w:spacing w:val="0"/>
                <w:sz w:val="21"/>
                <w:szCs w:val="21"/>
                <w:lang w:val="en-US" w:eastAsia="zh-CN"/>
              </w:rPr>
              <w:t>施工期间根据具体情况适时对施工现场、交通道路洒水至少</w:t>
            </w:r>
            <w:r>
              <w:rPr>
                <w:rFonts w:hint="default" w:ascii="Times New Roman" w:hAnsi="Times New Roman" w:eastAsia="宋体" w:cs="Times New Roman"/>
                <w:bCs/>
                <w:color w:val="auto"/>
                <w:spacing w:val="0"/>
                <w:sz w:val="21"/>
                <w:szCs w:val="21"/>
                <w:lang w:val="en-US" w:eastAsia="zh-CN"/>
              </w:rPr>
              <w:t>2</w:t>
            </w:r>
            <w:r>
              <w:rPr>
                <w:rFonts w:hint="eastAsia" w:ascii="Times New Roman" w:hAnsi="Times New Roman" w:eastAsia="宋体" w:cs="Times New Roman"/>
                <w:bCs/>
                <w:color w:val="auto"/>
                <w:spacing w:val="0"/>
                <w:sz w:val="21"/>
                <w:szCs w:val="21"/>
                <w:lang w:val="en-US" w:eastAsia="zh-CN"/>
              </w:rPr>
              <w:t>次（降雨日除外），春季干旱多风日可适当增加洒水次数，车辆物资运输经过的路段应增加洒水次数。重点加强对施工现场及居民点附近交通道路的洒水降尘</w:t>
            </w:r>
            <w:r>
              <w:rPr>
                <w:rFonts w:hint="eastAsia" w:cs="Times New Roman"/>
                <w:bCs/>
                <w:color w:val="auto"/>
                <w:spacing w:val="0"/>
                <w:sz w:val="21"/>
                <w:szCs w:val="21"/>
                <w:lang w:val="en-US" w:eastAsia="zh-CN"/>
              </w:rPr>
              <w:t>；施工区</w:t>
            </w:r>
            <w:r>
              <w:rPr>
                <w:rFonts w:hint="default" w:ascii="Times New Roman" w:hAnsi="Times New Roman" w:eastAsia="宋体" w:cs="Times New Roman"/>
                <w:color w:val="auto"/>
                <w:sz w:val="21"/>
                <w:szCs w:val="21"/>
                <w:lang w:val="en-US" w:eastAsia="zh-CN"/>
              </w:rPr>
              <w:t>散体材料库内存放、露天存放应采用防尘网遮盖，表土堆场土工布遮盖</w:t>
            </w:r>
            <w:r>
              <w:rPr>
                <w:rFonts w:hint="eastAsia" w:ascii="Times New Roman" w:hAnsi="Times New Roman" w:eastAsia="宋体" w:cs="Times New Roman"/>
                <w:color w:val="auto"/>
                <w:sz w:val="21"/>
                <w:szCs w:val="21"/>
                <w:lang w:val="en-US" w:eastAsia="zh-CN"/>
              </w:rPr>
              <w:t>；</w:t>
            </w:r>
          </w:p>
          <w:p w14:paraId="56A335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 xml:space="preserve">）在施工中合理组织施工，缩短施工时间，尽量减少施工污染； </w:t>
            </w:r>
          </w:p>
          <w:p w14:paraId="44076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）加强监督管理，运输车辆采取篷布遮盖等封闭措施，以避免运输途中砂石、水泥等</w:t>
            </w:r>
            <w:r>
              <w:rPr>
                <w:rFonts w:hint="eastAsia" w:cs="Times New Roman"/>
                <w:color w:val="auto"/>
                <w:sz w:val="21"/>
                <w:szCs w:val="21"/>
                <w:lang w:val="en-US" w:eastAsia="zh-CN"/>
              </w:rPr>
              <w:t>固体</w:t>
            </w:r>
            <w:r>
              <w:rPr>
                <w:rFonts w:hint="default" w:ascii="Times New Roman" w:hAnsi="Times New Roman" w:eastAsia="宋体" w:cs="Times New Roman"/>
                <w:color w:val="auto"/>
                <w:sz w:val="21"/>
                <w:szCs w:val="21"/>
                <w:lang w:val="en-US" w:eastAsia="zh-CN"/>
              </w:rPr>
              <w:t>材料洒落；运输车辆不得超量运载；运输车辆经过村庄路段应减速行驶，并安排专人定期对运输道路进行维护清扫、洒水降尘；</w:t>
            </w:r>
          </w:p>
          <w:p w14:paraId="3CF10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）施工后要及时清理平整场地、及时实施地面绿化措施</w:t>
            </w:r>
            <w:r>
              <w:rPr>
                <w:rFonts w:hint="default" w:ascii="Times New Roman" w:hAnsi="Times New Roman" w:eastAsia="宋体" w:cs="Times New Roman"/>
                <w:color w:val="auto"/>
                <w:sz w:val="21"/>
                <w:szCs w:val="21"/>
                <w:lang w:eastAsia="zh-CN"/>
              </w:rPr>
              <w:t>。</w:t>
            </w:r>
          </w:p>
          <w:p w14:paraId="2B9BC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本项目建设施工应由建设单位指定专人负责施工现场扬尘污染措施的实施和监督。施工工地出入口必须设立环境保护监督牌。必须注明项目名称、建设单位、施工单位、防治扬尘污染现场监督员姓名和联系电话、项目工程、生态环境措施、举报电话等内容；</w:t>
            </w:r>
          </w:p>
          <w:p w14:paraId="7799D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）出现五级以上大风天气时，禁止进行土方等易产生扬尘污染的施工作业；</w:t>
            </w:r>
          </w:p>
          <w:p w14:paraId="357381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放</w:t>
            </w:r>
            <w:r>
              <w:rPr>
                <w:rFonts w:hint="eastAsia" w:cs="Times New Roman"/>
                <w:color w:val="auto"/>
                <w:sz w:val="21"/>
                <w:szCs w:val="21"/>
                <w:lang w:val="en-US" w:eastAsia="zh-CN"/>
              </w:rPr>
              <w:t>；</w:t>
            </w:r>
          </w:p>
          <w:p w14:paraId="63500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pacing w:val="0"/>
                <w:sz w:val="21"/>
                <w:szCs w:val="21"/>
                <w:lang w:val="en-US" w:eastAsia="zh-CN"/>
              </w:rPr>
              <w:t>（8）限制运输车辆的行驶速度，场地内的行车速度不得超过</w:t>
            </w:r>
            <w:r>
              <w:rPr>
                <w:rFonts w:hint="default" w:ascii="Times New Roman" w:hAnsi="Times New Roman" w:eastAsia="宋体" w:cs="Times New Roman"/>
                <w:bCs/>
                <w:color w:val="auto"/>
                <w:spacing w:val="0"/>
                <w:sz w:val="21"/>
                <w:szCs w:val="21"/>
                <w:lang w:val="en-US" w:eastAsia="zh-CN"/>
              </w:rPr>
              <w:t>20km/h</w:t>
            </w:r>
            <w:r>
              <w:rPr>
                <w:rFonts w:hint="eastAsia" w:cs="Times New Roman"/>
                <w:bCs/>
                <w:color w:val="auto"/>
                <w:spacing w:val="0"/>
                <w:sz w:val="21"/>
                <w:szCs w:val="21"/>
                <w:lang w:val="en-US" w:eastAsia="zh-CN"/>
              </w:rPr>
              <w:t>；</w:t>
            </w:r>
          </w:p>
          <w:p w14:paraId="404DF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9）在施工期间，建设单位和施工单位还应执行《云南省人民政府关于印发云南省打赢蓝天保卫战三年行动计划实施方案的通知》（云政发〔2018〕44号）、《云南省大气污染防治条例》（2019年1月1日）中的相关要求，落实施工扬尘控制措施，在施工合同中确定扬尘污染防治目标及施工单位扬尘污染防治责任，施工作业人员上岗前，施工单位应组织以国家法律法规、技术规范、管理制度和操作规程为主要内容的扬尘防治</w:t>
            </w:r>
            <w:r>
              <w:rPr>
                <w:rFonts w:hint="eastAsia" w:cs="Times New Roman"/>
                <w:color w:val="auto"/>
                <w:sz w:val="21"/>
                <w:szCs w:val="21"/>
                <w:lang w:val="en-US" w:eastAsia="zh-CN"/>
              </w:rPr>
              <w:t>日常</w:t>
            </w:r>
            <w:r>
              <w:rPr>
                <w:rFonts w:hint="eastAsia" w:ascii="Times New Roman" w:hAnsi="Times New Roman" w:eastAsia="宋体" w:cs="Times New Roman"/>
                <w:color w:val="auto"/>
                <w:sz w:val="21"/>
                <w:szCs w:val="21"/>
                <w:lang w:val="en-US" w:eastAsia="zh-CN"/>
              </w:rPr>
              <w:t>教育培训和考核等</w:t>
            </w:r>
            <w:r>
              <w:rPr>
                <w:rFonts w:hint="eastAsia" w:cs="Times New Roman"/>
                <w:color w:val="auto"/>
                <w:sz w:val="21"/>
                <w:szCs w:val="21"/>
                <w:lang w:val="en-US" w:eastAsia="zh-CN"/>
              </w:rPr>
              <w:t>；</w:t>
            </w:r>
          </w:p>
          <w:p w14:paraId="7DCDA0EF">
            <w:pPr>
              <w:keepNext w:val="0"/>
              <w:keepLines w:val="0"/>
              <w:suppressLineNumbers w:val="0"/>
              <w:shd w:val="clear"/>
              <w:spacing w:before="0" w:beforeAutospacing="0" w:after="0" w:afterAutospacing="0" w:line="240" w:lineRule="auto"/>
              <w:ind w:left="0" w:right="0" w:firstLine="420" w:firstLineChars="200"/>
              <w:rPr>
                <w:rFonts w:hint="default"/>
                <w:color w:val="auto"/>
                <w:szCs w:val="21"/>
                <w:highlight w:val="none"/>
                <w:shd w:val="clear" w:color="auto" w:fill="auto"/>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）推行绿色文明施工管理模式，建设单位、施工单位在合同中依法明确扬尘污染治理实施方案和责任，并将防治费用列入工程成本，单独列支，专款专用。</w:t>
            </w:r>
          </w:p>
        </w:tc>
        <w:tc>
          <w:tcPr>
            <w:tcW w:w="1802" w:type="dxa"/>
            <w:tcBorders>
              <w:top w:val="single" w:color="auto" w:sz="2" w:space="0"/>
              <w:left w:val="single" w:color="auto" w:sz="2" w:space="0"/>
              <w:bottom w:val="single" w:color="auto" w:sz="2" w:space="0"/>
              <w:right w:val="single" w:color="auto" w:sz="2" w:space="0"/>
            </w:tcBorders>
            <w:vAlign w:val="center"/>
          </w:tcPr>
          <w:p w14:paraId="3F1A057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施工</w:t>
            </w:r>
            <w:r>
              <w:rPr>
                <w:rFonts w:hint="eastAsia"/>
                <w:color w:val="auto"/>
                <w:szCs w:val="21"/>
                <w:highlight w:val="none"/>
                <w:shd w:val="clear" w:color="auto" w:fill="auto"/>
              </w:rPr>
              <w:t>扬尘排</w:t>
            </w:r>
            <w:r>
              <w:rPr>
                <w:rFonts w:hint="default"/>
                <w:color w:val="auto"/>
                <w:szCs w:val="21"/>
                <w:highlight w:val="none"/>
                <w:shd w:val="clear" w:color="auto" w:fill="auto"/>
              </w:rPr>
              <w:t>放</w:t>
            </w:r>
            <w:r>
              <w:rPr>
                <w:rFonts w:hint="eastAsia"/>
                <w:color w:val="auto"/>
                <w:szCs w:val="21"/>
                <w:highlight w:val="none"/>
                <w:shd w:val="clear" w:color="auto" w:fill="auto"/>
              </w:rPr>
              <w:t>达到</w:t>
            </w:r>
            <w:r>
              <w:rPr>
                <w:rFonts w:hint="default"/>
                <w:color w:val="auto"/>
                <w:szCs w:val="21"/>
                <w:highlight w:val="none"/>
                <w:shd w:val="clear" w:color="auto" w:fill="auto"/>
              </w:rPr>
              <w:t>《大气污染物综合排放标准》（GB16297-1996）</w:t>
            </w:r>
            <w:r>
              <w:rPr>
                <w:rFonts w:hint="eastAsia"/>
                <w:color w:val="auto"/>
                <w:szCs w:val="21"/>
                <w:highlight w:val="none"/>
                <w:shd w:val="clear" w:color="auto" w:fill="auto"/>
              </w:rPr>
              <w:t>要求</w:t>
            </w:r>
          </w:p>
        </w:tc>
        <w:tc>
          <w:tcPr>
            <w:tcW w:w="3813" w:type="dxa"/>
            <w:tcBorders>
              <w:top w:val="single" w:color="auto" w:sz="2" w:space="0"/>
              <w:left w:val="single" w:color="auto" w:sz="2" w:space="0"/>
              <w:bottom w:val="single" w:color="auto" w:sz="2" w:space="0"/>
              <w:right w:val="single" w:color="auto" w:sz="2" w:space="0"/>
            </w:tcBorders>
            <w:vAlign w:val="center"/>
          </w:tcPr>
          <w:p w14:paraId="73924543">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rPr>
              <w:t>汽车尾气经周边环境及时扩散。</w:t>
            </w:r>
          </w:p>
        </w:tc>
        <w:tc>
          <w:tcPr>
            <w:tcW w:w="2124" w:type="dxa"/>
            <w:tcBorders>
              <w:top w:val="single" w:color="auto" w:sz="2" w:space="0"/>
              <w:left w:val="single" w:color="auto" w:sz="2" w:space="0"/>
              <w:bottom w:val="single" w:color="auto" w:sz="2" w:space="0"/>
              <w:right w:val="single" w:color="auto" w:sz="2" w:space="0"/>
            </w:tcBorders>
            <w:vAlign w:val="center"/>
          </w:tcPr>
          <w:p w14:paraId="7A70913D">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rPr>
              <w:t>周边大气稀释扩散</w:t>
            </w:r>
          </w:p>
        </w:tc>
      </w:tr>
      <w:tr w14:paraId="4EDA1D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1EEEE32B">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固体废物</w:t>
            </w:r>
          </w:p>
        </w:tc>
        <w:tc>
          <w:tcPr>
            <w:tcW w:w="4874" w:type="dxa"/>
            <w:tcBorders>
              <w:top w:val="single" w:color="auto" w:sz="2" w:space="0"/>
              <w:left w:val="single" w:color="auto" w:sz="2" w:space="0"/>
              <w:bottom w:val="single" w:color="auto" w:sz="2" w:space="0"/>
              <w:right w:val="single" w:color="auto" w:sz="2" w:space="0"/>
            </w:tcBorders>
            <w:vAlign w:val="center"/>
          </w:tcPr>
          <w:p w14:paraId="051DA6F7">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（1）废弃土石方：项目产生的土石方全部在场地内回填，不设置弃渣场，禁止乱弃渣。</w:t>
            </w:r>
          </w:p>
          <w:p w14:paraId="19865C16">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（2）建筑垃圾：分类收集，能利用部分外售收购商进行回收利用，不可回收部分委托资质单位清运至政府部门指定的场所进行处置。禁止乱堆乱倒。</w:t>
            </w:r>
          </w:p>
          <w:p w14:paraId="7F2F0046">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（3）生活垃圾：在施工场地设置临时生活垃圾收集桶，对施工人员的生活垃圾进行收集，垃圾实行“日产日清”，能回收利</w:t>
            </w:r>
            <w:r>
              <w:rPr>
                <w:rFonts w:hint="eastAsia"/>
                <w:color w:val="auto"/>
                <w:szCs w:val="21"/>
                <w:highlight w:val="none"/>
                <w:shd w:val="clear" w:color="auto" w:fill="auto"/>
                <w:lang w:eastAsia="zh-CN"/>
              </w:rPr>
              <w:t>用的</w:t>
            </w:r>
            <w:r>
              <w:rPr>
                <w:rFonts w:hint="eastAsia"/>
                <w:color w:val="auto"/>
                <w:szCs w:val="21"/>
                <w:highlight w:val="none"/>
                <w:shd w:val="clear" w:color="auto" w:fill="auto"/>
              </w:rPr>
              <w:t>部分回收利用，不能回收利用的自行转运至附近村镇垃圾收集点统一处置。</w:t>
            </w:r>
          </w:p>
          <w:p w14:paraId="4F123DF1">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highlight w:val="none"/>
                <w:shd w:val="clear" w:color="auto" w:fill="auto"/>
              </w:rPr>
              <w:t>（4）废弃设备零件经收集后，可回收利用。</w:t>
            </w:r>
          </w:p>
        </w:tc>
        <w:tc>
          <w:tcPr>
            <w:tcW w:w="1802" w:type="dxa"/>
            <w:tcBorders>
              <w:top w:val="single" w:color="auto" w:sz="2" w:space="0"/>
              <w:left w:val="single" w:color="auto" w:sz="2" w:space="0"/>
              <w:bottom w:val="single" w:color="auto" w:sz="2" w:space="0"/>
              <w:right w:val="single" w:color="auto" w:sz="2" w:space="0"/>
            </w:tcBorders>
            <w:vAlign w:val="center"/>
          </w:tcPr>
          <w:p w14:paraId="1AE8DFAD">
            <w:pPr>
              <w:keepNext w:val="0"/>
              <w:keepLines w:val="0"/>
              <w:suppressLineNumbers w:val="0"/>
              <w:shd w:val="clear"/>
              <w:adjustRightInd w:val="0"/>
              <w:snapToGrid w:val="0"/>
              <w:spacing w:before="0" w:beforeAutospacing="0" w:after="0" w:afterAutospacing="0"/>
              <w:ind w:left="0" w:right="0"/>
              <w:rPr>
                <w:rFonts w:hint="default"/>
                <w:color w:val="auto"/>
                <w:sz w:val="21"/>
                <w:szCs w:val="21"/>
                <w:highlight w:val="none"/>
                <w:shd w:val="clear" w:color="auto" w:fill="auto"/>
              </w:rPr>
            </w:pPr>
            <w:r>
              <w:rPr>
                <w:rFonts w:hint="default"/>
                <w:color w:val="auto"/>
                <w:sz w:val="21"/>
                <w:szCs w:val="21"/>
                <w:highlight w:val="none"/>
                <w:shd w:val="clear" w:color="auto" w:fill="auto"/>
              </w:rPr>
              <w:t>固废处置率100%</w:t>
            </w:r>
          </w:p>
        </w:tc>
        <w:tc>
          <w:tcPr>
            <w:tcW w:w="3813" w:type="dxa"/>
            <w:tcBorders>
              <w:top w:val="single" w:color="auto" w:sz="2" w:space="0"/>
              <w:left w:val="single" w:color="auto" w:sz="2" w:space="0"/>
              <w:bottom w:val="single" w:color="auto" w:sz="2" w:space="0"/>
              <w:right w:val="single" w:color="auto" w:sz="2" w:space="0"/>
            </w:tcBorders>
            <w:vAlign w:val="center"/>
          </w:tcPr>
          <w:p w14:paraId="30FF4A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 xml:space="preserve">（1）废电池板、废逆变器、废电气元件：暂存于竹园沟光伏发电项目一般固废暂存间，及时委托专业的回收厂家收购回收处理，不得随意堆放处置。 </w:t>
            </w:r>
          </w:p>
          <w:p w14:paraId="3F50DA1B">
            <w:pPr>
              <w:keepNext w:val="0"/>
              <w:keepLines w:val="0"/>
              <w:suppressLineNumbers w:val="0"/>
              <w:shd w:val="clear"/>
              <w:adjustRightInd w:val="0"/>
              <w:snapToGrid w:val="0"/>
              <w:spacing w:before="0" w:beforeAutospacing="0" w:after="0" w:afterAutospacing="0"/>
              <w:ind w:left="0" w:right="0"/>
              <w:rPr>
                <w:rFonts w:hint="default"/>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2）单次维修产生的废变压器油和事故废油均属危险废物，经集中收集后，暂存于竹园沟光伏发电项目升压站危废贮存库，并委托有资质单位处置；变压器油不合格需全部更换时产生的废变压器油，委托有资质单位在更换后即时转移处置，不在厂区贮存。</w:t>
            </w:r>
          </w:p>
        </w:tc>
        <w:tc>
          <w:tcPr>
            <w:tcW w:w="2124" w:type="dxa"/>
            <w:tcBorders>
              <w:top w:val="single" w:color="auto" w:sz="2" w:space="0"/>
              <w:left w:val="single" w:color="auto" w:sz="2" w:space="0"/>
              <w:bottom w:val="single" w:color="auto" w:sz="2" w:space="0"/>
              <w:right w:val="single" w:color="auto" w:sz="2" w:space="0"/>
            </w:tcBorders>
            <w:vAlign w:val="center"/>
          </w:tcPr>
          <w:p w14:paraId="3B7A2667">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固废处置率100%</w:t>
            </w:r>
          </w:p>
        </w:tc>
      </w:tr>
      <w:tr w14:paraId="487980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1A1124B0">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电磁环境</w:t>
            </w:r>
          </w:p>
        </w:tc>
        <w:tc>
          <w:tcPr>
            <w:tcW w:w="4874" w:type="dxa"/>
            <w:tcBorders>
              <w:top w:val="single" w:color="auto" w:sz="2" w:space="0"/>
              <w:left w:val="single" w:color="auto" w:sz="2" w:space="0"/>
              <w:bottom w:val="single" w:color="auto" w:sz="2" w:space="0"/>
              <w:right w:val="single" w:color="auto" w:sz="2" w:space="0"/>
            </w:tcBorders>
            <w:vAlign w:val="center"/>
          </w:tcPr>
          <w:p w14:paraId="7438737F">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54A3A3FD">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19CFA787">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color w:val="auto"/>
                <w:szCs w:val="21"/>
                <w:highlight w:val="none"/>
                <w:shd w:val="clear" w:color="auto" w:fill="auto"/>
                <w:lang w:eastAsia="zh-CN"/>
              </w:rPr>
            </w:pPr>
            <w:r>
              <w:rPr>
                <w:rFonts w:hint="eastAsia"/>
                <w:color w:val="auto"/>
                <w:kern w:val="0"/>
                <w:szCs w:val="21"/>
                <w:highlight w:val="none"/>
                <w:shd w:val="clear" w:color="auto" w:fill="auto"/>
                <w:lang w:val="en-US" w:eastAsia="zh-CN" w:bidi="ar"/>
              </w:rPr>
              <w:t>/</w:t>
            </w:r>
          </w:p>
        </w:tc>
        <w:tc>
          <w:tcPr>
            <w:tcW w:w="2124" w:type="dxa"/>
            <w:tcBorders>
              <w:top w:val="single" w:color="auto" w:sz="2" w:space="0"/>
              <w:left w:val="single" w:color="auto" w:sz="2" w:space="0"/>
              <w:bottom w:val="single" w:color="auto" w:sz="2" w:space="0"/>
              <w:right w:val="single" w:color="auto" w:sz="2" w:space="0"/>
            </w:tcBorders>
            <w:vAlign w:val="center"/>
          </w:tcPr>
          <w:p w14:paraId="51AAC478">
            <w:pPr>
              <w:keepNext w:val="0"/>
              <w:keepLines w:val="0"/>
              <w:suppressLineNumbers w:val="0"/>
              <w:shd w:val="clear"/>
              <w:adjustRightInd w:val="0"/>
              <w:snapToGrid w:val="0"/>
              <w:spacing w:before="0" w:beforeAutospacing="0" w:after="0" w:afterAutospacing="0"/>
              <w:ind w:left="0" w:right="0"/>
              <w:rPr>
                <w:rFonts w:hint="eastAsia" w:eastAsia="宋体"/>
                <w:color w:val="auto"/>
                <w:szCs w:val="21"/>
                <w:highlight w:val="none"/>
                <w:shd w:val="clear" w:color="auto" w:fill="auto"/>
                <w:lang w:eastAsia="zh-CN"/>
              </w:rPr>
            </w:pPr>
            <w:r>
              <w:rPr>
                <w:rFonts w:hint="eastAsia"/>
                <w:color w:val="auto"/>
                <w:szCs w:val="21"/>
                <w:highlight w:val="none"/>
                <w:shd w:val="clear" w:color="auto" w:fill="auto"/>
                <w:lang w:val="en-US" w:eastAsia="zh-CN"/>
              </w:rPr>
              <w:t>/</w:t>
            </w:r>
          </w:p>
        </w:tc>
      </w:tr>
      <w:tr w14:paraId="474C2D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2"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7163FAF4">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环境风险</w:t>
            </w:r>
          </w:p>
        </w:tc>
        <w:tc>
          <w:tcPr>
            <w:tcW w:w="4874" w:type="dxa"/>
            <w:tcBorders>
              <w:top w:val="single" w:color="auto" w:sz="2" w:space="0"/>
              <w:left w:val="single" w:color="auto" w:sz="2" w:space="0"/>
              <w:bottom w:val="single" w:color="auto" w:sz="2" w:space="0"/>
              <w:right w:val="single" w:color="auto" w:sz="2" w:space="0"/>
            </w:tcBorders>
            <w:vAlign w:val="center"/>
          </w:tcPr>
          <w:p w14:paraId="356F074F">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4F16F8B4">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2DFBD3F9">
            <w:pPr>
              <w:keepNext w:val="0"/>
              <w:keepLines w:val="0"/>
              <w:suppressLineNumbers w:val="0"/>
              <w:adjustRightInd w:val="0"/>
              <w:snapToGrid w:val="0"/>
              <w:spacing w:before="0" w:beforeAutospacing="0" w:after="0" w:afterAutospacing="0" w:line="240" w:lineRule="auto"/>
              <w:ind w:left="0" w:right="0"/>
              <w:rPr>
                <w:rFonts w:hint="default"/>
                <w:color w:val="auto"/>
                <w:sz w:val="21"/>
                <w:szCs w:val="21"/>
              </w:rPr>
            </w:pPr>
            <w:r>
              <w:rPr>
                <w:rFonts w:hint="default"/>
                <w:color w:val="auto"/>
                <w:sz w:val="21"/>
                <w:szCs w:val="21"/>
                <w:highlight w:val="none"/>
                <w:shd w:val="clear" w:color="auto" w:fill="auto"/>
              </w:rPr>
              <w:t>（1）</w:t>
            </w:r>
            <w:r>
              <w:rPr>
                <w:rFonts w:hint="eastAsia"/>
                <w:bCs/>
                <w:color w:val="auto"/>
                <w:sz w:val="21"/>
                <w:szCs w:val="21"/>
                <w:highlight w:val="none"/>
                <w:shd w:val="clear" w:color="auto" w:fill="auto"/>
              </w:rPr>
              <w:t>在</w:t>
            </w:r>
            <w:r>
              <w:rPr>
                <w:rFonts w:hint="default"/>
                <w:color w:val="auto"/>
                <w:kern w:val="0"/>
                <w:sz w:val="21"/>
                <w:szCs w:val="21"/>
                <w:highlight w:val="none"/>
                <w:shd w:val="clear" w:color="auto" w:fill="auto"/>
              </w:rPr>
              <w:t>箱式变压器下方基础处设置</w:t>
            </w:r>
            <w:r>
              <w:rPr>
                <w:rFonts w:hint="eastAsia"/>
                <w:color w:val="auto"/>
                <w:kern w:val="0"/>
                <w:sz w:val="21"/>
                <w:szCs w:val="21"/>
                <w:highlight w:val="none"/>
                <w:shd w:val="clear" w:color="auto" w:fill="auto"/>
                <w:lang w:val="en-US" w:eastAsia="zh-CN" w:bidi="ar"/>
              </w:rPr>
              <w:t>14</w:t>
            </w:r>
            <w:r>
              <w:rPr>
                <w:rFonts w:hint="eastAsia"/>
                <w:color w:val="auto"/>
                <w:kern w:val="0"/>
                <w:sz w:val="21"/>
                <w:szCs w:val="21"/>
                <w:highlight w:val="none"/>
                <w:shd w:val="clear" w:color="auto" w:fill="auto"/>
              </w:rPr>
              <w:t>个</w:t>
            </w:r>
            <w:r>
              <w:rPr>
                <w:rFonts w:hint="eastAsia"/>
                <w:color w:val="auto"/>
                <w:kern w:val="0"/>
                <w:sz w:val="21"/>
                <w:szCs w:val="21"/>
                <w:highlight w:val="none"/>
                <w:shd w:val="clear" w:color="auto" w:fill="auto"/>
                <w:lang w:eastAsia="zh-CN"/>
              </w:rPr>
              <w:t>事故油池</w:t>
            </w:r>
            <w:r>
              <w:rPr>
                <w:rFonts w:hint="eastAsia"/>
                <w:color w:val="auto"/>
                <w:kern w:val="0"/>
                <w:sz w:val="21"/>
                <w:szCs w:val="21"/>
                <w:highlight w:val="none"/>
                <w:shd w:val="clear" w:color="auto" w:fill="auto"/>
              </w:rPr>
              <w:t>（</w:t>
            </w:r>
            <w:r>
              <w:rPr>
                <w:rFonts w:hint="eastAsia"/>
                <w:color w:val="auto"/>
                <w:kern w:val="0"/>
                <w:sz w:val="21"/>
                <w:szCs w:val="21"/>
              </w:rPr>
              <w:t>其中</w:t>
            </w:r>
            <w:r>
              <w:rPr>
                <w:rFonts w:hint="eastAsia"/>
                <w:color w:val="auto"/>
                <w:kern w:val="0"/>
                <w:sz w:val="21"/>
                <w:szCs w:val="21"/>
                <w:lang w:val="en-US" w:eastAsia="zh-CN"/>
              </w:rPr>
              <w:t>1</w:t>
            </w:r>
            <w:r>
              <w:rPr>
                <w:rFonts w:hint="eastAsia"/>
                <w:color w:val="auto"/>
                <w:kern w:val="0"/>
                <w:sz w:val="21"/>
                <w:szCs w:val="21"/>
              </w:rPr>
              <w:t>个容积不低于</w:t>
            </w:r>
            <w:r>
              <w:rPr>
                <w:rFonts w:hint="eastAsia"/>
                <w:color w:val="auto"/>
                <w:kern w:val="0"/>
                <w:sz w:val="21"/>
                <w:szCs w:val="21"/>
                <w:lang w:val="en-US" w:eastAsia="zh-CN"/>
              </w:rPr>
              <w:t>1.8</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11</w:t>
            </w:r>
            <w:r>
              <w:rPr>
                <w:rFonts w:hint="eastAsia"/>
                <w:color w:val="auto"/>
                <w:kern w:val="0"/>
                <w:sz w:val="21"/>
                <w:szCs w:val="21"/>
              </w:rPr>
              <w:t>个容积不低于</w:t>
            </w:r>
            <w:r>
              <w:rPr>
                <w:rFonts w:hint="eastAsia"/>
                <w:color w:val="auto"/>
                <w:kern w:val="0"/>
                <w:sz w:val="21"/>
                <w:szCs w:val="21"/>
                <w:lang w:val="en-US" w:eastAsia="zh-CN"/>
              </w:rPr>
              <w:t>1.9</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1</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个容积不低于2.</w:t>
            </w:r>
            <w:r>
              <w:rPr>
                <w:rFonts w:hint="eastAsia"/>
                <w:color w:val="auto"/>
                <w:kern w:val="0"/>
                <w:sz w:val="21"/>
                <w:szCs w:val="21"/>
                <w:lang w:val="en-US" w:eastAsia="zh-CN"/>
              </w:rPr>
              <w:t>3</w:t>
            </w:r>
            <w:r>
              <w:rPr>
                <w:rFonts w:hint="eastAsia"/>
                <w:color w:val="auto"/>
                <w:kern w:val="0"/>
                <w:sz w:val="21"/>
                <w:szCs w:val="21"/>
              </w:rPr>
              <w:t>m</w:t>
            </w:r>
            <w:r>
              <w:rPr>
                <w:rFonts w:hint="eastAsia"/>
                <w:color w:val="auto"/>
                <w:kern w:val="0"/>
                <w:sz w:val="21"/>
                <w:szCs w:val="21"/>
                <w:vertAlign w:val="superscript"/>
              </w:rPr>
              <w:t>3</w:t>
            </w:r>
            <w:r>
              <w:rPr>
                <w:rFonts w:hint="eastAsia"/>
                <w:color w:val="auto"/>
                <w:kern w:val="0"/>
                <w:sz w:val="21"/>
                <w:szCs w:val="21"/>
                <w:highlight w:val="none"/>
                <w:shd w:val="clear" w:color="auto" w:fill="auto"/>
              </w:rPr>
              <w:t>）</w:t>
            </w:r>
            <w:r>
              <w:rPr>
                <w:rFonts w:hint="eastAsia"/>
                <w:color w:val="auto"/>
                <w:kern w:val="0"/>
                <w:sz w:val="21"/>
                <w:szCs w:val="21"/>
                <w:highlight w:val="none"/>
                <w:shd w:val="clear" w:color="auto" w:fill="auto"/>
                <w:lang w:eastAsia="zh-CN"/>
              </w:rPr>
              <w:t>，</w:t>
            </w:r>
            <w:r>
              <w:rPr>
                <w:rFonts w:hint="eastAsia"/>
                <w:color w:val="auto"/>
                <w:sz w:val="21"/>
                <w:szCs w:val="21"/>
                <w:highlight w:val="none"/>
                <w:shd w:val="clear" w:color="auto" w:fill="auto"/>
                <w:lang w:val="en-US" w:eastAsia="zh-CN"/>
              </w:rPr>
              <w:t>箱变</w:t>
            </w:r>
            <w:r>
              <w:rPr>
                <w:rFonts w:hint="default"/>
                <w:color w:val="auto"/>
                <w:sz w:val="21"/>
                <w:szCs w:val="21"/>
                <w:highlight w:val="none"/>
                <w:shd w:val="clear" w:color="auto" w:fill="auto"/>
              </w:rPr>
              <w:t>在事故情况下，</w:t>
            </w:r>
            <w:r>
              <w:rPr>
                <w:rFonts w:hint="eastAsia"/>
                <w:color w:val="auto"/>
                <w:sz w:val="21"/>
                <w:szCs w:val="21"/>
                <w:highlight w:val="none"/>
                <w:shd w:val="clear" w:color="auto" w:fill="auto"/>
              </w:rPr>
              <w:t>泄漏的变压器油自流进入</w:t>
            </w:r>
            <w:r>
              <w:rPr>
                <w:rFonts w:hint="eastAsia"/>
                <w:color w:val="auto"/>
                <w:kern w:val="0"/>
                <w:sz w:val="21"/>
                <w:szCs w:val="21"/>
                <w:highlight w:val="none"/>
                <w:shd w:val="clear" w:color="auto" w:fill="auto"/>
                <w:lang w:eastAsia="zh-CN"/>
              </w:rPr>
              <w:t>事故油池</w:t>
            </w:r>
            <w:r>
              <w:rPr>
                <w:rFonts w:hint="default"/>
                <w:color w:val="auto"/>
                <w:sz w:val="21"/>
                <w:szCs w:val="21"/>
              </w:rPr>
              <w:t>收集后暂存</w:t>
            </w:r>
            <w:r>
              <w:rPr>
                <w:rFonts w:hint="eastAsia"/>
                <w:color w:val="auto"/>
                <w:sz w:val="21"/>
                <w:szCs w:val="21"/>
                <w:lang w:val="en-US" w:eastAsia="zh-CN"/>
              </w:rPr>
              <w:t>于</w:t>
            </w:r>
            <w:r>
              <w:rPr>
                <w:rFonts w:hint="eastAsia" w:ascii="Times New Roman" w:hAnsi="Times New Roman" w:cs="Times New Roman"/>
                <w:color w:val="auto"/>
                <w:sz w:val="21"/>
                <w:szCs w:val="21"/>
                <w:highlight w:val="none"/>
                <w:shd w:val="clear" w:color="auto" w:fill="auto"/>
                <w:lang w:val="en-US" w:eastAsia="zh-CN"/>
              </w:rPr>
              <w:t>竹园沟光伏发电项目</w:t>
            </w:r>
            <w:r>
              <w:rPr>
                <w:rFonts w:hint="default"/>
                <w:color w:val="auto"/>
                <w:kern w:val="0"/>
                <w:sz w:val="21"/>
                <w:szCs w:val="21"/>
              </w:rPr>
              <w:t>升压站</w:t>
            </w:r>
            <w:r>
              <w:rPr>
                <w:rFonts w:hint="default" w:hAnsi="宋体"/>
                <w:bCs/>
                <w:color w:val="auto"/>
                <w:sz w:val="21"/>
                <w:szCs w:val="21"/>
                <w:highlight w:val="none"/>
                <w:shd w:val="clear" w:color="auto" w:fill="auto"/>
              </w:rPr>
              <w:t>危废</w:t>
            </w:r>
            <w:r>
              <w:rPr>
                <w:rFonts w:hint="eastAsia" w:hAnsi="宋体"/>
                <w:bCs/>
                <w:color w:val="auto"/>
                <w:sz w:val="21"/>
                <w:szCs w:val="21"/>
                <w:highlight w:val="none"/>
                <w:shd w:val="clear" w:color="auto" w:fill="auto"/>
                <w:lang w:val="en-US" w:eastAsia="zh-CN"/>
              </w:rPr>
              <w:t>贮存库</w:t>
            </w:r>
            <w:r>
              <w:rPr>
                <w:rFonts w:hint="default"/>
                <w:color w:val="auto"/>
                <w:sz w:val="21"/>
                <w:szCs w:val="21"/>
              </w:rPr>
              <w:t>，委托资质单位清运处置。</w:t>
            </w:r>
          </w:p>
          <w:p w14:paraId="70C56821">
            <w:pPr>
              <w:keepNext w:val="0"/>
              <w:keepLines w:val="0"/>
              <w:suppressLineNumbers w:val="0"/>
              <w:shd w:val="clear"/>
              <w:adjustRightInd w:val="0"/>
              <w:snapToGrid w:val="0"/>
              <w:spacing w:before="0" w:beforeAutospacing="0" w:after="0" w:afterAutospacing="0" w:line="240" w:lineRule="auto"/>
              <w:ind w:left="0" w:right="0"/>
              <w:textAlignment w:val="baseline"/>
              <w:rPr>
                <w:rFonts w:hint="default"/>
                <w:color w:val="auto"/>
                <w:kern w:val="0"/>
                <w:sz w:val="21"/>
                <w:szCs w:val="21"/>
                <w:highlight w:val="none"/>
                <w:shd w:val="clear" w:color="auto" w:fill="auto"/>
                <w:lang w:val="zh-CN"/>
              </w:rPr>
            </w:pPr>
            <w:r>
              <w:rPr>
                <w:rFonts w:hint="default"/>
                <w:color w:val="auto"/>
                <w:kern w:val="0"/>
                <w:sz w:val="21"/>
                <w:szCs w:val="21"/>
                <w:highlight w:val="none"/>
                <w:shd w:val="clear" w:color="auto" w:fill="auto"/>
              </w:rPr>
              <w:t>（</w:t>
            </w:r>
            <w:r>
              <w:rPr>
                <w:rFonts w:hint="eastAsia"/>
                <w:color w:val="auto"/>
                <w:kern w:val="0"/>
                <w:sz w:val="21"/>
                <w:szCs w:val="21"/>
                <w:highlight w:val="none"/>
                <w:shd w:val="clear" w:color="auto" w:fill="auto"/>
                <w:lang w:val="en-US" w:eastAsia="zh-CN"/>
              </w:rPr>
              <w:t>2</w:t>
            </w:r>
            <w:r>
              <w:rPr>
                <w:rFonts w:hint="default"/>
                <w:color w:val="auto"/>
                <w:kern w:val="0"/>
                <w:sz w:val="21"/>
                <w:szCs w:val="21"/>
                <w:highlight w:val="none"/>
                <w:shd w:val="clear" w:color="auto" w:fill="auto"/>
              </w:rPr>
              <w:t>）</w:t>
            </w:r>
            <w:r>
              <w:rPr>
                <w:rFonts w:hint="default"/>
                <w:color w:val="auto"/>
                <w:kern w:val="0"/>
                <w:sz w:val="21"/>
                <w:szCs w:val="21"/>
                <w:highlight w:val="none"/>
                <w:shd w:val="clear" w:color="auto" w:fill="auto"/>
                <w:lang w:val="zh-CN"/>
              </w:rPr>
              <w:t>运营期定期检查</w:t>
            </w:r>
            <w:r>
              <w:rPr>
                <w:rFonts w:hint="default"/>
                <w:color w:val="auto"/>
                <w:kern w:val="0"/>
                <w:sz w:val="21"/>
                <w:szCs w:val="21"/>
                <w:highlight w:val="none"/>
                <w:shd w:val="clear" w:color="auto" w:fill="auto"/>
              </w:rPr>
              <w:t>各储存设施</w:t>
            </w:r>
            <w:r>
              <w:rPr>
                <w:rFonts w:hint="default"/>
                <w:color w:val="auto"/>
                <w:kern w:val="0"/>
                <w:sz w:val="21"/>
                <w:szCs w:val="21"/>
                <w:highlight w:val="none"/>
                <w:shd w:val="clear" w:color="auto" w:fill="auto"/>
                <w:lang w:val="zh-CN"/>
              </w:rPr>
              <w:t>，避免出现泄漏等不良情况。</w:t>
            </w:r>
          </w:p>
          <w:p w14:paraId="3E4DCDEC">
            <w:pPr>
              <w:pStyle w:val="54"/>
              <w:keepNext w:val="0"/>
              <w:keepLines w:val="0"/>
              <w:suppressLineNumbers w:val="0"/>
              <w:shd w:val="clear"/>
              <w:spacing w:before="0" w:beforeAutospacing="0" w:after="0" w:afterAutospacing="0" w:line="240" w:lineRule="auto"/>
              <w:ind w:left="0" w:leftChars="0" w:right="0" w:firstLine="0" w:firstLineChars="0"/>
              <w:jc w:val="both"/>
              <w:rPr>
                <w:rFonts w:hint="default" w:eastAsia="宋体"/>
                <w:color w:val="auto"/>
                <w:sz w:val="21"/>
                <w:szCs w:val="21"/>
                <w:highlight w:val="none"/>
                <w:shd w:val="clear" w:color="auto" w:fill="auto"/>
              </w:rPr>
            </w:pPr>
            <w:r>
              <w:rPr>
                <w:rFonts w:hint="eastAsia" w:eastAsia="宋体"/>
                <w:color w:val="auto"/>
                <w:sz w:val="21"/>
                <w:szCs w:val="21"/>
                <w:highlight w:val="none"/>
                <w:shd w:val="clear" w:color="auto" w:fill="auto"/>
              </w:rPr>
              <w:t>（</w:t>
            </w:r>
            <w:r>
              <w:rPr>
                <w:rFonts w:hint="eastAsia" w:eastAsia="宋体"/>
                <w:color w:val="auto"/>
                <w:sz w:val="21"/>
                <w:szCs w:val="21"/>
                <w:highlight w:val="none"/>
                <w:shd w:val="clear" w:color="auto" w:fill="auto"/>
                <w:lang w:val="en-US" w:eastAsia="zh-CN"/>
              </w:rPr>
              <w:t>3</w:t>
            </w:r>
            <w:r>
              <w:rPr>
                <w:rFonts w:hint="eastAsia" w:eastAsia="宋体"/>
                <w:color w:val="auto"/>
                <w:sz w:val="21"/>
                <w:szCs w:val="21"/>
                <w:highlight w:val="none"/>
                <w:shd w:val="clear" w:color="auto" w:fill="auto"/>
              </w:rPr>
              <w:t>）应及时开展应急预案的编制工作。</w:t>
            </w:r>
          </w:p>
          <w:p w14:paraId="620A7A83">
            <w:pPr>
              <w:keepNext w:val="0"/>
              <w:keepLines w:val="0"/>
              <w:suppressLineNumbers w:val="0"/>
              <w:shd w:val="clear"/>
              <w:spacing w:before="0" w:beforeAutospacing="0" w:after="0" w:afterAutospacing="0" w:line="240" w:lineRule="auto"/>
              <w:ind w:left="0" w:right="0"/>
              <w:jc w:val="left"/>
              <w:rPr>
                <w:rFonts w:hint="default"/>
                <w:color w:val="auto"/>
                <w:szCs w:val="21"/>
                <w:highlight w:val="none"/>
                <w:shd w:val="clear" w:color="auto" w:fill="auto"/>
              </w:rPr>
            </w:pPr>
            <w:r>
              <w:rPr>
                <w:rFonts w:hint="default"/>
                <w:color w:val="auto"/>
                <w:kern w:val="0"/>
                <w:sz w:val="21"/>
                <w:szCs w:val="21"/>
                <w:highlight w:val="none"/>
                <w:shd w:val="clear" w:color="auto" w:fill="auto"/>
              </w:rPr>
              <w:t>（</w:t>
            </w:r>
            <w:r>
              <w:rPr>
                <w:rFonts w:hint="eastAsia"/>
                <w:color w:val="auto"/>
                <w:kern w:val="0"/>
                <w:sz w:val="21"/>
                <w:szCs w:val="21"/>
                <w:highlight w:val="none"/>
                <w:shd w:val="clear" w:color="auto" w:fill="auto"/>
                <w:lang w:val="en-US" w:eastAsia="zh-CN"/>
              </w:rPr>
              <w:t>4</w:t>
            </w:r>
            <w:r>
              <w:rPr>
                <w:rFonts w:hint="default"/>
                <w:color w:val="auto"/>
                <w:kern w:val="0"/>
                <w:sz w:val="21"/>
                <w:szCs w:val="21"/>
                <w:highlight w:val="none"/>
                <w:shd w:val="clear" w:color="auto" w:fill="auto"/>
              </w:rPr>
              <w:t>）</w:t>
            </w:r>
            <w:r>
              <w:rPr>
                <w:rFonts w:hint="default"/>
                <w:color w:val="auto"/>
                <w:sz w:val="21"/>
                <w:szCs w:val="21"/>
                <w:highlight w:val="none"/>
                <w:shd w:val="clear" w:color="auto" w:fill="auto"/>
              </w:rPr>
              <w:t>加强对操作人员的岗位培训，建立健全的环保管理机制和各项环保规章制度，落实岗位环保责任制，加强环境风险防范工作，防止事故排放导致环境问题。</w:t>
            </w:r>
          </w:p>
        </w:tc>
        <w:tc>
          <w:tcPr>
            <w:tcW w:w="2124" w:type="dxa"/>
            <w:tcBorders>
              <w:top w:val="single" w:color="auto" w:sz="2" w:space="0"/>
              <w:left w:val="single" w:color="auto" w:sz="2" w:space="0"/>
              <w:bottom w:val="single" w:color="auto" w:sz="2" w:space="0"/>
              <w:right w:val="single" w:color="auto" w:sz="2" w:space="0"/>
            </w:tcBorders>
            <w:vAlign w:val="center"/>
          </w:tcPr>
          <w:p w14:paraId="6F9042A6">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ascii="Times New Roman" w:hAnsi="Times New Roman" w:eastAsia="宋体" w:cs="Times New Roman"/>
                <w:color w:val="auto"/>
                <w:sz w:val="21"/>
                <w:szCs w:val="21"/>
              </w:rPr>
              <w:t>固废处置率100%</w:t>
            </w:r>
          </w:p>
        </w:tc>
      </w:tr>
      <w:tr w14:paraId="41E297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7" w:hRule="atLeast"/>
          <w:jc w:val="center"/>
        </w:trPr>
        <w:tc>
          <w:tcPr>
            <w:tcW w:w="1561" w:type="dxa"/>
            <w:vMerge w:val="restart"/>
            <w:tcBorders>
              <w:top w:val="single" w:color="auto" w:sz="2" w:space="0"/>
              <w:left w:val="single" w:color="auto" w:sz="2" w:space="0"/>
              <w:right w:val="single" w:color="auto" w:sz="2" w:space="0"/>
            </w:tcBorders>
            <w:vAlign w:val="center"/>
          </w:tcPr>
          <w:p w14:paraId="0AF60F0A">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环境监测</w:t>
            </w:r>
          </w:p>
        </w:tc>
        <w:tc>
          <w:tcPr>
            <w:tcW w:w="4874" w:type="dxa"/>
            <w:vMerge w:val="restart"/>
            <w:tcBorders>
              <w:top w:val="single" w:color="auto" w:sz="2" w:space="0"/>
              <w:left w:val="single" w:color="auto" w:sz="2" w:space="0"/>
              <w:right w:val="single" w:color="auto" w:sz="2" w:space="0"/>
            </w:tcBorders>
            <w:vAlign w:val="center"/>
          </w:tcPr>
          <w:p w14:paraId="1E6B7037">
            <w:pPr>
              <w:keepNext w:val="0"/>
              <w:keepLines w:val="0"/>
              <w:suppressLineNumbers w:val="0"/>
              <w:shd w:val="clear"/>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szCs w:val="21"/>
                <w:highlight w:val="none"/>
                <w:shd w:val="clear" w:color="auto" w:fill="auto"/>
              </w:rPr>
              <w:t>/</w:t>
            </w:r>
          </w:p>
        </w:tc>
        <w:tc>
          <w:tcPr>
            <w:tcW w:w="1802" w:type="dxa"/>
            <w:vMerge w:val="restart"/>
            <w:tcBorders>
              <w:top w:val="single" w:color="auto" w:sz="2" w:space="0"/>
              <w:left w:val="single" w:color="auto" w:sz="2" w:space="0"/>
              <w:right w:val="single" w:color="auto" w:sz="2" w:space="0"/>
            </w:tcBorders>
            <w:vAlign w:val="center"/>
          </w:tcPr>
          <w:p w14:paraId="52843B8B">
            <w:pPr>
              <w:keepNext w:val="0"/>
              <w:keepLines w:val="0"/>
              <w:suppressLineNumbers w:val="0"/>
              <w:shd w:val="clear"/>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3433197A">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lang w:val="en-US" w:eastAsia="zh-CN"/>
              </w:rPr>
              <w:t>场区</w:t>
            </w:r>
            <w:r>
              <w:rPr>
                <w:rFonts w:hint="default"/>
                <w:color w:val="auto"/>
                <w:szCs w:val="21"/>
                <w:highlight w:val="none"/>
                <w:shd w:val="clear" w:color="auto" w:fill="auto"/>
              </w:rPr>
              <w:t>噪声：</w:t>
            </w:r>
          </w:p>
          <w:p w14:paraId="3F720F46">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（1）监测地点：</w:t>
            </w:r>
            <w:r>
              <w:rPr>
                <w:rFonts w:hint="eastAsia"/>
                <w:color w:val="auto"/>
                <w:szCs w:val="21"/>
                <w:lang w:val="en-US" w:eastAsia="zh-CN"/>
              </w:rPr>
              <w:t>西南片区</w:t>
            </w:r>
            <w:r>
              <w:rPr>
                <w:rFonts w:hint="default"/>
                <w:color w:val="auto"/>
                <w:szCs w:val="21"/>
              </w:rPr>
              <w:t>东、南、西、北厂界</w:t>
            </w:r>
            <w:r>
              <w:rPr>
                <w:rFonts w:hint="eastAsia" w:ascii="宋体" w:hAnsi="宋体" w:cs="宋体"/>
                <w:color w:val="auto"/>
                <w:kern w:val="0"/>
                <w:szCs w:val="21"/>
                <w:lang w:bidi="ar"/>
              </w:rPr>
              <w:t>外</w:t>
            </w:r>
            <w:r>
              <w:rPr>
                <w:rFonts w:hint="default"/>
                <w:color w:val="auto"/>
                <w:kern w:val="0"/>
                <w:szCs w:val="21"/>
                <w:lang w:bidi="ar"/>
              </w:rPr>
              <w:t>1m</w:t>
            </w:r>
            <w:r>
              <w:rPr>
                <w:rFonts w:hint="eastAsia" w:ascii="宋体" w:hAnsi="宋体" w:cs="宋体"/>
                <w:color w:val="auto"/>
                <w:kern w:val="0"/>
                <w:szCs w:val="21"/>
                <w:lang w:bidi="ar"/>
              </w:rPr>
              <w:t>各设</w:t>
            </w:r>
            <w:r>
              <w:rPr>
                <w:rFonts w:hint="default"/>
                <w:color w:val="auto"/>
                <w:kern w:val="0"/>
                <w:szCs w:val="21"/>
                <w:lang w:bidi="ar"/>
              </w:rPr>
              <w:t>1</w:t>
            </w:r>
            <w:r>
              <w:rPr>
                <w:rFonts w:hint="eastAsia" w:ascii="宋体" w:hAnsi="宋体" w:cs="宋体"/>
                <w:color w:val="auto"/>
                <w:kern w:val="0"/>
                <w:szCs w:val="21"/>
                <w:lang w:bidi="ar"/>
              </w:rPr>
              <w:t>个监测点位</w:t>
            </w:r>
            <w:r>
              <w:rPr>
                <w:rFonts w:hint="eastAsia" w:ascii="宋体" w:hAnsi="宋体" w:cs="宋体"/>
                <w:color w:val="auto"/>
                <w:kern w:val="0"/>
                <w:szCs w:val="21"/>
                <w:lang w:eastAsia="zh-CN" w:bidi="ar"/>
              </w:rPr>
              <w:t>；</w:t>
            </w:r>
            <w:r>
              <w:rPr>
                <w:rFonts w:hint="eastAsia"/>
                <w:color w:val="auto"/>
                <w:szCs w:val="21"/>
                <w:lang w:val="en-US" w:eastAsia="zh-CN"/>
              </w:rPr>
              <w:t>东北片区</w:t>
            </w:r>
            <w:r>
              <w:rPr>
                <w:rFonts w:hint="default"/>
                <w:color w:val="auto"/>
                <w:szCs w:val="21"/>
              </w:rPr>
              <w:t>东、南、西、北厂界</w:t>
            </w:r>
            <w:r>
              <w:rPr>
                <w:rFonts w:hint="eastAsia" w:ascii="宋体" w:hAnsi="宋体" w:cs="宋体"/>
                <w:color w:val="auto"/>
                <w:kern w:val="0"/>
                <w:szCs w:val="21"/>
                <w:lang w:bidi="ar"/>
              </w:rPr>
              <w:t>外</w:t>
            </w:r>
            <w:r>
              <w:rPr>
                <w:rFonts w:hint="default"/>
                <w:color w:val="auto"/>
                <w:kern w:val="0"/>
                <w:szCs w:val="21"/>
                <w:lang w:bidi="ar"/>
              </w:rPr>
              <w:t>1m</w:t>
            </w:r>
            <w:r>
              <w:rPr>
                <w:rFonts w:hint="eastAsia" w:ascii="宋体" w:hAnsi="宋体" w:cs="宋体"/>
                <w:color w:val="auto"/>
                <w:kern w:val="0"/>
                <w:szCs w:val="21"/>
                <w:lang w:bidi="ar"/>
              </w:rPr>
              <w:t>各设</w:t>
            </w:r>
            <w:r>
              <w:rPr>
                <w:rFonts w:hint="default"/>
                <w:color w:val="auto"/>
                <w:kern w:val="0"/>
                <w:szCs w:val="21"/>
                <w:lang w:bidi="ar"/>
              </w:rPr>
              <w:t>1</w:t>
            </w:r>
            <w:r>
              <w:rPr>
                <w:rFonts w:hint="eastAsia" w:ascii="宋体" w:hAnsi="宋体" w:cs="宋体"/>
                <w:color w:val="auto"/>
                <w:kern w:val="0"/>
                <w:szCs w:val="21"/>
                <w:lang w:bidi="ar"/>
              </w:rPr>
              <w:t>个监测点位</w:t>
            </w:r>
            <w:r>
              <w:rPr>
                <w:rFonts w:hint="eastAsia"/>
                <w:color w:val="auto"/>
              </w:rPr>
              <w:t>。</w:t>
            </w:r>
          </w:p>
          <w:p w14:paraId="231F6931">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（2）监测因子：L</w:t>
            </w:r>
            <w:r>
              <w:rPr>
                <w:rFonts w:hint="default"/>
                <w:color w:val="auto"/>
              </w:rPr>
              <w:t>eq</w:t>
            </w:r>
            <w:r>
              <w:rPr>
                <w:rFonts w:hint="eastAsia"/>
                <w:color w:val="auto"/>
              </w:rPr>
              <w:t>。</w:t>
            </w:r>
          </w:p>
          <w:p w14:paraId="2E9225B4">
            <w:pPr>
              <w:keepNext w:val="0"/>
              <w:keepLines w:val="0"/>
              <w:suppressLineNumbers w:val="0"/>
              <w:shd w:val="clear"/>
              <w:adjustRightInd w:val="0"/>
              <w:snapToGrid w:val="0"/>
              <w:spacing w:before="0" w:beforeAutospacing="0" w:after="0" w:afterAutospacing="0"/>
              <w:ind w:left="0" w:right="0"/>
              <w:rPr>
                <w:rFonts w:hint="default" w:eastAsia="宋体"/>
                <w:color w:val="auto"/>
                <w:szCs w:val="21"/>
                <w:highlight w:val="none"/>
                <w:shd w:val="clear" w:color="auto" w:fill="auto"/>
                <w:lang w:val="en-US" w:eastAsia="zh-CN"/>
              </w:rPr>
            </w:pPr>
            <w:r>
              <w:rPr>
                <w:rFonts w:hint="eastAsia"/>
                <w:color w:val="auto"/>
              </w:rPr>
              <w:t>（3）监测频率：</w:t>
            </w:r>
            <w:r>
              <w:rPr>
                <w:rFonts w:hint="default" w:ascii="Times New Roman" w:hAnsi="Times New Roman" w:cs="Times New Roman"/>
                <w:color w:val="auto"/>
                <w:kern w:val="0"/>
                <w:szCs w:val="21"/>
                <w:lang w:bidi="ar"/>
              </w:rPr>
              <w:t>环保竣工验收时监测一次</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运营期1次/</w:t>
            </w:r>
            <w:r>
              <w:rPr>
                <w:rFonts w:hint="default" w:ascii="Times New Roman" w:hAnsi="Times New Roman" w:cs="Times New Roman"/>
                <w:color w:val="auto"/>
                <w:kern w:val="0"/>
                <w:szCs w:val="21"/>
                <w:lang w:val="en-US" w:eastAsia="zh-CN" w:bidi="ar"/>
              </w:rPr>
              <w:t>季度</w:t>
            </w:r>
          </w:p>
        </w:tc>
        <w:tc>
          <w:tcPr>
            <w:tcW w:w="2124" w:type="dxa"/>
            <w:tcBorders>
              <w:top w:val="single" w:color="auto" w:sz="2" w:space="0"/>
              <w:left w:val="single" w:color="auto" w:sz="2" w:space="0"/>
              <w:bottom w:val="single" w:color="auto" w:sz="2" w:space="0"/>
              <w:right w:val="single" w:color="auto" w:sz="2" w:space="0"/>
            </w:tcBorders>
            <w:vAlign w:val="center"/>
          </w:tcPr>
          <w:p w14:paraId="6E265411">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 w:val="21"/>
                <w:szCs w:val="21"/>
                <w:highlight w:val="none"/>
                <w:shd w:val="clear" w:color="auto" w:fill="auto"/>
              </w:rPr>
              <w:t>《声环境质量标准》（GB3096-2008）</w:t>
            </w:r>
            <w:r>
              <w:rPr>
                <w:rFonts w:hint="eastAsia"/>
                <w:color w:val="auto"/>
                <w:sz w:val="21"/>
                <w:szCs w:val="21"/>
                <w:highlight w:val="none"/>
                <w:shd w:val="clear" w:color="auto" w:fill="auto"/>
                <w:lang w:val="en-US" w:eastAsia="zh-CN"/>
              </w:rPr>
              <w:t>1</w:t>
            </w:r>
            <w:r>
              <w:rPr>
                <w:rFonts w:hint="eastAsia"/>
                <w:color w:val="auto"/>
                <w:sz w:val="21"/>
                <w:szCs w:val="21"/>
                <w:highlight w:val="none"/>
                <w:shd w:val="clear" w:color="auto" w:fill="auto"/>
              </w:rPr>
              <w:t>类标准</w:t>
            </w:r>
          </w:p>
        </w:tc>
      </w:tr>
      <w:tr w14:paraId="704040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7" w:hRule="atLeast"/>
          <w:jc w:val="center"/>
        </w:trPr>
        <w:tc>
          <w:tcPr>
            <w:tcW w:w="1561" w:type="dxa"/>
            <w:vMerge w:val="continue"/>
            <w:tcBorders>
              <w:left w:val="single" w:color="auto" w:sz="2" w:space="0"/>
              <w:right w:val="single" w:color="auto" w:sz="2" w:space="0"/>
            </w:tcBorders>
            <w:vAlign w:val="center"/>
          </w:tcPr>
          <w:p w14:paraId="2860286E">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p>
        </w:tc>
        <w:tc>
          <w:tcPr>
            <w:tcW w:w="4874" w:type="dxa"/>
            <w:vMerge w:val="continue"/>
            <w:tcBorders>
              <w:left w:val="single" w:color="auto" w:sz="2" w:space="0"/>
              <w:bottom w:val="single" w:color="auto" w:sz="2" w:space="0"/>
              <w:right w:val="single" w:color="auto" w:sz="2" w:space="0"/>
            </w:tcBorders>
            <w:vAlign w:val="center"/>
          </w:tcPr>
          <w:p w14:paraId="51CB1EE2">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p>
        </w:tc>
        <w:tc>
          <w:tcPr>
            <w:tcW w:w="1802" w:type="dxa"/>
            <w:vMerge w:val="continue"/>
            <w:tcBorders>
              <w:left w:val="single" w:color="auto" w:sz="2" w:space="0"/>
              <w:bottom w:val="single" w:color="auto" w:sz="2" w:space="0"/>
              <w:right w:val="single" w:color="auto" w:sz="2" w:space="0"/>
            </w:tcBorders>
            <w:vAlign w:val="center"/>
          </w:tcPr>
          <w:p w14:paraId="12F0AA79">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p>
        </w:tc>
        <w:tc>
          <w:tcPr>
            <w:tcW w:w="3813" w:type="dxa"/>
            <w:tcBorders>
              <w:top w:val="single" w:color="auto" w:sz="2" w:space="0"/>
              <w:left w:val="single" w:color="auto" w:sz="2" w:space="0"/>
              <w:bottom w:val="single" w:color="auto" w:sz="2" w:space="0"/>
              <w:right w:val="single" w:color="auto" w:sz="2" w:space="0"/>
            </w:tcBorders>
            <w:vAlign w:val="center"/>
          </w:tcPr>
          <w:p w14:paraId="10E97867">
            <w:pPr>
              <w:keepNext w:val="0"/>
              <w:keepLines w:val="0"/>
              <w:suppressLineNumbers w:val="0"/>
              <w:adjustRightInd w:val="0"/>
              <w:snapToGrid w:val="0"/>
              <w:spacing w:before="0" w:beforeAutospacing="0" w:after="0" w:afterAutospacing="0"/>
              <w:ind w:left="0" w:right="0"/>
              <w:rPr>
                <w:rFonts w:hint="eastAsia" w:cs="Times New Roman"/>
                <w:color w:val="auto"/>
                <w:szCs w:val="21"/>
                <w:lang w:val="en-US" w:eastAsia="zh-CN"/>
              </w:rPr>
            </w:pPr>
            <w:r>
              <w:rPr>
                <w:rFonts w:hint="eastAsia" w:cs="Times New Roman"/>
                <w:color w:val="auto"/>
                <w:szCs w:val="21"/>
                <w:lang w:val="en-US" w:eastAsia="zh-CN"/>
              </w:rPr>
              <w:t>生态调查：</w:t>
            </w:r>
          </w:p>
          <w:p w14:paraId="5C164421">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（1）监测地点：</w:t>
            </w:r>
            <w:r>
              <w:rPr>
                <w:rFonts w:hint="eastAsia" w:ascii="宋体" w:hAnsi="宋体" w:eastAsia="宋体" w:cs="宋体"/>
                <w:color w:val="auto"/>
                <w:kern w:val="0"/>
                <w:sz w:val="20"/>
                <w:szCs w:val="20"/>
                <w:lang w:val="en-US" w:eastAsia="zh-CN" w:bidi="ar"/>
              </w:rPr>
              <w:t>植物恢复区域</w:t>
            </w:r>
            <w:r>
              <w:rPr>
                <w:rFonts w:hint="eastAsia"/>
                <w:color w:val="auto"/>
              </w:rPr>
              <w:t>。</w:t>
            </w:r>
          </w:p>
          <w:p w14:paraId="0A9B5BE2">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（2）监测因子：</w:t>
            </w:r>
            <w:r>
              <w:rPr>
                <w:rFonts w:hint="eastAsia"/>
                <w:color w:val="auto"/>
                <w:kern w:val="2"/>
                <w:sz w:val="21"/>
                <w:szCs w:val="21"/>
                <w:lang w:val="en-US" w:eastAsia="zh-CN"/>
              </w:rPr>
              <w:t>生物群落、植被覆盖度等</w:t>
            </w:r>
            <w:r>
              <w:rPr>
                <w:rFonts w:hint="eastAsia"/>
                <w:color w:val="auto"/>
              </w:rPr>
              <w:t>。</w:t>
            </w:r>
          </w:p>
          <w:p w14:paraId="745A6361">
            <w:pPr>
              <w:keepNext w:val="0"/>
              <w:keepLines w:val="0"/>
              <w:suppressLineNumbers w:val="0"/>
              <w:shd w:val="clear"/>
              <w:adjustRightInd w:val="0"/>
              <w:snapToGrid w:val="0"/>
              <w:spacing w:before="0" w:beforeAutospacing="0" w:after="0" w:afterAutospacing="0"/>
              <w:ind w:left="0" w:right="0"/>
              <w:rPr>
                <w:rFonts w:hint="eastAsia" w:eastAsia="宋体"/>
                <w:color w:val="auto"/>
                <w:lang w:eastAsia="zh-CN"/>
              </w:rPr>
            </w:pPr>
            <w:r>
              <w:rPr>
                <w:rFonts w:hint="eastAsia"/>
                <w:color w:val="auto"/>
              </w:rPr>
              <w:t>（3）监测频率：</w:t>
            </w:r>
            <w:r>
              <w:rPr>
                <w:rFonts w:hint="default" w:ascii="Times New Roman" w:hAnsi="Times New Roman" w:cs="Times New Roman"/>
                <w:color w:val="auto"/>
                <w:kern w:val="0"/>
                <w:szCs w:val="21"/>
                <w:lang w:bidi="ar"/>
              </w:rPr>
              <w:t>环保竣工验收时监测一次</w:t>
            </w:r>
            <w:r>
              <w:rPr>
                <w:rFonts w:hint="eastAsia" w:ascii="Times New Roman" w:hAnsi="Times New Roman" w:cs="Times New Roman"/>
                <w:color w:val="auto"/>
                <w:kern w:val="0"/>
                <w:szCs w:val="21"/>
                <w:lang w:eastAsia="zh-CN" w:bidi="ar"/>
              </w:rPr>
              <w:t>。</w:t>
            </w:r>
          </w:p>
        </w:tc>
        <w:tc>
          <w:tcPr>
            <w:tcW w:w="2124" w:type="dxa"/>
            <w:tcBorders>
              <w:top w:val="single" w:color="auto" w:sz="2" w:space="0"/>
              <w:left w:val="single" w:color="auto" w:sz="2" w:space="0"/>
              <w:bottom w:val="single" w:color="auto" w:sz="2" w:space="0"/>
              <w:right w:val="single" w:color="auto" w:sz="2" w:space="0"/>
            </w:tcBorders>
            <w:vAlign w:val="center"/>
          </w:tcPr>
          <w:p w14:paraId="6D47FF20">
            <w:pPr>
              <w:keepNext w:val="0"/>
              <w:keepLines w:val="0"/>
              <w:suppressLineNumbers w:val="0"/>
              <w:shd w:val="clear"/>
              <w:adjustRightInd w:val="0"/>
              <w:snapToGrid w:val="0"/>
              <w:spacing w:before="0" w:beforeAutospacing="0" w:after="0" w:afterAutospacing="0"/>
              <w:ind w:left="0" w:right="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影响小</w:t>
            </w:r>
          </w:p>
        </w:tc>
      </w:tr>
      <w:tr w14:paraId="1A2F8C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1561" w:type="dxa"/>
            <w:tcBorders>
              <w:top w:val="single" w:color="auto" w:sz="2" w:space="0"/>
              <w:left w:val="single" w:color="auto" w:sz="2" w:space="0"/>
              <w:right w:val="single" w:color="auto" w:sz="2" w:space="0"/>
            </w:tcBorders>
            <w:vAlign w:val="center"/>
          </w:tcPr>
          <w:p w14:paraId="2511ED42">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其他</w:t>
            </w:r>
          </w:p>
        </w:tc>
        <w:tc>
          <w:tcPr>
            <w:tcW w:w="4874" w:type="dxa"/>
            <w:tcBorders>
              <w:top w:val="single" w:color="auto" w:sz="2" w:space="0"/>
              <w:left w:val="single" w:color="auto" w:sz="2" w:space="0"/>
              <w:bottom w:val="single" w:color="auto" w:sz="2" w:space="0"/>
              <w:right w:val="single" w:color="auto" w:sz="2" w:space="0"/>
            </w:tcBorders>
            <w:vAlign w:val="center"/>
          </w:tcPr>
          <w:p w14:paraId="2B8E1748">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53BBCC48">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33657C18">
            <w:pPr>
              <w:keepNext w:val="0"/>
              <w:keepLines w:val="0"/>
              <w:suppressLineNumbers w:val="0"/>
              <w:shd w:val="clear"/>
              <w:adjustRightInd w:val="0"/>
              <w:snapToGrid w:val="0"/>
              <w:spacing w:before="0" w:beforeAutospacing="0" w:after="0" w:afterAutospacing="0"/>
              <w:ind w:left="0" w:right="0"/>
              <w:rPr>
                <w:rFonts w:hint="eastAsia"/>
                <w:color w:va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23843AD8">
            <w:pPr>
              <w:keepNext w:val="0"/>
              <w:keepLines w:val="0"/>
              <w:suppressLineNumbers w:val="0"/>
              <w:shd w:val="clear"/>
              <w:adjustRightInd w:val="0"/>
              <w:snapToGrid w:val="0"/>
              <w:spacing w:before="0" w:beforeAutospacing="0" w:after="0" w:afterAutospacing="0"/>
              <w:ind w:left="0" w:right="0"/>
              <w:rPr>
                <w:rFonts w:hint="eastAsia"/>
                <w:color w:val="auto"/>
                <w:sz w:val="21"/>
                <w:szCs w:val="21"/>
                <w:highlight w:val="none"/>
                <w:shd w:val="clear" w:color="auto" w:fill="auto"/>
              </w:rPr>
            </w:pPr>
            <w:r>
              <w:rPr>
                <w:rFonts w:hint="default"/>
                <w:color w:val="auto"/>
                <w:szCs w:val="21"/>
                <w:highlight w:val="none"/>
                <w:shd w:val="clear" w:color="auto" w:fill="auto"/>
              </w:rPr>
              <w:t>/</w:t>
            </w:r>
          </w:p>
        </w:tc>
      </w:tr>
    </w:tbl>
    <w:p w14:paraId="20F170ED">
      <w:pPr>
        <w:shd w:val="clear"/>
        <w:rPr>
          <w:snapToGrid w:val="0"/>
          <w:color w:val="auto"/>
          <w:highlight w:val="none"/>
          <w:shd w:val="clear" w:color="auto" w:fill="auto"/>
        </w:rPr>
      </w:pPr>
    </w:p>
    <w:p w14:paraId="2A1F1DFF">
      <w:pPr>
        <w:shd w:val="clear"/>
        <w:rPr>
          <w:b/>
          <w:bCs/>
          <w:snapToGrid w:val="0"/>
          <w:color w:val="auto"/>
          <w:sz w:val="30"/>
          <w:szCs w:val="30"/>
          <w:highlight w:val="none"/>
          <w:shd w:val="clear" w:color="auto" w:fill="auto"/>
        </w:rPr>
        <w:sectPr>
          <w:pgSz w:w="16838" w:h="11906" w:orient="landscape"/>
          <w:pgMar w:top="1800" w:right="1440" w:bottom="1800" w:left="1440" w:header="851" w:footer="1077" w:gutter="0"/>
          <w:pgNumType w:fmt="decimal"/>
          <w:cols w:space="425" w:num="1"/>
          <w:docGrid w:linePitch="312" w:charSpace="0"/>
        </w:sectPr>
      </w:pPr>
    </w:p>
    <w:p w14:paraId="75BDB30F">
      <w:pPr>
        <w:pStyle w:val="40"/>
        <w:shd w:val="clear"/>
        <w:adjustRightInd w:val="0"/>
        <w:snapToGrid w:val="0"/>
        <w:spacing w:before="0" w:beforeAutospacing="0" w:after="0" w:afterAutospacing="0" w:line="240" w:lineRule="auto"/>
        <w:outlineLvl w:val="0"/>
        <w:rPr>
          <w:b/>
          <w:bCs/>
          <w:snapToGrid w:val="0"/>
          <w:color w:val="auto"/>
          <w:sz w:val="30"/>
          <w:szCs w:val="30"/>
          <w:highlight w:val="none"/>
          <w:shd w:val="clear" w:color="auto" w:fill="auto"/>
        </w:rPr>
      </w:pPr>
      <w:bookmarkStart w:id="108" w:name="_Toc24785"/>
      <w:r>
        <w:rPr>
          <w:b/>
          <w:bCs/>
          <w:snapToGrid w:val="0"/>
          <w:color w:val="auto"/>
          <w:sz w:val="30"/>
          <w:szCs w:val="30"/>
          <w:highlight w:val="none"/>
          <w:shd w:val="clear" w:color="auto" w:fill="auto"/>
        </w:rPr>
        <w:t>七、结论</w:t>
      </w:r>
      <w:bookmarkEnd w:id="108"/>
    </w:p>
    <w:tbl>
      <w:tblPr>
        <w:tblStyle w:val="4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522"/>
      </w:tblGrid>
      <w:tr w14:paraId="01E92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52" w:hRule="atLeast"/>
          <w:jc w:val="center"/>
        </w:trPr>
        <w:tc>
          <w:tcPr>
            <w:tcW w:w="5000" w:type="pct"/>
          </w:tcPr>
          <w:p w14:paraId="6996B560">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1、评价结论</w:t>
            </w:r>
          </w:p>
          <w:p w14:paraId="23DBBE7B">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项目建设符合国家产业政策、</w:t>
            </w:r>
            <w:r>
              <w:rPr>
                <w:rFonts w:hint="eastAsia"/>
                <w:color w:val="auto"/>
                <w:sz w:val="24"/>
                <w:highlight w:val="none"/>
                <w:shd w:val="clear" w:color="auto" w:fill="auto"/>
              </w:rPr>
              <w:t>相关规划、</w:t>
            </w:r>
            <w:r>
              <w:rPr>
                <w:rFonts w:hint="default"/>
                <w:color w:val="auto"/>
                <w:sz w:val="24"/>
                <w:highlight w:val="none"/>
                <w:shd w:val="clear" w:color="auto" w:fill="auto"/>
              </w:rPr>
              <w:t>光伏用地意见、</w:t>
            </w:r>
            <w:r>
              <w:rPr>
                <w:rFonts w:hint="eastAsia"/>
                <w:color w:val="auto"/>
                <w:sz w:val="24"/>
                <w:highlight w:val="none"/>
                <w:shd w:val="clear" w:color="auto" w:fill="auto"/>
              </w:rPr>
              <w:t>三线一单控制要求</w:t>
            </w:r>
            <w:r>
              <w:rPr>
                <w:rFonts w:hint="default"/>
                <w:color w:val="auto"/>
                <w:sz w:val="24"/>
                <w:highlight w:val="none"/>
                <w:shd w:val="clear" w:color="auto" w:fill="auto"/>
              </w:rPr>
              <w:t>、环保政策要求。项目不涉及</w:t>
            </w:r>
            <w:r>
              <w:rPr>
                <w:rFonts w:hint="eastAsia"/>
                <w:color w:val="auto"/>
                <w:sz w:val="24"/>
                <w:highlight w:val="none"/>
                <w:shd w:val="clear" w:color="auto" w:fill="auto"/>
              </w:rPr>
              <w:t>自然保护区、风景名胜区、森林公园、饮用水水源保护区</w:t>
            </w:r>
            <w:r>
              <w:rPr>
                <w:rFonts w:hint="default"/>
                <w:color w:val="auto"/>
                <w:sz w:val="24"/>
                <w:highlight w:val="none"/>
                <w:shd w:val="clear" w:color="auto" w:fill="auto"/>
              </w:rPr>
              <w:t>等环境敏感区，用地为政府可供用地，无重大环境制约因素，选址合理。项目为光伏发电项目，采用的技术成熟、可靠，为清洁能源。</w:t>
            </w:r>
            <w:r>
              <w:rPr>
                <w:rFonts w:hint="eastAsia"/>
                <w:color w:val="auto"/>
                <w:sz w:val="24"/>
                <w:highlight w:val="none"/>
                <w:shd w:val="clear" w:color="auto" w:fill="auto"/>
              </w:rPr>
              <w:t>项目在施工期和运营期严格落实本环评及水土保持方案提出的各项生态保护和污染防治措施后，项目施工期和运营期产生的环境影响满足相应的环境保护要求，对项目区域生态环境、大气环境、水环境、声环境等影响较小，不会改变项目所在区域环境功能现状。综上所述，从环境保护角度分析，本项目的建设是可行的。</w:t>
            </w:r>
          </w:p>
          <w:p w14:paraId="1EB10CC8">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2、</w:t>
            </w:r>
            <w:r>
              <w:rPr>
                <w:rFonts w:hint="eastAsia"/>
                <w:b/>
                <w:bCs/>
                <w:color w:val="auto"/>
                <w:sz w:val="24"/>
                <w:highlight w:val="none"/>
                <w:shd w:val="clear" w:color="auto" w:fill="auto"/>
              </w:rPr>
              <w:t>建议及要求</w:t>
            </w:r>
          </w:p>
          <w:p w14:paraId="247B664D">
            <w:pPr>
              <w:keepNext w:val="0"/>
              <w:keepLines w:val="0"/>
              <w:widowControl/>
              <w:suppressLineNumbers w:val="0"/>
              <w:shd w:val="clear"/>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bidi="ar"/>
              </w:rPr>
              <w:t>（1）</w:t>
            </w:r>
            <w:r>
              <w:rPr>
                <w:rFonts w:hint="eastAsia" w:ascii="Times New Roman" w:hAnsi="Times New Roman" w:eastAsia="宋体" w:cs="Times New Roman"/>
                <w:color w:val="auto"/>
                <w:kern w:val="0"/>
                <w:sz w:val="24"/>
                <w:lang w:val="en-US" w:eastAsia="zh-CN" w:bidi="ar"/>
              </w:rPr>
              <w:t>项目建设和运营过程中参考《中华人民共和国水污染防治法</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饮用水水源保护区污染防治管理规定</w:t>
            </w:r>
            <w:r>
              <w:rPr>
                <w:rFonts w:hint="eastAsia" w:cs="Times New Roman"/>
                <w:color w:val="auto"/>
                <w:kern w:val="0"/>
                <w:sz w:val="24"/>
                <w:lang w:val="en-US" w:eastAsia="zh-CN" w:bidi="ar"/>
              </w:rPr>
              <w:t>》等</w:t>
            </w:r>
            <w:r>
              <w:rPr>
                <w:rFonts w:hint="eastAsia" w:ascii="Times New Roman" w:hAnsi="Times New Roman" w:eastAsia="宋体" w:cs="Times New Roman"/>
                <w:color w:val="auto"/>
                <w:kern w:val="0"/>
                <w:sz w:val="24"/>
                <w:lang w:val="en-US" w:eastAsia="zh-CN" w:bidi="ar"/>
              </w:rPr>
              <w:t>有关规定制定落实项目水环境保护措施。</w:t>
            </w:r>
          </w:p>
          <w:p w14:paraId="59162D29">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w:t>
            </w:r>
            <w:r>
              <w:rPr>
                <w:rFonts w:hint="eastAsia"/>
                <w:color w:val="auto"/>
                <w:kern w:val="0"/>
                <w:sz w:val="24"/>
                <w:highlight w:val="none"/>
                <w:shd w:val="clear" w:color="auto" w:fill="auto"/>
                <w:lang w:val="en-US" w:eastAsia="zh-CN" w:bidi="ar"/>
              </w:rPr>
              <w:t>2</w:t>
            </w:r>
            <w:r>
              <w:rPr>
                <w:rFonts w:hint="eastAsia"/>
                <w:color w:val="auto"/>
                <w:kern w:val="0"/>
                <w:sz w:val="24"/>
                <w:highlight w:val="none"/>
                <w:shd w:val="clear" w:color="auto" w:fill="auto"/>
                <w:lang w:bidi="ar"/>
              </w:rPr>
              <w:t>）</w:t>
            </w:r>
            <w:r>
              <w:rPr>
                <w:rFonts w:hint="eastAsia" w:ascii="宋体" w:hAnsi="宋体" w:cs="宋体"/>
                <w:color w:val="auto"/>
                <w:kern w:val="0"/>
                <w:sz w:val="24"/>
                <w:highlight w:val="none"/>
                <w:shd w:val="clear" w:color="auto" w:fill="auto"/>
                <w:lang w:bidi="ar"/>
              </w:rPr>
              <w:t>严格落实环保“三同时”制度，即环保设施与主体工程要同时设计、同时施工、同时投产使用。</w:t>
            </w:r>
          </w:p>
          <w:p w14:paraId="2111EEAE">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w:t>
            </w:r>
            <w:r>
              <w:rPr>
                <w:rFonts w:hint="eastAsia"/>
                <w:color w:val="auto"/>
                <w:kern w:val="0"/>
                <w:sz w:val="24"/>
                <w:highlight w:val="none"/>
                <w:shd w:val="clear" w:color="auto" w:fill="auto"/>
                <w:lang w:val="en-US" w:eastAsia="zh-CN" w:bidi="ar"/>
              </w:rPr>
              <w:t>3</w:t>
            </w:r>
            <w:r>
              <w:rPr>
                <w:rFonts w:hint="eastAsia"/>
                <w:color w:val="auto"/>
                <w:kern w:val="0"/>
                <w:sz w:val="24"/>
                <w:highlight w:val="none"/>
                <w:shd w:val="clear" w:color="auto" w:fill="auto"/>
                <w:lang w:bidi="ar"/>
              </w:rPr>
              <w:t>）</w:t>
            </w:r>
            <w:r>
              <w:rPr>
                <w:rFonts w:hint="eastAsia" w:ascii="宋体" w:hAnsi="宋体" w:cs="宋体"/>
                <w:color w:val="auto"/>
                <w:kern w:val="0"/>
                <w:sz w:val="24"/>
                <w:highlight w:val="none"/>
                <w:shd w:val="clear" w:color="auto" w:fill="auto"/>
                <w:lang w:bidi="ar"/>
              </w:rPr>
              <w:t>项目建设完成、设备调试正常后，及时开展环境保护竣工验收工作，并报至当地生态环境主管部门备案。</w:t>
            </w:r>
          </w:p>
          <w:p w14:paraId="12ECB664">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w:t>
            </w:r>
            <w:r>
              <w:rPr>
                <w:rFonts w:hint="eastAsia"/>
                <w:color w:val="auto"/>
                <w:kern w:val="0"/>
                <w:sz w:val="24"/>
                <w:highlight w:val="none"/>
                <w:shd w:val="clear" w:color="auto" w:fill="auto"/>
                <w:lang w:val="en-US" w:eastAsia="zh-CN" w:bidi="ar"/>
              </w:rPr>
              <w:t>4</w:t>
            </w:r>
            <w:r>
              <w:rPr>
                <w:rFonts w:hint="eastAsia"/>
                <w:color w:val="auto"/>
                <w:kern w:val="0"/>
                <w:sz w:val="24"/>
                <w:highlight w:val="none"/>
                <w:shd w:val="clear" w:color="auto" w:fill="auto"/>
                <w:lang w:bidi="ar"/>
              </w:rPr>
              <w:t>）</w:t>
            </w:r>
            <w:r>
              <w:rPr>
                <w:rFonts w:hint="eastAsia" w:ascii="宋体" w:hAnsi="宋体" w:cs="宋体"/>
                <w:color w:val="auto"/>
                <w:kern w:val="0"/>
                <w:sz w:val="24"/>
                <w:highlight w:val="none"/>
                <w:shd w:val="clear" w:color="auto" w:fill="auto"/>
                <w:lang w:bidi="ar"/>
              </w:rPr>
              <w:t>编制突发环境事件应急预案，并报至当地生态环境主管部门备案，并根据应急预案要求，定期开展突发环境事件演练工作，做好演练记录和总结。</w:t>
            </w:r>
          </w:p>
          <w:p w14:paraId="100374E2">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kern w:val="0"/>
                <w:sz w:val="24"/>
                <w:highlight w:val="none"/>
                <w:shd w:val="clear" w:color="auto" w:fill="auto"/>
                <w:lang w:bidi="ar"/>
              </w:rPr>
              <w:t>（</w:t>
            </w:r>
            <w:r>
              <w:rPr>
                <w:rFonts w:hint="eastAsia"/>
                <w:color w:val="auto"/>
                <w:kern w:val="0"/>
                <w:sz w:val="24"/>
                <w:highlight w:val="none"/>
                <w:shd w:val="clear" w:color="auto" w:fill="auto"/>
                <w:lang w:val="en-US" w:eastAsia="zh-CN" w:bidi="ar"/>
              </w:rPr>
              <w:t>5</w:t>
            </w:r>
            <w:r>
              <w:rPr>
                <w:rFonts w:hint="eastAsia"/>
                <w:color w:val="auto"/>
                <w:kern w:val="0"/>
                <w:sz w:val="24"/>
                <w:highlight w:val="none"/>
                <w:shd w:val="clear" w:color="auto" w:fill="auto"/>
                <w:lang w:bidi="ar"/>
              </w:rPr>
              <w:t>）</w:t>
            </w:r>
            <w:r>
              <w:rPr>
                <w:rFonts w:hint="eastAsia" w:ascii="宋体" w:hAnsi="宋体" w:cs="宋体"/>
                <w:color w:val="auto"/>
                <w:kern w:val="0"/>
                <w:sz w:val="24"/>
                <w:highlight w:val="none"/>
                <w:shd w:val="clear" w:color="auto" w:fill="auto"/>
                <w:lang w:bidi="ar"/>
              </w:rPr>
              <w:t>完善项目环境管理体系，制定环保管理制度，定期开展环境保护知识宣传、培训，提高员工环保及环境风险防范意识。</w:t>
            </w:r>
          </w:p>
        </w:tc>
      </w:tr>
    </w:tbl>
    <w:p w14:paraId="4E022645">
      <w:pPr>
        <w:widowControl/>
        <w:shd w:val="clear"/>
        <w:adjustRightInd w:val="0"/>
        <w:snapToGrid w:val="0"/>
        <w:spacing w:before="192" w:beforeLines="80"/>
        <w:jc w:val="left"/>
        <w:rPr>
          <w:color w:val="auto"/>
          <w:highlight w:val="none"/>
          <w:shd w:val="clear" w:color="auto" w:fill="auto"/>
        </w:rPr>
      </w:pPr>
    </w:p>
    <w:sectPr>
      <w:pgSz w:w="11906" w:h="16838"/>
      <w:pgMar w:top="1440" w:right="1800" w:bottom="1440" w:left="1800" w:header="851" w:footer="1077"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swiss"/>
    <w:pitch w:val="default"/>
    <w:sig w:usb0="E00002FF" w:usb1="400004FF" w:usb2="00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JhengHei">
    <w:panose1 w:val="020B0604030504040204"/>
    <w:charset w:val="88"/>
    <w:family w:val="decorative"/>
    <w:pitch w:val="default"/>
    <w:sig w:usb0="00000087" w:usb1="28AF4000" w:usb2="00000016" w:usb3="00000000" w:csb0="00100009" w:csb1="00000000"/>
  </w:font>
  <w:font w:name="微软雅黑">
    <w:panose1 w:val="020B0503020204020204"/>
    <w:charset w:val="86"/>
    <w:family w:val="swiss"/>
    <w:pitch w:val="default"/>
    <w:sig w:usb0="80000287" w:usb1="280F3C52" w:usb2="00000016" w:usb3="00000000" w:csb0="0004001F" w:csb1="00000000"/>
  </w:font>
  <w:font w:name="Arial Unicode MS">
    <w:altName w:val="宋体"/>
    <w:panose1 w:val="020B0604020202020204"/>
    <w:charset w:val="86"/>
    <w:family w:val="decorative"/>
    <w:pitch w:val="default"/>
    <w:sig w:usb0="00000000" w:usb1="00000000" w:usb2="0000003F" w:usb3="00000000" w:csb0="603F01FF" w:csb1="FFFF0000"/>
  </w:font>
  <w:font w:name="楷体_GB2312">
    <w:panose1 w:val="02010609030101010101"/>
    <w:charset w:val="86"/>
    <w:family w:val="swiss"/>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swiss"/>
    <w:pitch w:val="default"/>
    <w:sig w:usb0="000000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鏂板畫浣?">
    <w:altName w:val="Segoe Print"/>
    <w:panose1 w:val="00000000000000000000"/>
    <w:charset w:val="00"/>
    <w:family w:val="auto"/>
    <w:pitch w:val="default"/>
    <w:sig w:usb0="00000000" w:usb1="00000000" w:usb2="00000000" w:usb3="00000000" w:csb0="00000000" w:csb1="00000000"/>
  </w:font>
  <w:font w:name="AMGDT">
    <w:altName w:val="Segoe UI Semilight"/>
    <w:panose1 w:val="02000400000000000000"/>
    <w:charset w:val="00"/>
    <w:family w:val="auto"/>
    <w:pitch w:val="default"/>
    <w:sig w:usb0="00000000" w:usb1="00000000" w:usb2="00000000" w:usb3="00000000" w:csb0="00000001" w:csb1="00000000"/>
  </w:font>
  <w:font w:name="瀹嬩綋">
    <w:altName w:val="Segoe Prin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1184F">
    <w:pPr>
      <w:pStyle w:val="3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20ECB">
                          <w:pPr>
                            <w:pStyle w:val="3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2920ECB">
                    <w:pPr>
                      <w:pStyle w:val="3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FE4EF">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6CF12">
                          <w:pPr>
                            <w:pStyle w:val="3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756CF12">
                    <w:pPr>
                      <w:pStyle w:val="3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9EE66">
    <w:pPr>
      <w:pStyle w:val="3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83DCE">
                          <w:pPr>
                            <w:pStyle w:val="35"/>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AF83DCE">
                    <w:pPr>
                      <w:pStyle w:val="35"/>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46035">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1BE24">
                          <w:pPr>
                            <w:pStyle w:val="35"/>
                          </w:pPr>
                          <w:r>
                            <w:fldChar w:fldCharType="begin"/>
                          </w:r>
                          <w:r>
                            <w:instrText xml:space="preserve"> PAGE  \* MERGEFORMAT </w:instrText>
                          </w:r>
                          <w:r>
                            <w:fldChar w:fldCharType="separate"/>
                          </w:r>
                          <w:r>
                            <w:t>XXVI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211BE24">
                    <w:pPr>
                      <w:pStyle w:val="35"/>
                    </w:pPr>
                    <w:r>
                      <w:fldChar w:fldCharType="begin"/>
                    </w:r>
                    <w:r>
                      <w:instrText xml:space="preserve"> PAGE  \* MERGEFORMAT </w:instrText>
                    </w:r>
                    <w:r>
                      <w:fldChar w:fldCharType="separate"/>
                    </w:r>
                    <w:r>
                      <w:t>XXVI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C96C">
    <w:pPr>
      <w:pStyle w:val="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BB10E8"/>
    <w:multiLevelType w:val="multilevel"/>
    <w:tmpl w:val="5DBB10E8"/>
    <w:lvl w:ilvl="0" w:tentative="0">
      <w:start w:val="1"/>
      <w:numFmt w:val="decimalEnclosedCircle"/>
      <w:pStyle w:val="109"/>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8A0644"/>
    <w:multiLevelType w:val="singleLevel"/>
    <w:tmpl w:val="608A0644"/>
    <w:lvl w:ilvl="0" w:tentative="0">
      <w:start w:val="1"/>
      <w:numFmt w:val="bullet"/>
      <w:pStyle w:val="18"/>
      <w:lvlText w:val=""/>
      <w:lvlJc w:val="left"/>
      <w:pPr>
        <w:tabs>
          <w:tab w:val="left" w:pos="780"/>
        </w:tabs>
        <w:ind w:left="7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yMDQ1ODU1OTkwYmM3NWJiNTJhOGQxYzFjM2QwMDQifQ=="/>
  </w:docVars>
  <w:rsids>
    <w:rsidRoot w:val="00172A27"/>
    <w:rsid w:val="00000A72"/>
    <w:rsid w:val="00001149"/>
    <w:rsid w:val="00001B68"/>
    <w:rsid w:val="00001C34"/>
    <w:rsid w:val="00001CED"/>
    <w:rsid w:val="00001E67"/>
    <w:rsid w:val="000022AE"/>
    <w:rsid w:val="00002326"/>
    <w:rsid w:val="00002D5F"/>
    <w:rsid w:val="000030B4"/>
    <w:rsid w:val="0000351F"/>
    <w:rsid w:val="0000368A"/>
    <w:rsid w:val="00003A9F"/>
    <w:rsid w:val="00003CD8"/>
    <w:rsid w:val="0000429E"/>
    <w:rsid w:val="00004B65"/>
    <w:rsid w:val="000053BA"/>
    <w:rsid w:val="000073CD"/>
    <w:rsid w:val="00007402"/>
    <w:rsid w:val="00007D6D"/>
    <w:rsid w:val="00007DB6"/>
    <w:rsid w:val="00011B51"/>
    <w:rsid w:val="00011C86"/>
    <w:rsid w:val="00012853"/>
    <w:rsid w:val="00012A30"/>
    <w:rsid w:val="000130CE"/>
    <w:rsid w:val="00013DF0"/>
    <w:rsid w:val="00013F11"/>
    <w:rsid w:val="000143A5"/>
    <w:rsid w:val="0001462B"/>
    <w:rsid w:val="000147E1"/>
    <w:rsid w:val="00014965"/>
    <w:rsid w:val="00014D96"/>
    <w:rsid w:val="0001523A"/>
    <w:rsid w:val="00015325"/>
    <w:rsid w:val="00015ECA"/>
    <w:rsid w:val="00016ECB"/>
    <w:rsid w:val="00020A4A"/>
    <w:rsid w:val="00020C21"/>
    <w:rsid w:val="00021F7D"/>
    <w:rsid w:val="000223BE"/>
    <w:rsid w:val="00022BCA"/>
    <w:rsid w:val="00023646"/>
    <w:rsid w:val="00023AED"/>
    <w:rsid w:val="000242FA"/>
    <w:rsid w:val="000243F2"/>
    <w:rsid w:val="0002447D"/>
    <w:rsid w:val="00024975"/>
    <w:rsid w:val="00025980"/>
    <w:rsid w:val="000269F6"/>
    <w:rsid w:val="00030295"/>
    <w:rsid w:val="00030472"/>
    <w:rsid w:val="00030DCA"/>
    <w:rsid w:val="00031939"/>
    <w:rsid w:val="00032D25"/>
    <w:rsid w:val="00032FDE"/>
    <w:rsid w:val="000333AE"/>
    <w:rsid w:val="00033739"/>
    <w:rsid w:val="00033E83"/>
    <w:rsid w:val="00033FA5"/>
    <w:rsid w:val="000341C4"/>
    <w:rsid w:val="000349DF"/>
    <w:rsid w:val="000349F1"/>
    <w:rsid w:val="00034DF2"/>
    <w:rsid w:val="000354A1"/>
    <w:rsid w:val="00036BAA"/>
    <w:rsid w:val="00037247"/>
    <w:rsid w:val="00037858"/>
    <w:rsid w:val="00037C0E"/>
    <w:rsid w:val="00037DE8"/>
    <w:rsid w:val="000402E9"/>
    <w:rsid w:val="00040432"/>
    <w:rsid w:val="0004136E"/>
    <w:rsid w:val="0004168F"/>
    <w:rsid w:val="00041C3B"/>
    <w:rsid w:val="000431E0"/>
    <w:rsid w:val="00043520"/>
    <w:rsid w:val="00043F9B"/>
    <w:rsid w:val="000444B8"/>
    <w:rsid w:val="00044B45"/>
    <w:rsid w:val="00044F41"/>
    <w:rsid w:val="000450A0"/>
    <w:rsid w:val="00045AFF"/>
    <w:rsid w:val="00046B7B"/>
    <w:rsid w:val="00050ACF"/>
    <w:rsid w:val="00050DF4"/>
    <w:rsid w:val="0005186B"/>
    <w:rsid w:val="0005219D"/>
    <w:rsid w:val="00053026"/>
    <w:rsid w:val="000532E9"/>
    <w:rsid w:val="00053BDF"/>
    <w:rsid w:val="00054DAB"/>
    <w:rsid w:val="00055365"/>
    <w:rsid w:val="0005568F"/>
    <w:rsid w:val="0005575A"/>
    <w:rsid w:val="00055E1B"/>
    <w:rsid w:val="0005650A"/>
    <w:rsid w:val="00060132"/>
    <w:rsid w:val="0006153D"/>
    <w:rsid w:val="00061B1F"/>
    <w:rsid w:val="00061C91"/>
    <w:rsid w:val="00062B3A"/>
    <w:rsid w:val="00063BBB"/>
    <w:rsid w:val="00064FF3"/>
    <w:rsid w:val="000654CE"/>
    <w:rsid w:val="00065AD8"/>
    <w:rsid w:val="00065FAF"/>
    <w:rsid w:val="000664DB"/>
    <w:rsid w:val="00066743"/>
    <w:rsid w:val="00066AD9"/>
    <w:rsid w:val="000673B9"/>
    <w:rsid w:val="000703EE"/>
    <w:rsid w:val="00070A94"/>
    <w:rsid w:val="0007127D"/>
    <w:rsid w:val="000719B5"/>
    <w:rsid w:val="00071AA4"/>
    <w:rsid w:val="00071AE5"/>
    <w:rsid w:val="00071D2B"/>
    <w:rsid w:val="00071D31"/>
    <w:rsid w:val="00071EAD"/>
    <w:rsid w:val="00072B93"/>
    <w:rsid w:val="00072DC3"/>
    <w:rsid w:val="0007366C"/>
    <w:rsid w:val="00074783"/>
    <w:rsid w:val="00074B5E"/>
    <w:rsid w:val="00074CD4"/>
    <w:rsid w:val="00075999"/>
    <w:rsid w:val="00075F0E"/>
    <w:rsid w:val="00077B11"/>
    <w:rsid w:val="00077D7E"/>
    <w:rsid w:val="000801E0"/>
    <w:rsid w:val="000806C4"/>
    <w:rsid w:val="000807C8"/>
    <w:rsid w:val="00080CDA"/>
    <w:rsid w:val="00080DBD"/>
    <w:rsid w:val="00081456"/>
    <w:rsid w:val="00081A17"/>
    <w:rsid w:val="000824F0"/>
    <w:rsid w:val="00082A29"/>
    <w:rsid w:val="0008331D"/>
    <w:rsid w:val="00083A0E"/>
    <w:rsid w:val="00083C18"/>
    <w:rsid w:val="00083CA3"/>
    <w:rsid w:val="0008427E"/>
    <w:rsid w:val="00086033"/>
    <w:rsid w:val="00086EAF"/>
    <w:rsid w:val="000905D8"/>
    <w:rsid w:val="00090C9A"/>
    <w:rsid w:val="00091F08"/>
    <w:rsid w:val="000922CD"/>
    <w:rsid w:val="00092899"/>
    <w:rsid w:val="00092D25"/>
    <w:rsid w:val="000936F6"/>
    <w:rsid w:val="00094BB9"/>
    <w:rsid w:val="0009739F"/>
    <w:rsid w:val="000A08AF"/>
    <w:rsid w:val="000A10E2"/>
    <w:rsid w:val="000A14B5"/>
    <w:rsid w:val="000A178E"/>
    <w:rsid w:val="000A1A47"/>
    <w:rsid w:val="000A1E61"/>
    <w:rsid w:val="000A23CC"/>
    <w:rsid w:val="000A2A87"/>
    <w:rsid w:val="000A308D"/>
    <w:rsid w:val="000A35E4"/>
    <w:rsid w:val="000A3C02"/>
    <w:rsid w:val="000A3CA2"/>
    <w:rsid w:val="000A3D99"/>
    <w:rsid w:val="000A46CA"/>
    <w:rsid w:val="000A557E"/>
    <w:rsid w:val="000A5FDD"/>
    <w:rsid w:val="000A6D53"/>
    <w:rsid w:val="000A722D"/>
    <w:rsid w:val="000A7C79"/>
    <w:rsid w:val="000B0048"/>
    <w:rsid w:val="000B0582"/>
    <w:rsid w:val="000B058F"/>
    <w:rsid w:val="000B0B94"/>
    <w:rsid w:val="000B16C7"/>
    <w:rsid w:val="000B17B8"/>
    <w:rsid w:val="000B1C29"/>
    <w:rsid w:val="000B1FB8"/>
    <w:rsid w:val="000B2EA8"/>
    <w:rsid w:val="000B3037"/>
    <w:rsid w:val="000B4524"/>
    <w:rsid w:val="000B4AD2"/>
    <w:rsid w:val="000B534A"/>
    <w:rsid w:val="000B5FF2"/>
    <w:rsid w:val="000B693F"/>
    <w:rsid w:val="000B6964"/>
    <w:rsid w:val="000B7A69"/>
    <w:rsid w:val="000C06CE"/>
    <w:rsid w:val="000C09AC"/>
    <w:rsid w:val="000C0A63"/>
    <w:rsid w:val="000C192B"/>
    <w:rsid w:val="000C218B"/>
    <w:rsid w:val="000C2A2B"/>
    <w:rsid w:val="000C3C1B"/>
    <w:rsid w:val="000C3F7A"/>
    <w:rsid w:val="000C437E"/>
    <w:rsid w:val="000C43F3"/>
    <w:rsid w:val="000C43FD"/>
    <w:rsid w:val="000C55EA"/>
    <w:rsid w:val="000C5642"/>
    <w:rsid w:val="000C5C55"/>
    <w:rsid w:val="000C61A9"/>
    <w:rsid w:val="000C7F7D"/>
    <w:rsid w:val="000D018F"/>
    <w:rsid w:val="000D04D6"/>
    <w:rsid w:val="000D0FD3"/>
    <w:rsid w:val="000D21B5"/>
    <w:rsid w:val="000D24F2"/>
    <w:rsid w:val="000D26D1"/>
    <w:rsid w:val="000D4FAF"/>
    <w:rsid w:val="000D4FF8"/>
    <w:rsid w:val="000D538F"/>
    <w:rsid w:val="000D567E"/>
    <w:rsid w:val="000D5AE2"/>
    <w:rsid w:val="000D5B5E"/>
    <w:rsid w:val="000D5B79"/>
    <w:rsid w:val="000D5BB0"/>
    <w:rsid w:val="000D60B5"/>
    <w:rsid w:val="000D6872"/>
    <w:rsid w:val="000E026D"/>
    <w:rsid w:val="000E09AF"/>
    <w:rsid w:val="000E0B13"/>
    <w:rsid w:val="000E10C8"/>
    <w:rsid w:val="000E17B7"/>
    <w:rsid w:val="000E1B42"/>
    <w:rsid w:val="000E1E38"/>
    <w:rsid w:val="000E1EFA"/>
    <w:rsid w:val="000E2406"/>
    <w:rsid w:val="000E39B2"/>
    <w:rsid w:val="000E4635"/>
    <w:rsid w:val="000E4F8B"/>
    <w:rsid w:val="000E5121"/>
    <w:rsid w:val="000E5381"/>
    <w:rsid w:val="000E5668"/>
    <w:rsid w:val="000E5954"/>
    <w:rsid w:val="000E5C0F"/>
    <w:rsid w:val="000E5CF7"/>
    <w:rsid w:val="000E5E6B"/>
    <w:rsid w:val="000E5F16"/>
    <w:rsid w:val="000E6691"/>
    <w:rsid w:val="000E6B56"/>
    <w:rsid w:val="000E6C58"/>
    <w:rsid w:val="000E70C7"/>
    <w:rsid w:val="000E7773"/>
    <w:rsid w:val="000E7776"/>
    <w:rsid w:val="000E7F11"/>
    <w:rsid w:val="000F0235"/>
    <w:rsid w:val="000F086F"/>
    <w:rsid w:val="000F0A6A"/>
    <w:rsid w:val="000F124B"/>
    <w:rsid w:val="000F1E22"/>
    <w:rsid w:val="000F2751"/>
    <w:rsid w:val="000F2DAC"/>
    <w:rsid w:val="000F4452"/>
    <w:rsid w:val="000F4F67"/>
    <w:rsid w:val="000F5671"/>
    <w:rsid w:val="000F58BB"/>
    <w:rsid w:val="000F5A1A"/>
    <w:rsid w:val="000F5B60"/>
    <w:rsid w:val="000F5CBF"/>
    <w:rsid w:val="000F67AE"/>
    <w:rsid w:val="000F6AA6"/>
    <w:rsid w:val="000F6CFD"/>
    <w:rsid w:val="000F6DA1"/>
    <w:rsid w:val="000F6F1B"/>
    <w:rsid w:val="000F6F68"/>
    <w:rsid w:val="000F701B"/>
    <w:rsid w:val="000F77FD"/>
    <w:rsid w:val="000F78A9"/>
    <w:rsid w:val="000F78EA"/>
    <w:rsid w:val="000F7B49"/>
    <w:rsid w:val="000F7FB1"/>
    <w:rsid w:val="00100268"/>
    <w:rsid w:val="0010066A"/>
    <w:rsid w:val="001017BD"/>
    <w:rsid w:val="001018B8"/>
    <w:rsid w:val="00101E1F"/>
    <w:rsid w:val="0010210B"/>
    <w:rsid w:val="0010285F"/>
    <w:rsid w:val="0010400E"/>
    <w:rsid w:val="00105336"/>
    <w:rsid w:val="001056A0"/>
    <w:rsid w:val="00105E89"/>
    <w:rsid w:val="00106865"/>
    <w:rsid w:val="0010721A"/>
    <w:rsid w:val="001078AC"/>
    <w:rsid w:val="00107B92"/>
    <w:rsid w:val="00110F4E"/>
    <w:rsid w:val="00110FE3"/>
    <w:rsid w:val="0011102A"/>
    <w:rsid w:val="0011221A"/>
    <w:rsid w:val="00112F90"/>
    <w:rsid w:val="0011381A"/>
    <w:rsid w:val="0011420D"/>
    <w:rsid w:val="0011458F"/>
    <w:rsid w:val="00114A83"/>
    <w:rsid w:val="00115251"/>
    <w:rsid w:val="00115279"/>
    <w:rsid w:val="00115E02"/>
    <w:rsid w:val="00116994"/>
    <w:rsid w:val="00117459"/>
    <w:rsid w:val="0011749A"/>
    <w:rsid w:val="001203D9"/>
    <w:rsid w:val="00120FEC"/>
    <w:rsid w:val="00121CD6"/>
    <w:rsid w:val="00122A8F"/>
    <w:rsid w:val="00122CDE"/>
    <w:rsid w:val="00123C94"/>
    <w:rsid w:val="00123EBA"/>
    <w:rsid w:val="001241D9"/>
    <w:rsid w:val="00124C90"/>
    <w:rsid w:val="00124DC9"/>
    <w:rsid w:val="00127A68"/>
    <w:rsid w:val="0013221B"/>
    <w:rsid w:val="00132223"/>
    <w:rsid w:val="00132F47"/>
    <w:rsid w:val="0013520F"/>
    <w:rsid w:val="00136A22"/>
    <w:rsid w:val="00136D0D"/>
    <w:rsid w:val="00137361"/>
    <w:rsid w:val="001379A4"/>
    <w:rsid w:val="00140B13"/>
    <w:rsid w:val="00141B68"/>
    <w:rsid w:val="00142ACE"/>
    <w:rsid w:val="001438C2"/>
    <w:rsid w:val="00143A3E"/>
    <w:rsid w:val="00143B80"/>
    <w:rsid w:val="00143FB1"/>
    <w:rsid w:val="001442D9"/>
    <w:rsid w:val="001445CA"/>
    <w:rsid w:val="00145E2D"/>
    <w:rsid w:val="001466DA"/>
    <w:rsid w:val="00147B2F"/>
    <w:rsid w:val="00147CE4"/>
    <w:rsid w:val="00147D2C"/>
    <w:rsid w:val="00151BDC"/>
    <w:rsid w:val="0015268F"/>
    <w:rsid w:val="00152CA8"/>
    <w:rsid w:val="001532B1"/>
    <w:rsid w:val="00153D5D"/>
    <w:rsid w:val="00154795"/>
    <w:rsid w:val="00154DE1"/>
    <w:rsid w:val="00155987"/>
    <w:rsid w:val="00155B40"/>
    <w:rsid w:val="00156A50"/>
    <w:rsid w:val="00156D03"/>
    <w:rsid w:val="001573D0"/>
    <w:rsid w:val="00157435"/>
    <w:rsid w:val="00157516"/>
    <w:rsid w:val="00157944"/>
    <w:rsid w:val="00160116"/>
    <w:rsid w:val="00160D24"/>
    <w:rsid w:val="00160E05"/>
    <w:rsid w:val="00161129"/>
    <w:rsid w:val="00162D4A"/>
    <w:rsid w:val="00163644"/>
    <w:rsid w:val="00163A27"/>
    <w:rsid w:val="00163EEA"/>
    <w:rsid w:val="001647BB"/>
    <w:rsid w:val="001647FA"/>
    <w:rsid w:val="00164F27"/>
    <w:rsid w:val="001656AA"/>
    <w:rsid w:val="001656FE"/>
    <w:rsid w:val="00165A4D"/>
    <w:rsid w:val="00166095"/>
    <w:rsid w:val="0016633D"/>
    <w:rsid w:val="001674BB"/>
    <w:rsid w:val="00167A07"/>
    <w:rsid w:val="00167F53"/>
    <w:rsid w:val="00167FCC"/>
    <w:rsid w:val="0017046A"/>
    <w:rsid w:val="001704A3"/>
    <w:rsid w:val="001708E4"/>
    <w:rsid w:val="0017130D"/>
    <w:rsid w:val="00172A27"/>
    <w:rsid w:val="00172A37"/>
    <w:rsid w:val="00174088"/>
    <w:rsid w:val="001740CF"/>
    <w:rsid w:val="001741F1"/>
    <w:rsid w:val="0017504D"/>
    <w:rsid w:val="00175E7E"/>
    <w:rsid w:val="00177422"/>
    <w:rsid w:val="00180980"/>
    <w:rsid w:val="0018108C"/>
    <w:rsid w:val="00181162"/>
    <w:rsid w:val="0018224A"/>
    <w:rsid w:val="00182713"/>
    <w:rsid w:val="00182C66"/>
    <w:rsid w:val="00182DF9"/>
    <w:rsid w:val="00183599"/>
    <w:rsid w:val="0018382B"/>
    <w:rsid w:val="0018383C"/>
    <w:rsid w:val="00184104"/>
    <w:rsid w:val="00184F10"/>
    <w:rsid w:val="00185047"/>
    <w:rsid w:val="00185546"/>
    <w:rsid w:val="00185E4A"/>
    <w:rsid w:val="00185E65"/>
    <w:rsid w:val="00186200"/>
    <w:rsid w:val="00186582"/>
    <w:rsid w:val="00186968"/>
    <w:rsid w:val="00187783"/>
    <w:rsid w:val="00187FD2"/>
    <w:rsid w:val="00190D55"/>
    <w:rsid w:val="0019146B"/>
    <w:rsid w:val="001924E8"/>
    <w:rsid w:val="00192EDE"/>
    <w:rsid w:val="00193950"/>
    <w:rsid w:val="00194398"/>
    <w:rsid w:val="001946C1"/>
    <w:rsid w:val="00196907"/>
    <w:rsid w:val="00196BB5"/>
    <w:rsid w:val="001975F3"/>
    <w:rsid w:val="001979B4"/>
    <w:rsid w:val="001A04EB"/>
    <w:rsid w:val="001A091D"/>
    <w:rsid w:val="001A1B3D"/>
    <w:rsid w:val="001A2CC8"/>
    <w:rsid w:val="001A3E35"/>
    <w:rsid w:val="001A4F9B"/>
    <w:rsid w:val="001A57E3"/>
    <w:rsid w:val="001A5B18"/>
    <w:rsid w:val="001A64EA"/>
    <w:rsid w:val="001A689A"/>
    <w:rsid w:val="001A72EC"/>
    <w:rsid w:val="001A7D2A"/>
    <w:rsid w:val="001A7E96"/>
    <w:rsid w:val="001B08C5"/>
    <w:rsid w:val="001B1E3D"/>
    <w:rsid w:val="001B1EDC"/>
    <w:rsid w:val="001B2549"/>
    <w:rsid w:val="001B2B43"/>
    <w:rsid w:val="001B35BC"/>
    <w:rsid w:val="001B3756"/>
    <w:rsid w:val="001B3FD0"/>
    <w:rsid w:val="001B4A92"/>
    <w:rsid w:val="001B4CDF"/>
    <w:rsid w:val="001B4DD4"/>
    <w:rsid w:val="001B521F"/>
    <w:rsid w:val="001B5483"/>
    <w:rsid w:val="001B574C"/>
    <w:rsid w:val="001B6472"/>
    <w:rsid w:val="001B6497"/>
    <w:rsid w:val="001B67E0"/>
    <w:rsid w:val="001B6C13"/>
    <w:rsid w:val="001C037F"/>
    <w:rsid w:val="001C038B"/>
    <w:rsid w:val="001C0801"/>
    <w:rsid w:val="001C0AF9"/>
    <w:rsid w:val="001C155A"/>
    <w:rsid w:val="001C18CD"/>
    <w:rsid w:val="001C2D54"/>
    <w:rsid w:val="001C389D"/>
    <w:rsid w:val="001C3F6C"/>
    <w:rsid w:val="001C41BE"/>
    <w:rsid w:val="001C41F4"/>
    <w:rsid w:val="001C4762"/>
    <w:rsid w:val="001C48C0"/>
    <w:rsid w:val="001C6A21"/>
    <w:rsid w:val="001C6A4A"/>
    <w:rsid w:val="001C746C"/>
    <w:rsid w:val="001C7BD6"/>
    <w:rsid w:val="001C7E36"/>
    <w:rsid w:val="001C7EE3"/>
    <w:rsid w:val="001D0EB2"/>
    <w:rsid w:val="001D23AE"/>
    <w:rsid w:val="001D24F5"/>
    <w:rsid w:val="001D27DA"/>
    <w:rsid w:val="001D3982"/>
    <w:rsid w:val="001D4429"/>
    <w:rsid w:val="001D51FF"/>
    <w:rsid w:val="001D5E08"/>
    <w:rsid w:val="001D5E5B"/>
    <w:rsid w:val="001D6726"/>
    <w:rsid w:val="001D6CB4"/>
    <w:rsid w:val="001D6E34"/>
    <w:rsid w:val="001D77B8"/>
    <w:rsid w:val="001D7889"/>
    <w:rsid w:val="001D7DC0"/>
    <w:rsid w:val="001E003E"/>
    <w:rsid w:val="001E0B77"/>
    <w:rsid w:val="001E12DA"/>
    <w:rsid w:val="001E1AE2"/>
    <w:rsid w:val="001E2448"/>
    <w:rsid w:val="001E2B6B"/>
    <w:rsid w:val="001E2D24"/>
    <w:rsid w:val="001E3B5B"/>
    <w:rsid w:val="001E4470"/>
    <w:rsid w:val="001E4837"/>
    <w:rsid w:val="001E4872"/>
    <w:rsid w:val="001E6A10"/>
    <w:rsid w:val="001E7BC2"/>
    <w:rsid w:val="001F07A8"/>
    <w:rsid w:val="001F0F7C"/>
    <w:rsid w:val="001F1EB0"/>
    <w:rsid w:val="001F2DA5"/>
    <w:rsid w:val="001F3347"/>
    <w:rsid w:val="001F3395"/>
    <w:rsid w:val="001F398E"/>
    <w:rsid w:val="001F3E7B"/>
    <w:rsid w:val="001F4440"/>
    <w:rsid w:val="001F69E4"/>
    <w:rsid w:val="001F6B03"/>
    <w:rsid w:val="001F6D2C"/>
    <w:rsid w:val="001F6D35"/>
    <w:rsid w:val="002001F3"/>
    <w:rsid w:val="00200381"/>
    <w:rsid w:val="002008B8"/>
    <w:rsid w:val="002012CC"/>
    <w:rsid w:val="00201378"/>
    <w:rsid w:val="00201581"/>
    <w:rsid w:val="00201E0E"/>
    <w:rsid w:val="00202939"/>
    <w:rsid w:val="00202A54"/>
    <w:rsid w:val="00202E28"/>
    <w:rsid w:val="002030D9"/>
    <w:rsid w:val="00203D80"/>
    <w:rsid w:val="00205177"/>
    <w:rsid w:val="002056CA"/>
    <w:rsid w:val="00205A0A"/>
    <w:rsid w:val="002063DD"/>
    <w:rsid w:val="00206A65"/>
    <w:rsid w:val="00206EBB"/>
    <w:rsid w:val="00207989"/>
    <w:rsid w:val="00207EDD"/>
    <w:rsid w:val="00210D55"/>
    <w:rsid w:val="00210E48"/>
    <w:rsid w:val="00212D31"/>
    <w:rsid w:val="00212FC1"/>
    <w:rsid w:val="00212FC8"/>
    <w:rsid w:val="002130C7"/>
    <w:rsid w:val="002132A6"/>
    <w:rsid w:val="00213AB2"/>
    <w:rsid w:val="002146ED"/>
    <w:rsid w:val="002161CC"/>
    <w:rsid w:val="002168E9"/>
    <w:rsid w:val="00216BBA"/>
    <w:rsid w:val="00217227"/>
    <w:rsid w:val="00217807"/>
    <w:rsid w:val="00217ECF"/>
    <w:rsid w:val="00220145"/>
    <w:rsid w:val="00220467"/>
    <w:rsid w:val="002204CD"/>
    <w:rsid w:val="00221720"/>
    <w:rsid w:val="002218A8"/>
    <w:rsid w:val="0022306D"/>
    <w:rsid w:val="0022383D"/>
    <w:rsid w:val="00223FA9"/>
    <w:rsid w:val="00225B71"/>
    <w:rsid w:val="00226073"/>
    <w:rsid w:val="00226219"/>
    <w:rsid w:val="00226574"/>
    <w:rsid w:val="00227411"/>
    <w:rsid w:val="002275AF"/>
    <w:rsid w:val="002277C0"/>
    <w:rsid w:val="002278EC"/>
    <w:rsid w:val="00227DEA"/>
    <w:rsid w:val="002310B6"/>
    <w:rsid w:val="002314AB"/>
    <w:rsid w:val="00231ACE"/>
    <w:rsid w:val="00231E71"/>
    <w:rsid w:val="0023244E"/>
    <w:rsid w:val="002330DB"/>
    <w:rsid w:val="00233EBE"/>
    <w:rsid w:val="00234378"/>
    <w:rsid w:val="002357C7"/>
    <w:rsid w:val="002367C4"/>
    <w:rsid w:val="002369E0"/>
    <w:rsid w:val="00236A1A"/>
    <w:rsid w:val="002371C9"/>
    <w:rsid w:val="002379E3"/>
    <w:rsid w:val="002403B2"/>
    <w:rsid w:val="00241E31"/>
    <w:rsid w:val="0024267A"/>
    <w:rsid w:val="00242E2F"/>
    <w:rsid w:val="002434BC"/>
    <w:rsid w:val="00245289"/>
    <w:rsid w:val="00245521"/>
    <w:rsid w:val="002457C5"/>
    <w:rsid w:val="00245F8D"/>
    <w:rsid w:val="00246542"/>
    <w:rsid w:val="002470C8"/>
    <w:rsid w:val="00247167"/>
    <w:rsid w:val="00247468"/>
    <w:rsid w:val="00247B23"/>
    <w:rsid w:val="00250D59"/>
    <w:rsid w:val="002513E7"/>
    <w:rsid w:val="00252192"/>
    <w:rsid w:val="00252650"/>
    <w:rsid w:val="00252C91"/>
    <w:rsid w:val="002537A5"/>
    <w:rsid w:val="002546D0"/>
    <w:rsid w:val="00254EA5"/>
    <w:rsid w:val="00255A96"/>
    <w:rsid w:val="00256076"/>
    <w:rsid w:val="0025679E"/>
    <w:rsid w:val="00257D56"/>
    <w:rsid w:val="00260C68"/>
    <w:rsid w:val="00260FDE"/>
    <w:rsid w:val="00262A15"/>
    <w:rsid w:val="0026347B"/>
    <w:rsid w:val="00263C74"/>
    <w:rsid w:val="0026400D"/>
    <w:rsid w:val="002640B7"/>
    <w:rsid w:val="00264286"/>
    <w:rsid w:val="00264642"/>
    <w:rsid w:val="002648B0"/>
    <w:rsid w:val="0026497D"/>
    <w:rsid w:val="002649BB"/>
    <w:rsid w:val="00264CC7"/>
    <w:rsid w:val="0026544C"/>
    <w:rsid w:val="00265BC9"/>
    <w:rsid w:val="00266086"/>
    <w:rsid w:val="00266FBD"/>
    <w:rsid w:val="002700D1"/>
    <w:rsid w:val="0027049C"/>
    <w:rsid w:val="002708E1"/>
    <w:rsid w:val="0027171D"/>
    <w:rsid w:val="0027193C"/>
    <w:rsid w:val="002731BD"/>
    <w:rsid w:val="002738F2"/>
    <w:rsid w:val="0027415B"/>
    <w:rsid w:val="00274D46"/>
    <w:rsid w:val="00275271"/>
    <w:rsid w:val="0027535E"/>
    <w:rsid w:val="00275A3F"/>
    <w:rsid w:val="00275AA6"/>
    <w:rsid w:val="0027641C"/>
    <w:rsid w:val="00276990"/>
    <w:rsid w:val="00277741"/>
    <w:rsid w:val="00277FD8"/>
    <w:rsid w:val="00280299"/>
    <w:rsid w:val="002807D5"/>
    <w:rsid w:val="00280B9B"/>
    <w:rsid w:val="00280BBD"/>
    <w:rsid w:val="00281B1D"/>
    <w:rsid w:val="00282500"/>
    <w:rsid w:val="00282CCD"/>
    <w:rsid w:val="00283B88"/>
    <w:rsid w:val="00283EF3"/>
    <w:rsid w:val="002845FF"/>
    <w:rsid w:val="00284827"/>
    <w:rsid w:val="002849F2"/>
    <w:rsid w:val="002857B3"/>
    <w:rsid w:val="00286299"/>
    <w:rsid w:val="002869AF"/>
    <w:rsid w:val="00286A34"/>
    <w:rsid w:val="00287423"/>
    <w:rsid w:val="002878EB"/>
    <w:rsid w:val="0029024C"/>
    <w:rsid w:val="00290D76"/>
    <w:rsid w:val="00292333"/>
    <w:rsid w:val="002936B1"/>
    <w:rsid w:val="0029385C"/>
    <w:rsid w:val="00293CBE"/>
    <w:rsid w:val="002951A5"/>
    <w:rsid w:val="0029593D"/>
    <w:rsid w:val="0029617E"/>
    <w:rsid w:val="002963D9"/>
    <w:rsid w:val="00296899"/>
    <w:rsid w:val="00296D8C"/>
    <w:rsid w:val="00296F24"/>
    <w:rsid w:val="002A12DF"/>
    <w:rsid w:val="002A15C5"/>
    <w:rsid w:val="002A164B"/>
    <w:rsid w:val="002A168C"/>
    <w:rsid w:val="002A21EB"/>
    <w:rsid w:val="002A2C48"/>
    <w:rsid w:val="002A2C5C"/>
    <w:rsid w:val="002A2F8C"/>
    <w:rsid w:val="002A33C3"/>
    <w:rsid w:val="002A3600"/>
    <w:rsid w:val="002A36BE"/>
    <w:rsid w:val="002A3EED"/>
    <w:rsid w:val="002A4746"/>
    <w:rsid w:val="002A4A39"/>
    <w:rsid w:val="002A4EAC"/>
    <w:rsid w:val="002A5603"/>
    <w:rsid w:val="002A57D9"/>
    <w:rsid w:val="002A5A17"/>
    <w:rsid w:val="002A5DE9"/>
    <w:rsid w:val="002A6425"/>
    <w:rsid w:val="002A7344"/>
    <w:rsid w:val="002A780F"/>
    <w:rsid w:val="002A7BB0"/>
    <w:rsid w:val="002B102F"/>
    <w:rsid w:val="002B2E51"/>
    <w:rsid w:val="002B3FEF"/>
    <w:rsid w:val="002B49E2"/>
    <w:rsid w:val="002B5122"/>
    <w:rsid w:val="002B5987"/>
    <w:rsid w:val="002B7B00"/>
    <w:rsid w:val="002B7C44"/>
    <w:rsid w:val="002C0698"/>
    <w:rsid w:val="002C075A"/>
    <w:rsid w:val="002C135C"/>
    <w:rsid w:val="002C1388"/>
    <w:rsid w:val="002C2125"/>
    <w:rsid w:val="002C257F"/>
    <w:rsid w:val="002C25BB"/>
    <w:rsid w:val="002C3C6A"/>
    <w:rsid w:val="002C3D1D"/>
    <w:rsid w:val="002C5109"/>
    <w:rsid w:val="002C56DA"/>
    <w:rsid w:val="002C577A"/>
    <w:rsid w:val="002C5B16"/>
    <w:rsid w:val="002C5E19"/>
    <w:rsid w:val="002C6DDD"/>
    <w:rsid w:val="002D0C62"/>
    <w:rsid w:val="002D1329"/>
    <w:rsid w:val="002D29FB"/>
    <w:rsid w:val="002D2BA5"/>
    <w:rsid w:val="002D2FC0"/>
    <w:rsid w:val="002D42DB"/>
    <w:rsid w:val="002D50CD"/>
    <w:rsid w:val="002D5EED"/>
    <w:rsid w:val="002D6891"/>
    <w:rsid w:val="002D7830"/>
    <w:rsid w:val="002E107C"/>
    <w:rsid w:val="002E13AE"/>
    <w:rsid w:val="002E1F3A"/>
    <w:rsid w:val="002E1FBD"/>
    <w:rsid w:val="002E1FD6"/>
    <w:rsid w:val="002E210A"/>
    <w:rsid w:val="002E259E"/>
    <w:rsid w:val="002E28B2"/>
    <w:rsid w:val="002E298A"/>
    <w:rsid w:val="002E2ABA"/>
    <w:rsid w:val="002E2CA3"/>
    <w:rsid w:val="002E2D42"/>
    <w:rsid w:val="002E3AEB"/>
    <w:rsid w:val="002E4873"/>
    <w:rsid w:val="002E4AB9"/>
    <w:rsid w:val="002E5B94"/>
    <w:rsid w:val="002E6456"/>
    <w:rsid w:val="002E6483"/>
    <w:rsid w:val="002E6745"/>
    <w:rsid w:val="002E75E6"/>
    <w:rsid w:val="002F0193"/>
    <w:rsid w:val="002F02A4"/>
    <w:rsid w:val="002F08F1"/>
    <w:rsid w:val="002F0B88"/>
    <w:rsid w:val="002F135F"/>
    <w:rsid w:val="002F13AE"/>
    <w:rsid w:val="002F272B"/>
    <w:rsid w:val="002F35CB"/>
    <w:rsid w:val="002F43FF"/>
    <w:rsid w:val="002F4CE5"/>
    <w:rsid w:val="002F5C5E"/>
    <w:rsid w:val="002F5DA0"/>
    <w:rsid w:val="002F6607"/>
    <w:rsid w:val="002F7C6D"/>
    <w:rsid w:val="00300351"/>
    <w:rsid w:val="00300667"/>
    <w:rsid w:val="003015C5"/>
    <w:rsid w:val="003027E4"/>
    <w:rsid w:val="0030332C"/>
    <w:rsid w:val="00303C63"/>
    <w:rsid w:val="00303C81"/>
    <w:rsid w:val="0030435B"/>
    <w:rsid w:val="00305659"/>
    <w:rsid w:val="00305D42"/>
    <w:rsid w:val="00305DF6"/>
    <w:rsid w:val="00306C9D"/>
    <w:rsid w:val="0031092B"/>
    <w:rsid w:val="0031154A"/>
    <w:rsid w:val="00311832"/>
    <w:rsid w:val="00311F4F"/>
    <w:rsid w:val="00312205"/>
    <w:rsid w:val="00312296"/>
    <w:rsid w:val="00312673"/>
    <w:rsid w:val="0031286C"/>
    <w:rsid w:val="00312EBD"/>
    <w:rsid w:val="003133E5"/>
    <w:rsid w:val="0031340E"/>
    <w:rsid w:val="00313AAF"/>
    <w:rsid w:val="0031568C"/>
    <w:rsid w:val="00316464"/>
    <w:rsid w:val="00317471"/>
    <w:rsid w:val="00317AFE"/>
    <w:rsid w:val="00317CA7"/>
    <w:rsid w:val="0032073A"/>
    <w:rsid w:val="00320BBE"/>
    <w:rsid w:val="00321818"/>
    <w:rsid w:val="00321D8E"/>
    <w:rsid w:val="0032223E"/>
    <w:rsid w:val="0032316E"/>
    <w:rsid w:val="003234CE"/>
    <w:rsid w:val="00323DEE"/>
    <w:rsid w:val="00323E3C"/>
    <w:rsid w:val="00324ED2"/>
    <w:rsid w:val="0032584A"/>
    <w:rsid w:val="00326C3A"/>
    <w:rsid w:val="00327144"/>
    <w:rsid w:val="00327418"/>
    <w:rsid w:val="00327726"/>
    <w:rsid w:val="00327D0D"/>
    <w:rsid w:val="003307CC"/>
    <w:rsid w:val="00331916"/>
    <w:rsid w:val="00331D18"/>
    <w:rsid w:val="00331DFB"/>
    <w:rsid w:val="00331EBF"/>
    <w:rsid w:val="00332EAF"/>
    <w:rsid w:val="00333D10"/>
    <w:rsid w:val="003343F4"/>
    <w:rsid w:val="0033444B"/>
    <w:rsid w:val="0033484F"/>
    <w:rsid w:val="00334996"/>
    <w:rsid w:val="00335DC2"/>
    <w:rsid w:val="00335EDF"/>
    <w:rsid w:val="003362C7"/>
    <w:rsid w:val="003367FA"/>
    <w:rsid w:val="00336969"/>
    <w:rsid w:val="00336C52"/>
    <w:rsid w:val="00336E8D"/>
    <w:rsid w:val="00336EBF"/>
    <w:rsid w:val="003372CB"/>
    <w:rsid w:val="003412B3"/>
    <w:rsid w:val="00341B3E"/>
    <w:rsid w:val="00341B42"/>
    <w:rsid w:val="0034223C"/>
    <w:rsid w:val="00342E30"/>
    <w:rsid w:val="003439E2"/>
    <w:rsid w:val="00345154"/>
    <w:rsid w:val="0034560E"/>
    <w:rsid w:val="003461E9"/>
    <w:rsid w:val="003503CF"/>
    <w:rsid w:val="00350523"/>
    <w:rsid w:val="00350B3E"/>
    <w:rsid w:val="00351CB7"/>
    <w:rsid w:val="003524AA"/>
    <w:rsid w:val="003526A5"/>
    <w:rsid w:val="00352975"/>
    <w:rsid w:val="00352A3B"/>
    <w:rsid w:val="00353831"/>
    <w:rsid w:val="00355BD1"/>
    <w:rsid w:val="00356868"/>
    <w:rsid w:val="003573C8"/>
    <w:rsid w:val="00357851"/>
    <w:rsid w:val="00357A93"/>
    <w:rsid w:val="00357BC1"/>
    <w:rsid w:val="00361B29"/>
    <w:rsid w:val="00361BD7"/>
    <w:rsid w:val="003621DD"/>
    <w:rsid w:val="0036268B"/>
    <w:rsid w:val="00363102"/>
    <w:rsid w:val="0036361A"/>
    <w:rsid w:val="00363B5B"/>
    <w:rsid w:val="00363CEB"/>
    <w:rsid w:val="00363EF5"/>
    <w:rsid w:val="0036485B"/>
    <w:rsid w:val="00364E86"/>
    <w:rsid w:val="00365D0C"/>
    <w:rsid w:val="00365E0B"/>
    <w:rsid w:val="0036629D"/>
    <w:rsid w:val="00366626"/>
    <w:rsid w:val="00366E94"/>
    <w:rsid w:val="00367280"/>
    <w:rsid w:val="00367AF8"/>
    <w:rsid w:val="00367D07"/>
    <w:rsid w:val="003707F5"/>
    <w:rsid w:val="003714AA"/>
    <w:rsid w:val="00371606"/>
    <w:rsid w:val="00371802"/>
    <w:rsid w:val="003719FF"/>
    <w:rsid w:val="00372D2C"/>
    <w:rsid w:val="00372E9C"/>
    <w:rsid w:val="003732AA"/>
    <w:rsid w:val="00373543"/>
    <w:rsid w:val="0037364E"/>
    <w:rsid w:val="00373B0D"/>
    <w:rsid w:val="00374369"/>
    <w:rsid w:val="00374514"/>
    <w:rsid w:val="00374550"/>
    <w:rsid w:val="003747B9"/>
    <w:rsid w:val="0037484B"/>
    <w:rsid w:val="00375252"/>
    <w:rsid w:val="00375BAA"/>
    <w:rsid w:val="00376659"/>
    <w:rsid w:val="00376988"/>
    <w:rsid w:val="00376B17"/>
    <w:rsid w:val="00377D04"/>
    <w:rsid w:val="00377F48"/>
    <w:rsid w:val="00380099"/>
    <w:rsid w:val="003801D5"/>
    <w:rsid w:val="0038047B"/>
    <w:rsid w:val="0038072B"/>
    <w:rsid w:val="003809D8"/>
    <w:rsid w:val="00380AB5"/>
    <w:rsid w:val="00380ABE"/>
    <w:rsid w:val="00381A72"/>
    <w:rsid w:val="003829DC"/>
    <w:rsid w:val="00382EC6"/>
    <w:rsid w:val="00383861"/>
    <w:rsid w:val="003844A0"/>
    <w:rsid w:val="003845EB"/>
    <w:rsid w:val="003857DB"/>
    <w:rsid w:val="00386360"/>
    <w:rsid w:val="00386B7E"/>
    <w:rsid w:val="00386C48"/>
    <w:rsid w:val="0039014B"/>
    <w:rsid w:val="0039105F"/>
    <w:rsid w:val="00391133"/>
    <w:rsid w:val="00391C98"/>
    <w:rsid w:val="0039362C"/>
    <w:rsid w:val="00393711"/>
    <w:rsid w:val="003938F9"/>
    <w:rsid w:val="00393B81"/>
    <w:rsid w:val="00393F08"/>
    <w:rsid w:val="00394DCB"/>
    <w:rsid w:val="00395174"/>
    <w:rsid w:val="00395233"/>
    <w:rsid w:val="00396F73"/>
    <w:rsid w:val="0039732C"/>
    <w:rsid w:val="003A09AD"/>
    <w:rsid w:val="003A1948"/>
    <w:rsid w:val="003A1B57"/>
    <w:rsid w:val="003A2824"/>
    <w:rsid w:val="003A2D0A"/>
    <w:rsid w:val="003A343E"/>
    <w:rsid w:val="003A39B7"/>
    <w:rsid w:val="003A49DC"/>
    <w:rsid w:val="003A54AF"/>
    <w:rsid w:val="003A5F32"/>
    <w:rsid w:val="003A6070"/>
    <w:rsid w:val="003A66AC"/>
    <w:rsid w:val="003A6CA9"/>
    <w:rsid w:val="003A6D49"/>
    <w:rsid w:val="003A7315"/>
    <w:rsid w:val="003A7379"/>
    <w:rsid w:val="003A7849"/>
    <w:rsid w:val="003A7965"/>
    <w:rsid w:val="003A7A4D"/>
    <w:rsid w:val="003B0790"/>
    <w:rsid w:val="003B0F00"/>
    <w:rsid w:val="003B10EB"/>
    <w:rsid w:val="003B152A"/>
    <w:rsid w:val="003B1CD5"/>
    <w:rsid w:val="003B2450"/>
    <w:rsid w:val="003B2FDE"/>
    <w:rsid w:val="003B3361"/>
    <w:rsid w:val="003B337B"/>
    <w:rsid w:val="003B34D8"/>
    <w:rsid w:val="003B35DD"/>
    <w:rsid w:val="003B3890"/>
    <w:rsid w:val="003B4201"/>
    <w:rsid w:val="003B4EDB"/>
    <w:rsid w:val="003B541F"/>
    <w:rsid w:val="003B545B"/>
    <w:rsid w:val="003B6A46"/>
    <w:rsid w:val="003B6E4E"/>
    <w:rsid w:val="003B73B8"/>
    <w:rsid w:val="003B76A4"/>
    <w:rsid w:val="003C006C"/>
    <w:rsid w:val="003C08EE"/>
    <w:rsid w:val="003C2D30"/>
    <w:rsid w:val="003C3025"/>
    <w:rsid w:val="003C3CD1"/>
    <w:rsid w:val="003C4390"/>
    <w:rsid w:val="003C49DE"/>
    <w:rsid w:val="003C4D0B"/>
    <w:rsid w:val="003C5E3D"/>
    <w:rsid w:val="003C628A"/>
    <w:rsid w:val="003C65AC"/>
    <w:rsid w:val="003C682D"/>
    <w:rsid w:val="003C6C43"/>
    <w:rsid w:val="003C754A"/>
    <w:rsid w:val="003C757A"/>
    <w:rsid w:val="003D0291"/>
    <w:rsid w:val="003D096D"/>
    <w:rsid w:val="003D125A"/>
    <w:rsid w:val="003D20E2"/>
    <w:rsid w:val="003D21CD"/>
    <w:rsid w:val="003D2C6E"/>
    <w:rsid w:val="003D3B4D"/>
    <w:rsid w:val="003D3EE9"/>
    <w:rsid w:val="003D41AC"/>
    <w:rsid w:val="003D4A8B"/>
    <w:rsid w:val="003D5248"/>
    <w:rsid w:val="003D61A5"/>
    <w:rsid w:val="003D6D6B"/>
    <w:rsid w:val="003D6EDB"/>
    <w:rsid w:val="003D7337"/>
    <w:rsid w:val="003D73CC"/>
    <w:rsid w:val="003E0101"/>
    <w:rsid w:val="003E0206"/>
    <w:rsid w:val="003E1979"/>
    <w:rsid w:val="003E1B4D"/>
    <w:rsid w:val="003E266D"/>
    <w:rsid w:val="003E3705"/>
    <w:rsid w:val="003E423F"/>
    <w:rsid w:val="003E492C"/>
    <w:rsid w:val="003E61D5"/>
    <w:rsid w:val="003E68DF"/>
    <w:rsid w:val="003E6934"/>
    <w:rsid w:val="003E7681"/>
    <w:rsid w:val="003E7AB7"/>
    <w:rsid w:val="003F00EE"/>
    <w:rsid w:val="003F0809"/>
    <w:rsid w:val="003F08D5"/>
    <w:rsid w:val="003F1386"/>
    <w:rsid w:val="003F26DA"/>
    <w:rsid w:val="003F270A"/>
    <w:rsid w:val="003F3107"/>
    <w:rsid w:val="003F3952"/>
    <w:rsid w:val="003F3D21"/>
    <w:rsid w:val="003F50E7"/>
    <w:rsid w:val="003F611C"/>
    <w:rsid w:val="003F68D9"/>
    <w:rsid w:val="003F6F0E"/>
    <w:rsid w:val="003F755C"/>
    <w:rsid w:val="0040031F"/>
    <w:rsid w:val="00400A6E"/>
    <w:rsid w:val="004014CF"/>
    <w:rsid w:val="004027BA"/>
    <w:rsid w:val="00403168"/>
    <w:rsid w:val="0040506A"/>
    <w:rsid w:val="00405083"/>
    <w:rsid w:val="00405208"/>
    <w:rsid w:val="0040575F"/>
    <w:rsid w:val="00405A98"/>
    <w:rsid w:val="00405B52"/>
    <w:rsid w:val="00406E76"/>
    <w:rsid w:val="00406F01"/>
    <w:rsid w:val="00411B36"/>
    <w:rsid w:val="00411D44"/>
    <w:rsid w:val="00411EB7"/>
    <w:rsid w:val="00412098"/>
    <w:rsid w:val="004121D7"/>
    <w:rsid w:val="00413764"/>
    <w:rsid w:val="00414789"/>
    <w:rsid w:val="00415982"/>
    <w:rsid w:val="00415A67"/>
    <w:rsid w:val="00416641"/>
    <w:rsid w:val="00416D50"/>
    <w:rsid w:val="004171C3"/>
    <w:rsid w:val="00417772"/>
    <w:rsid w:val="0041789A"/>
    <w:rsid w:val="00417A10"/>
    <w:rsid w:val="00420354"/>
    <w:rsid w:val="00420E6A"/>
    <w:rsid w:val="00421677"/>
    <w:rsid w:val="0042209F"/>
    <w:rsid w:val="0042235B"/>
    <w:rsid w:val="00422675"/>
    <w:rsid w:val="004239BF"/>
    <w:rsid w:val="004240BD"/>
    <w:rsid w:val="0042486C"/>
    <w:rsid w:val="00424EF0"/>
    <w:rsid w:val="00425F59"/>
    <w:rsid w:val="004264C1"/>
    <w:rsid w:val="00427F9D"/>
    <w:rsid w:val="00430074"/>
    <w:rsid w:val="004302CB"/>
    <w:rsid w:val="004303B9"/>
    <w:rsid w:val="00430838"/>
    <w:rsid w:val="00430FE2"/>
    <w:rsid w:val="00431BBF"/>
    <w:rsid w:val="00432B0E"/>
    <w:rsid w:val="00433CA9"/>
    <w:rsid w:val="00434EE2"/>
    <w:rsid w:val="0043521D"/>
    <w:rsid w:val="0043562F"/>
    <w:rsid w:val="00436622"/>
    <w:rsid w:val="00440EF6"/>
    <w:rsid w:val="0044138C"/>
    <w:rsid w:val="00441AA9"/>
    <w:rsid w:val="00442024"/>
    <w:rsid w:val="00442074"/>
    <w:rsid w:val="00442274"/>
    <w:rsid w:val="004424EB"/>
    <w:rsid w:val="0044254C"/>
    <w:rsid w:val="00442AFD"/>
    <w:rsid w:val="00443188"/>
    <w:rsid w:val="004431F7"/>
    <w:rsid w:val="004433CE"/>
    <w:rsid w:val="00443CFB"/>
    <w:rsid w:val="00443F6A"/>
    <w:rsid w:val="004455ED"/>
    <w:rsid w:val="0044583C"/>
    <w:rsid w:val="004458B1"/>
    <w:rsid w:val="00445A35"/>
    <w:rsid w:val="00445D3A"/>
    <w:rsid w:val="004465BF"/>
    <w:rsid w:val="004474E2"/>
    <w:rsid w:val="00447B44"/>
    <w:rsid w:val="004504E0"/>
    <w:rsid w:val="0045094F"/>
    <w:rsid w:val="00450A17"/>
    <w:rsid w:val="00450A4E"/>
    <w:rsid w:val="00450B0E"/>
    <w:rsid w:val="0045160A"/>
    <w:rsid w:val="00451615"/>
    <w:rsid w:val="00451ECC"/>
    <w:rsid w:val="0045210E"/>
    <w:rsid w:val="004523BF"/>
    <w:rsid w:val="0045295D"/>
    <w:rsid w:val="00453345"/>
    <w:rsid w:val="004535CB"/>
    <w:rsid w:val="00453B7B"/>
    <w:rsid w:val="00453F61"/>
    <w:rsid w:val="00455554"/>
    <w:rsid w:val="00456173"/>
    <w:rsid w:val="00456CA1"/>
    <w:rsid w:val="00456CF3"/>
    <w:rsid w:val="00457684"/>
    <w:rsid w:val="00460420"/>
    <w:rsid w:val="00460DFD"/>
    <w:rsid w:val="00461812"/>
    <w:rsid w:val="00461E00"/>
    <w:rsid w:val="00461F13"/>
    <w:rsid w:val="00462EB6"/>
    <w:rsid w:val="004631AA"/>
    <w:rsid w:val="00463F7F"/>
    <w:rsid w:val="00464CAB"/>
    <w:rsid w:val="00464F07"/>
    <w:rsid w:val="00466321"/>
    <w:rsid w:val="004664AA"/>
    <w:rsid w:val="00466BE5"/>
    <w:rsid w:val="00466CC7"/>
    <w:rsid w:val="004672AF"/>
    <w:rsid w:val="00470487"/>
    <w:rsid w:val="00472047"/>
    <w:rsid w:val="0047234B"/>
    <w:rsid w:val="004727B0"/>
    <w:rsid w:val="0047495F"/>
    <w:rsid w:val="00475AAE"/>
    <w:rsid w:val="00476D20"/>
    <w:rsid w:val="00477064"/>
    <w:rsid w:val="00480108"/>
    <w:rsid w:val="00480247"/>
    <w:rsid w:val="00480797"/>
    <w:rsid w:val="0048081D"/>
    <w:rsid w:val="00480F82"/>
    <w:rsid w:val="00480FCE"/>
    <w:rsid w:val="0048117E"/>
    <w:rsid w:val="004823CA"/>
    <w:rsid w:val="0048250B"/>
    <w:rsid w:val="00483047"/>
    <w:rsid w:val="00483219"/>
    <w:rsid w:val="0048322B"/>
    <w:rsid w:val="00483EEB"/>
    <w:rsid w:val="0048445F"/>
    <w:rsid w:val="004848D6"/>
    <w:rsid w:val="00485379"/>
    <w:rsid w:val="004855F6"/>
    <w:rsid w:val="004857F0"/>
    <w:rsid w:val="00485F74"/>
    <w:rsid w:val="00486F0C"/>
    <w:rsid w:val="004870E6"/>
    <w:rsid w:val="0048777C"/>
    <w:rsid w:val="004879DC"/>
    <w:rsid w:val="0049013E"/>
    <w:rsid w:val="004901AE"/>
    <w:rsid w:val="004906D3"/>
    <w:rsid w:val="004907B2"/>
    <w:rsid w:val="0049199B"/>
    <w:rsid w:val="0049368F"/>
    <w:rsid w:val="00493CC3"/>
    <w:rsid w:val="00494633"/>
    <w:rsid w:val="00494670"/>
    <w:rsid w:val="004954CD"/>
    <w:rsid w:val="0049611D"/>
    <w:rsid w:val="004A0D4C"/>
    <w:rsid w:val="004A0EB4"/>
    <w:rsid w:val="004A23FE"/>
    <w:rsid w:val="004A263E"/>
    <w:rsid w:val="004A30F2"/>
    <w:rsid w:val="004A335F"/>
    <w:rsid w:val="004A3823"/>
    <w:rsid w:val="004A4232"/>
    <w:rsid w:val="004A4421"/>
    <w:rsid w:val="004A4748"/>
    <w:rsid w:val="004A4C86"/>
    <w:rsid w:val="004A5374"/>
    <w:rsid w:val="004A59BB"/>
    <w:rsid w:val="004A5D29"/>
    <w:rsid w:val="004A68BA"/>
    <w:rsid w:val="004B0389"/>
    <w:rsid w:val="004B0DF2"/>
    <w:rsid w:val="004B13E7"/>
    <w:rsid w:val="004B16DD"/>
    <w:rsid w:val="004B175C"/>
    <w:rsid w:val="004B1E31"/>
    <w:rsid w:val="004B28A1"/>
    <w:rsid w:val="004B2BB1"/>
    <w:rsid w:val="004B2F84"/>
    <w:rsid w:val="004B41A5"/>
    <w:rsid w:val="004B41B3"/>
    <w:rsid w:val="004B43A3"/>
    <w:rsid w:val="004B45C0"/>
    <w:rsid w:val="004B4814"/>
    <w:rsid w:val="004B49AF"/>
    <w:rsid w:val="004B4B17"/>
    <w:rsid w:val="004B4C49"/>
    <w:rsid w:val="004B4E0B"/>
    <w:rsid w:val="004B522A"/>
    <w:rsid w:val="004B58A5"/>
    <w:rsid w:val="004B5C63"/>
    <w:rsid w:val="004B6260"/>
    <w:rsid w:val="004B63D9"/>
    <w:rsid w:val="004B648A"/>
    <w:rsid w:val="004B6596"/>
    <w:rsid w:val="004B6A1B"/>
    <w:rsid w:val="004B729A"/>
    <w:rsid w:val="004B7F1D"/>
    <w:rsid w:val="004C03ED"/>
    <w:rsid w:val="004C071A"/>
    <w:rsid w:val="004C0882"/>
    <w:rsid w:val="004C1267"/>
    <w:rsid w:val="004C3623"/>
    <w:rsid w:val="004C3760"/>
    <w:rsid w:val="004C55BE"/>
    <w:rsid w:val="004C5C21"/>
    <w:rsid w:val="004C6062"/>
    <w:rsid w:val="004C6D6E"/>
    <w:rsid w:val="004C6EB1"/>
    <w:rsid w:val="004C772E"/>
    <w:rsid w:val="004D072C"/>
    <w:rsid w:val="004D101C"/>
    <w:rsid w:val="004D1FD6"/>
    <w:rsid w:val="004D2823"/>
    <w:rsid w:val="004D34D8"/>
    <w:rsid w:val="004D3F34"/>
    <w:rsid w:val="004D45C6"/>
    <w:rsid w:val="004D46E0"/>
    <w:rsid w:val="004D4A84"/>
    <w:rsid w:val="004D4F85"/>
    <w:rsid w:val="004D58C5"/>
    <w:rsid w:val="004D67FB"/>
    <w:rsid w:val="004D6D83"/>
    <w:rsid w:val="004E05DA"/>
    <w:rsid w:val="004E09F7"/>
    <w:rsid w:val="004E0B48"/>
    <w:rsid w:val="004E18BA"/>
    <w:rsid w:val="004E1F35"/>
    <w:rsid w:val="004E2B0D"/>
    <w:rsid w:val="004E4E7A"/>
    <w:rsid w:val="004E526B"/>
    <w:rsid w:val="004E5B30"/>
    <w:rsid w:val="004E6B7B"/>
    <w:rsid w:val="004E6C36"/>
    <w:rsid w:val="004F05EB"/>
    <w:rsid w:val="004F06D6"/>
    <w:rsid w:val="004F0779"/>
    <w:rsid w:val="004F1230"/>
    <w:rsid w:val="004F173F"/>
    <w:rsid w:val="004F177C"/>
    <w:rsid w:val="004F2985"/>
    <w:rsid w:val="004F2DCE"/>
    <w:rsid w:val="004F3450"/>
    <w:rsid w:val="004F36B9"/>
    <w:rsid w:val="004F36DA"/>
    <w:rsid w:val="004F38CD"/>
    <w:rsid w:val="004F3C01"/>
    <w:rsid w:val="004F4F89"/>
    <w:rsid w:val="004F66C9"/>
    <w:rsid w:val="004F7E43"/>
    <w:rsid w:val="004F7FE1"/>
    <w:rsid w:val="005008B0"/>
    <w:rsid w:val="00500FD3"/>
    <w:rsid w:val="0050114A"/>
    <w:rsid w:val="0050161B"/>
    <w:rsid w:val="00501A4D"/>
    <w:rsid w:val="00501C0D"/>
    <w:rsid w:val="00501C13"/>
    <w:rsid w:val="005022FB"/>
    <w:rsid w:val="00502F67"/>
    <w:rsid w:val="005039CB"/>
    <w:rsid w:val="00503ADD"/>
    <w:rsid w:val="00504774"/>
    <w:rsid w:val="00504ADE"/>
    <w:rsid w:val="00504B9E"/>
    <w:rsid w:val="00504CFA"/>
    <w:rsid w:val="005054FB"/>
    <w:rsid w:val="0050558F"/>
    <w:rsid w:val="00505706"/>
    <w:rsid w:val="005057E0"/>
    <w:rsid w:val="00506286"/>
    <w:rsid w:val="00507AD3"/>
    <w:rsid w:val="00510695"/>
    <w:rsid w:val="00510813"/>
    <w:rsid w:val="00510955"/>
    <w:rsid w:val="00510F6B"/>
    <w:rsid w:val="00511034"/>
    <w:rsid w:val="00511DE0"/>
    <w:rsid w:val="00512FE7"/>
    <w:rsid w:val="00513F98"/>
    <w:rsid w:val="005142D4"/>
    <w:rsid w:val="005143A6"/>
    <w:rsid w:val="00515A71"/>
    <w:rsid w:val="00516003"/>
    <w:rsid w:val="00516030"/>
    <w:rsid w:val="00516513"/>
    <w:rsid w:val="0051720D"/>
    <w:rsid w:val="00517F02"/>
    <w:rsid w:val="005201D3"/>
    <w:rsid w:val="005201E7"/>
    <w:rsid w:val="00521A15"/>
    <w:rsid w:val="00521FC7"/>
    <w:rsid w:val="00522EEC"/>
    <w:rsid w:val="00523737"/>
    <w:rsid w:val="0052377E"/>
    <w:rsid w:val="00524547"/>
    <w:rsid w:val="005258A2"/>
    <w:rsid w:val="00525FFF"/>
    <w:rsid w:val="005260C0"/>
    <w:rsid w:val="0052624D"/>
    <w:rsid w:val="00526D47"/>
    <w:rsid w:val="0052755D"/>
    <w:rsid w:val="00527686"/>
    <w:rsid w:val="0052785F"/>
    <w:rsid w:val="00527DA0"/>
    <w:rsid w:val="00530126"/>
    <w:rsid w:val="0053033B"/>
    <w:rsid w:val="00530A28"/>
    <w:rsid w:val="00530F7C"/>
    <w:rsid w:val="00531423"/>
    <w:rsid w:val="00533C5A"/>
    <w:rsid w:val="00534567"/>
    <w:rsid w:val="005349F1"/>
    <w:rsid w:val="00534EF6"/>
    <w:rsid w:val="00534F43"/>
    <w:rsid w:val="005351D2"/>
    <w:rsid w:val="00535318"/>
    <w:rsid w:val="00535A84"/>
    <w:rsid w:val="00536618"/>
    <w:rsid w:val="00536889"/>
    <w:rsid w:val="005368DC"/>
    <w:rsid w:val="00536945"/>
    <w:rsid w:val="00537A73"/>
    <w:rsid w:val="00537C78"/>
    <w:rsid w:val="00540520"/>
    <w:rsid w:val="00540864"/>
    <w:rsid w:val="00540C91"/>
    <w:rsid w:val="00541747"/>
    <w:rsid w:val="00541798"/>
    <w:rsid w:val="00541A2B"/>
    <w:rsid w:val="00541AF2"/>
    <w:rsid w:val="005428D9"/>
    <w:rsid w:val="00542929"/>
    <w:rsid w:val="00542E07"/>
    <w:rsid w:val="00542F7B"/>
    <w:rsid w:val="0054311E"/>
    <w:rsid w:val="00543A04"/>
    <w:rsid w:val="00544433"/>
    <w:rsid w:val="00544B56"/>
    <w:rsid w:val="00545084"/>
    <w:rsid w:val="00545991"/>
    <w:rsid w:val="00545F12"/>
    <w:rsid w:val="00546476"/>
    <w:rsid w:val="00546B36"/>
    <w:rsid w:val="00547258"/>
    <w:rsid w:val="00550409"/>
    <w:rsid w:val="0055069A"/>
    <w:rsid w:val="00550AEC"/>
    <w:rsid w:val="005518DB"/>
    <w:rsid w:val="00552D7D"/>
    <w:rsid w:val="005544CB"/>
    <w:rsid w:val="00554A7B"/>
    <w:rsid w:val="0055572C"/>
    <w:rsid w:val="00557164"/>
    <w:rsid w:val="00557376"/>
    <w:rsid w:val="0056026B"/>
    <w:rsid w:val="0056064F"/>
    <w:rsid w:val="00561B84"/>
    <w:rsid w:val="00562513"/>
    <w:rsid w:val="0056488B"/>
    <w:rsid w:val="0056551C"/>
    <w:rsid w:val="0056678D"/>
    <w:rsid w:val="00566BB6"/>
    <w:rsid w:val="00566E14"/>
    <w:rsid w:val="00566EE0"/>
    <w:rsid w:val="0056742E"/>
    <w:rsid w:val="00567F23"/>
    <w:rsid w:val="00570465"/>
    <w:rsid w:val="0057118B"/>
    <w:rsid w:val="00571363"/>
    <w:rsid w:val="00571B0C"/>
    <w:rsid w:val="00571D98"/>
    <w:rsid w:val="00572092"/>
    <w:rsid w:val="005720AE"/>
    <w:rsid w:val="005729B0"/>
    <w:rsid w:val="0057494C"/>
    <w:rsid w:val="00575E43"/>
    <w:rsid w:val="005775F2"/>
    <w:rsid w:val="00577AF4"/>
    <w:rsid w:val="00577CA7"/>
    <w:rsid w:val="0058030D"/>
    <w:rsid w:val="005805D6"/>
    <w:rsid w:val="00580910"/>
    <w:rsid w:val="00580A51"/>
    <w:rsid w:val="00581988"/>
    <w:rsid w:val="00582045"/>
    <w:rsid w:val="005831F8"/>
    <w:rsid w:val="00584D03"/>
    <w:rsid w:val="0058521E"/>
    <w:rsid w:val="005856EC"/>
    <w:rsid w:val="0058682E"/>
    <w:rsid w:val="00587BB0"/>
    <w:rsid w:val="005903B2"/>
    <w:rsid w:val="00590AE3"/>
    <w:rsid w:val="00590AE8"/>
    <w:rsid w:val="0059138A"/>
    <w:rsid w:val="0059162D"/>
    <w:rsid w:val="005918F1"/>
    <w:rsid w:val="00592419"/>
    <w:rsid w:val="00592E80"/>
    <w:rsid w:val="00593FBC"/>
    <w:rsid w:val="00594A6C"/>
    <w:rsid w:val="00594A70"/>
    <w:rsid w:val="00594E63"/>
    <w:rsid w:val="0059550C"/>
    <w:rsid w:val="005962EA"/>
    <w:rsid w:val="005966FF"/>
    <w:rsid w:val="005968C7"/>
    <w:rsid w:val="00596D17"/>
    <w:rsid w:val="00596D7B"/>
    <w:rsid w:val="00597578"/>
    <w:rsid w:val="00597995"/>
    <w:rsid w:val="005A0103"/>
    <w:rsid w:val="005A06B7"/>
    <w:rsid w:val="005A0ACC"/>
    <w:rsid w:val="005A0FF5"/>
    <w:rsid w:val="005A13A2"/>
    <w:rsid w:val="005A1759"/>
    <w:rsid w:val="005A17B0"/>
    <w:rsid w:val="005A220F"/>
    <w:rsid w:val="005A236C"/>
    <w:rsid w:val="005A309D"/>
    <w:rsid w:val="005A4197"/>
    <w:rsid w:val="005A50C3"/>
    <w:rsid w:val="005A566F"/>
    <w:rsid w:val="005A5F46"/>
    <w:rsid w:val="005A6024"/>
    <w:rsid w:val="005A65E2"/>
    <w:rsid w:val="005A6AE6"/>
    <w:rsid w:val="005A6D2E"/>
    <w:rsid w:val="005A6D49"/>
    <w:rsid w:val="005A798F"/>
    <w:rsid w:val="005B087B"/>
    <w:rsid w:val="005B166A"/>
    <w:rsid w:val="005B26C9"/>
    <w:rsid w:val="005B3036"/>
    <w:rsid w:val="005B5422"/>
    <w:rsid w:val="005B58D9"/>
    <w:rsid w:val="005B5990"/>
    <w:rsid w:val="005B6F02"/>
    <w:rsid w:val="005B6FC1"/>
    <w:rsid w:val="005C0383"/>
    <w:rsid w:val="005C04C4"/>
    <w:rsid w:val="005C13FB"/>
    <w:rsid w:val="005C1446"/>
    <w:rsid w:val="005C36FE"/>
    <w:rsid w:val="005C4159"/>
    <w:rsid w:val="005C47D1"/>
    <w:rsid w:val="005C533D"/>
    <w:rsid w:val="005C6AF9"/>
    <w:rsid w:val="005C77D2"/>
    <w:rsid w:val="005C7AF8"/>
    <w:rsid w:val="005D0369"/>
    <w:rsid w:val="005D0AF8"/>
    <w:rsid w:val="005D0B26"/>
    <w:rsid w:val="005D106C"/>
    <w:rsid w:val="005D12E5"/>
    <w:rsid w:val="005D15B4"/>
    <w:rsid w:val="005D15FE"/>
    <w:rsid w:val="005D1818"/>
    <w:rsid w:val="005D1E78"/>
    <w:rsid w:val="005D20B4"/>
    <w:rsid w:val="005D2938"/>
    <w:rsid w:val="005D4A71"/>
    <w:rsid w:val="005D53FE"/>
    <w:rsid w:val="005D5A6E"/>
    <w:rsid w:val="005D5C3B"/>
    <w:rsid w:val="005D7A0F"/>
    <w:rsid w:val="005E0292"/>
    <w:rsid w:val="005E038C"/>
    <w:rsid w:val="005E0438"/>
    <w:rsid w:val="005E11B9"/>
    <w:rsid w:val="005E12F7"/>
    <w:rsid w:val="005E14B5"/>
    <w:rsid w:val="005E175C"/>
    <w:rsid w:val="005E1791"/>
    <w:rsid w:val="005E1CF1"/>
    <w:rsid w:val="005E2CE6"/>
    <w:rsid w:val="005E49E8"/>
    <w:rsid w:val="005E4E9D"/>
    <w:rsid w:val="005E5364"/>
    <w:rsid w:val="005E6324"/>
    <w:rsid w:val="005E63B7"/>
    <w:rsid w:val="005E6EFE"/>
    <w:rsid w:val="005F00B5"/>
    <w:rsid w:val="005F0DCD"/>
    <w:rsid w:val="005F1EEE"/>
    <w:rsid w:val="005F1F4F"/>
    <w:rsid w:val="005F228B"/>
    <w:rsid w:val="005F29BB"/>
    <w:rsid w:val="005F29CD"/>
    <w:rsid w:val="005F2DDF"/>
    <w:rsid w:val="005F2F75"/>
    <w:rsid w:val="005F3173"/>
    <w:rsid w:val="005F481D"/>
    <w:rsid w:val="005F4971"/>
    <w:rsid w:val="005F4DFB"/>
    <w:rsid w:val="005F52B9"/>
    <w:rsid w:val="005F54E3"/>
    <w:rsid w:val="005F54EF"/>
    <w:rsid w:val="005F5889"/>
    <w:rsid w:val="005F5966"/>
    <w:rsid w:val="005F5B33"/>
    <w:rsid w:val="005F5B95"/>
    <w:rsid w:val="005F6472"/>
    <w:rsid w:val="005F6CC0"/>
    <w:rsid w:val="005F778D"/>
    <w:rsid w:val="005F78A4"/>
    <w:rsid w:val="005F7BF7"/>
    <w:rsid w:val="006000BB"/>
    <w:rsid w:val="0060187B"/>
    <w:rsid w:val="0060204C"/>
    <w:rsid w:val="00602447"/>
    <w:rsid w:val="00602FF9"/>
    <w:rsid w:val="00603950"/>
    <w:rsid w:val="0060398A"/>
    <w:rsid w:val="006039CF"/>
    <w:rsid w:val="00603E5B"/>
    <w:rsid w:val="00604089"/>
    <w:rsid w:val="0060489D"/>
    <w:rsid w:val="00604B73"/>
    <w:rsid w:val="00604BC8"/>
    <w:rsid w:val="0060537D"/>
    <w:rsid w:val="00605F27"/>
    <w:rsid w:val="006065BD"/>
    <w:rsid w:val="0060660E"/>
    <w:rsid w:val="00606F30"/>
    <w:rsid w:val="00607894"/>
    <w:rsid w:val="006078C9"/>
    <w:rsid w:val="00607AAA"/>
    <w:rsid w:val="0061042E"/>
    <w:rsid w:val="0061209C"/>
    <w:rsid w:val="00612DF8"/>
    <w:rsid w:val="00613564"/>
    <w:rsid w:val="00613F34"/>
    <w:rsid w:val="006143B8"/>
    <w:rsid w:val="0061538A"/>
    <w:rsid w:val="0061552F"/>
    <w:rsid w:val="00615677"/>
    <w:rsid w:val="00615B4C"/>
    <w:rsid w:val="00615B5D"/>
    <w:rsid w:val="00615E6B"/>
    <w:rsid w:val="0061743D"/>
    <w:rsid w:val="0062080F"/>
    <w:rsid w:val="00620BA9"/>
    <w:rsid w:val="00620E84"/>
    <w:rsid w:val="0062146F"/>
    <w:rsid w:val="00621765"/>
    <w:rsid w:val="00622013"/>
    <w:rsid w:val="00622BC8"/>
    <w:rsid w:val="00622E25"/>
    <w:rsid w:val="006231ED"/>
    <w:rsid w:val="00624927"/>
    <w:rsid w:val="00624AAE"/>
    <w:rsid w:val="00624D51"/>
    <w:rsid w:val="006251D3"/>
    <w:rsid w:val="00625995"/>
    <w:rsid w:val="00625C59"/>
    <w:rsid w:val="00630291"/>
    <w:rsid w:val="00630347"/>
    <w:rsid w:val="006308FF"/>
    <w:rsid w:val="0063120A"/>
    <w:rsid w:val="006329A1"/>
    <w:rsid w:val="006336FF"/>
    <w:rsid w:val="00633820"/>
    <w:rsid w:val="006343AF"/>
    <w:rsid w:val="0063463C"/>
    <w:rsid w:val="00635F5E"/>
    <w:rsid w:val="0063634A"/>
    <w:rsid w:val="00636FCB"/>
    <w:rsid w:val="006370FE"/>
    <w:rsid w:val="00637BBD"/>
    <w:rsid w:val="006402EB"/>
    <w:rsid w:val="00641288"/>
    <w:rsid w:val="00641875"/>
    <w:rsid w:val="00641AA8"/>
    <w:rsid w:val="0064250D"/>
    <w:rsid w:val="00642E53"/>
    <w:rsid w:val="006432E4"/>
    <w:rsid w:val="00643518"/>
    <w:rsid w:val="006438D9"/>
    <w:rsid w:val="00643E10"/>
    <w:rsid w:val="00644483"/>
    <w:rsid w:val="00645E61"/>
    <w:rsid w:val="00646576"/>
    <w:rsid w:val="00646D52"/>
    <w:rsid w:val="00647FD3"/>
    <w:rsid w:val="006502F2"/>
    <w:rsid w:val="006503FB"/>
    <w:rsid w:val="00650B97"/>
    <w:rsid w:val="00650C6E"/>
    <w:rsid w:val="00650CB2"/>
    <w:rsid w:val="00651759"/>
    <w:rsid w:val="0065178F"/>
    <w:rsid w:val="00651796"/>
    <w:rsid w:val="00651D49"/>
    <w:rsid w:val="00652A9D"/>
    <w:rsid w:val="00652F08"/>
    <w:rsid w:val="006535EB"/>
    <w:rsid w:val="00653CA7"/>
    <w:rsid w:val="0065410D"/>
    <w:rsid w:val="00654417"/>
    <w:rsid w:val="00655700"/>
    <w:rsid w:val="0065696F"/>
    <w:rsid w:val="00656B41"/>
    <w:rsid w:val="006571E8"/>
    <w:rsid w:val="00657392"/>
    <w:rsid w:val="00660A31"/>
    <w:rsid w:val="006618FA"/>
    <w:rsid w:val="00663016"/>
    <w:rsid w:val="006649A2"/>
    <w:rsid w:val="00664B4B"/>
    <w:rsid w:val="00664B5C"/>
    <w:rsid w:val="00664D67"/>
    <w:rsid w:val="006655E7"/>
    <w:rsid w:val="00665CCE"/>
    <w:rsid w:val="00666F80"/>
    <w:rsid w:val="00667F76"/>
    <w:rsid w:val="00670125"/>
    <w:rsid w:val="00670D57"/>
    <w:rsid w:val="00671AA4"/>
    <w:rsid w:val="00672635"/>
    <w:rsid w:val="00672A92"/>
    <w:rsid w:val="0067340E"/>
    <w:rsid w:val="00673EA5"/>
    <w:rsid w:val="006744AD"/>
    <w:rsid w:val="00674605"/>
    <w:rsid w:val="006748B8"/>
    <w:rsid w:val="006760BF"/>
    <w:rsid w:val="00676C47"/>
    <w:rsid w:val="00677061"/>
    <w:rsid w:val="006772B4"/>
    <w:rsid w:val="00677C4B"/>
    <w:rsid w:val="00677E2D"/>
    <w:rsid w:val="0068068E"/>
    <w:rsid w:val="00681372"/>
    <w:rsid w:val="00681E6A"/>
    <w:rsid w:val="006822E3"/>
    <w:rsid w:val="006836D3"/>
    <w:rsid w:val="00684832"/>
    <w:rsid w:val="0068535B"/>
    <w:rsid w:val="00685C00"/>
    <w:rsid w:val="006860A0"/>
    <w:rsid w:val="0068699E"/>
    <w:rsid w:val="00686F1E"/>
    <w:rsid w:val="00686FF4"/>
    <w:rsid w:val="00687044"/>
    <w:rsid w:val="0068736E"/>
    <w:rsid w:val="00687AE4"/>
    <w:rsid w:val="0069057F"/>
    <w:rsid w:val="00690DD9"/>
    <w:rsid w:val="00691E70"/>
    <w:rsid w:val="0069290A"/>
    <w:rsid w:val="006932C9"/>
    <w:rsid w:val="006935D2"/>
    <w:rsid w:val="00694205"/>
    <w:rsid w:val="00694DD8"/>
    <w:rsid w:val="00695EC8"/>
    <w:rsid w:val="00696165"/>
    <w:rsid w:val="006961E5"/>
    <w:rsid w:val="006967DE"/>
    <w:rsid w:val="00696F2F"/>
    <w:rsid w:val="00697032"/>
    <w:rsid w:val="006975AC"/>
    <w:rsid w:val="006A00C3"/>
    <w:rsid w:val="006A15FB"/>
    <w:rsid w:val="006A1922"/>
    <w:rsid w:val="006A1A65"/>
    <w:rsid w:val="006A1F30"/>
    <w:rsid w:val="006A203C"/>
    <w:rsid w:val="006A2729"/>
    <w:rsid w:val="006A3CC8"/>
    <w:rsid w:val="006A48A8"/>
    <w:rsid w:val="006A513A"/>
    <w:rsid w:val="006A53F6"/>
    <w:rsid w:val="006A5422"/>
    <w:rsid w:val="006A72BF"/>
    <w:rsid w:val="006A72FF"/>
    <w:rsid w:val="006A7EB1"/>
    <w:rsid w:val="006B1036"/>
    <w:rsid w:val="006B138E"/>
    <w:rsid w:val="006B1F58"/>
    <w:rsid w:val="006B29EB"/>
    <w:rsid w:val="006B332A"/>
    <w:rsid w:val="006B33BD"/>
    <w:rsid w:val="006B3DF6"/>
    <w:rsid w:val="006B4459"/>
    <w:rsid w:val="006B4CF7"/>
    <w:rsid w:val="006B507A"/>
    <w:rsid w:val="006B5AB2"/>
    <w:rsid w:val="006B7D3B"/>
    <w:rsid w:val="006C1880"/>
    <w:rsid w:val="006C30C6"/>
    <w:rsid w:val="006C3F75"/>
    <w:rsid w:val="006C4397"/>
    <w:rsid w:val="006C4CCD"/>
    <w:rsid w:val="006C4D20"/>
    <w:rsid w:val="006C5052"/>
    <w:rsid w:val="006C5688"/>
    <w:rsid w:val="006C606B"/>
    <w:rsid w:val="006C64BA"/>
    <w:rsid w:val="006C64D1"/>
    <w:rsid w:val="006C7478"/>
    <w:rsid w:val="006C758C"/>
    <w:rsid w:val="006C78E7"/>
    <w:rsid w:val="006C7E04"/>
    <w:rsid w:val="006D078D"/>
    <w:rsid w:val="006D0B08"/>
    <w:rsid w:val="006D170E"/>
    <w:rsid w:val="006D1E5C"/>
    <w:rsid w:val="006D2793"/>
    <w:rsid w:val="006D2D65"/>
    <w:rsid w:val="006D306E"/>
    <w:rsid w:val="006D336B"/>
    <w:rsid w:val="006D3514"/>
    <w:rsid w:val="006D35BF"/>
    <w:rsid w:val="006D5146"/>
    <w:rsid w:val="006D6350"/>
    <w:rsid w:val="006D63D2"/>
    <w:rsid w:val="006D7544"/>
    <w:rsid w:val="006E06AF"/>
    <w:rsid w:val="006E0EC3"/>
    <w:rsid w:val="006E11E1"/>
    <w:rsid w:val="006E1563"/>
    <w:rsid w:val="006E2896"/>
    <w:rsid w:val="006E4FF5"/>
    <w:rsid w:val="006E5565"/>
    <w:rsid w:val="006E55EC"/>
    <w:rsid w:val="006E597A"/>
    <w:rsid w:val="006E5DB4"/>
    <w:rsid w:val="006E6C07"/>
    <w:rsid w:val="006E73FF"/>
    <w:rsid w:val="006F01B9"/>
    <w:rsid w:val="006F1789"/>
    <w:rsid w:val="006F1CCB"/>
    <w:rsid w:val="006F25CA"/>
    <w:rsid w:val="006F2EE7"/>
    <w:rsid w:val="006F37F3"/>
    <w:rsid w:val="006F382A"/>
    <w:rsid w:val="006F3A2F"/>
    <w:rsid w:val="006F47F1"/>
    <w:rsid w:val="006F485D"/>
    <w:rsid w:val="006F5073"/>
    <w:rsid w:val="006F521F"/>
    <w:rsid w:val="006F5DD6"/>
    <w:rsid w:val="006F65B4"/>
    <w:rsid w:val="006F677B"/>
    <w:rsid w:val="006F7207"/>
    <w:rsid w:val="006F7E02"/>
    <w:rsid w:val="006F7F13"/>
    <w:rsid w:val="007006B7"/>
    <w:rsid w:val="007028B7"/>
    <w:rsid w:val="00705645"/>
    <w:rsid w:val="00705B08"/>
    <w:rsid w:val="00706C5D"/>
    <w:rsid w:val="007073CE"/>
    <w:rsid w:val="007073FA"/>
    <w:rsid w:val="00707CC2"/>
    <w:rsid w:val="00707EE7"/>
    <w:rsid w:val="00710BA7"/>
    <w:rsid w:val="00711349"/>
    <w:rsid w:val="007118E6"/>
    <w:rsid w:val="00713CC3"/>
    <w:rsid w:val="00713DB4"/>
    <w:rsid w:val="00713EC5"/>
    <w:rsid w:val="00714047"/>
    <w:rsid w:val="00714F9A"/>
    <w:rsid w:val="007152D7"/>
    <w:rsid w:val="00715372"/>
    <w:rsid w:val="00715412"/>
    <w:rsid w:val="00715F4A"/>
    <w:rsid w:val="00716C8B"/>
    <w:rsid w:val="007172C1"/>
    <w:rsid w:val="0071743B"/>
    <w:rsid w:val="007213E2"/>
    <w:rsid w:val="00721DA3"/>
    <w:rsid w:val="00722015"/>
    <w:rsid w:val="007225C9"/>
    <w:rsid w:val="00722AB4"/>
    <w:rsid w:val="00723016"/>
    <w:rsid w:val="00723ECC"/>
    <w:rsid w:val="00724B08"/>
    <w:rsid w:val="00725060"/>
    <w:rsid w:val="00725528"/>
    <w:rsid w:val="007256DE"/>
    <w:rsid w:val="00726270"/>
    <w:rsid w:val="00727C72"/>
    <w:rsid w:val="00730775"/>
    <w:rsid w:val="00730A5C"/>
    <w:rsid w:val="007337F2"/>
    <w:rsid w:val="0073402C"/>
    <w:rsid w:val="007340D5"/>
    <w:rsid w:val="007341D6"/>
    <w:rsid w:val="007346DD"/>
    <w:rsid w:val="007352B1"/>
    <w:rsid w:val="007357E1"/>
    <w:rsid w:val="007357E4"/>
    <w:rsid w:val="00735CD7"/>
    <w:rsid w:val="00735D57"/>
    <w:rsid w:val="00735E03"/>
    <w:rsid w:val="00736955"/>
    <w:rsid w:val="00736986"/>
    <w:rsid w:val="007377BF"/>
    <w:rsid w:val="00737AEF"/>
    <w:rsid w:val="00737E39"/>
    <w:rsid w:val="00740159"/>
    <w:rsid w:val="00740189"/>
    <w:rsid w:val="007409D6"/>
    <w:rsid w:val="00740A19"/>
    <w:rsid w:val="00740C21"/>
    <w:rsid w:val="00741045"/>
    <w:rsid w:val="00741D2A"/>
    <w:rsid w:val="007420A3"/>
    <w:rsid w:val="007426F2"/>
    <w:rsid w:val="00742E51"/>
    <w:rsid w:val="007437CC"/>
    <w:rsid w:val="007447BF"/>
    <w:rsid w:val="0074481A"/>
    <w:rsid w:val="007458E6"/>
    <w:rsid w:val="0074652F"/>
    <w:rsid w:val="00746656"/>
    <w:rsid w:val="0074669D"/>
    <w:rsid w:val="0074728B"/>
    <w:rsid w:val="007472F1"/>
    <w:rsid w:val="007473FE"/>
    <w:rsid w:val="00750351"/>
    <w:rsid w:val="00750610"/>
    <w:rsid w:val="00750C3F"/>
    <w:rsid w:val="007510F4"/>
    <w:rsid w:val="007511B8"/>
    <w:rsid w:val="00751592"/>
    <w:rsid w:val="007518DD"/>
    <w:rsid w:val="00751DA9"/>
    <w:rsid w:val="00751DC1"/>
    <w:rsid w:val="00751FBF"/>
    <w:rsid w:val="0075214F"/>
    <w:rsid w:val="00752467"/>
    <w:rsid w:val="00752743"/>
    <w:rsid w:val="00753446"/>
    <w:rsid w:val="007534B8"/>
    <w:rsid w:val="007535A9"/>
    <w:rsid w:val="00754034"/>
    <w:rsid w:val="00754652"/>
    <w:rsid w:val="007548F9"/>
    <w:rsid w:val="00754BF1"/>
    <w:rsid w:val="0075549B"/>
    <w:rsid w:val="00755782"/>
    <w:rsid w:val="00755801"/>
    <w:rsid w:val="00755A30"/>
    <w:rsid w:val="00755E1C"/>
    <w:rsid w:val="00756556"/>
    <w:rsid w:val="007570A9"/>
    <w:rsid w:val="007574CA"/>
    <w:rsid w:val="007578BD"/>
    <w:rsid w:val="00760196"/>
    <w:rsid w:val="00760889"/>
    <w:rsid w:val="00760E0D"/>
    <w:rsid w:val="00760EB1"/>
    <w:rsid w:val="0076132B"/>
    <w:rsid w:val="007623AE"/>
    <w:rsid w:val="007636F5"/>
    <w:rsid w:val="00763A28"/>
    <w:rsid w:val="007649A6"/>
    <w:rsid w:val="00764D12"/>
    <w:rsid w:val="0076551B"/>
    <w:rsid w:val="00765AEB"/>
    <w:rsid w:val="007665AD"/>
    <w:rsid w:val="00766921"/>
    <w:rsid w:val="00767E1E"/>
    <w:rsid w:val="007705D9"/>
    <w:rsid w:val="00770B19"/>
    <w:rsid w:val="007714FC"/>
    <w:rsid w:val="00773543"/>
    <w:rsid w:val="00774BF4"/>
    <w:rsid w:val="00774C11"/>
    <w:rsid w:val="00774FA0"/>
    <w:rsid w:val="00775008"/>
    <w:rsid w:val="00775F8B"/>
    <w:rsid w:val="007764E8"/>
    <w:rsid w:val="00776530"/>
    <w:rsid w:val="00776620"/>
    <w:rsid w:val="00776B29"/>
    <w:rsid w:val="007772F5"/>
    <w:rsid w:val="00777B6D"/>
    <w:rsid w:val="00777EBC"/>
    <w:rsid w:val="007803D8"/>
    <w:rsid w:val="0078090B"/>
    <w:rsid w:val="00780D9D"/>
    <w:rsid w:val="00780F7A"/>
    <w:rsid w:val="00781DDE"/>
    <w:rsid w:val="0078250D"/>
    <w:rsid w:val="007838C4"/>
    <w:rsid w:val="00784855"/>
    <w:rsid w:val="00784F39"/>
    <w:rsid w:val="0078545C"/>
    <w:rsid w:val="0078666B"/>
    <w:rsid w:val="0078690C"/>
    <w:rsid w:val="0078753B"/>
    <w:rsid w:val="00787A12"/>
    <w:rsid w:val="00787AAF"/>
    <w:rsid w:val="00787B1A"/>
    <w:rsid w:val="007904AF"/>
    <w:rsid w:val="007905CF"/>
    <w:rsid w:val="00790629"/>
    <w:rsid w:val="007906C4"/>
    <w:rsid w:val="00792DFA"/>
    <w:rsid w:val="007940EA"/>
    <w:rsid w:val="007959CE"/>
    <w:rsid w:val="007967E8"/>
    <w:rsid w:val="00797375"/>
    <w:rsid w:val="0079755E"/>
    <w:rsid w:val="007A08A3"/>
    <w:rsid w:val="007A0997"/>
    <w:rsid w:val="007A1297"/>
    <w:rsid w:val="007A16C6"/>
    <w:rsid w:val="007A1869"/>
    <w:rsid w:val="007A19EC"/>
    <w:rsid w:val="007A3ACB"/>
    <w:rsid w:val="007A3D3C"/>
    <w:rsid w:val="007A4890"/>
    <w:rsid w:val="007A60F2"/>
    <w:rsid w:val="007A63F2"/>
    <w:rsid w:val="007A686F"/>
    <w:rsid w:val="007A6976"/>
    <w:rsid w:val="007A6BB7"/>
    <w:rsid w:val="007A7FB0"/>
    <w:rsid w:val="007A7FB3"/>
    <w:rsid w:val="007B087C"/>
    <w:rsid w:val="007B0B14"/>
    <w:rsid w:val="007B104A"/>
    <w:rsid w:val="007B1BA7"/>
    <w:rsid w:val="007B1E8D"/>
    <w:rsid w:val="007B2A94"/>
    <w:rsid w:val="007B582A"/>
    <w:rsid w:val="007B6145"/>
    <w:rsid w:val="007B68DE"/>
    <w:rsid w:val="007B71DA"/>
    <w:rsid w:val="007B7758"/>
    <w:rsid w:val="007C079F"/>
    <w:rsid w:val="007C07F3"/>
    <w:rsid w:val="007C1857"/>
    <w:rsid w:val="007C26CD"/>
    <w:rsid w:val="007C4562"/>
    <w:rsid w:val="007C45DE"/>
    <w:rsid w:val="007C4B70"/>
    <w:rsid w:val="007C5059"/>
    <w:rsid w:val="007C514F"/>
    <w:rsid w:val="007C5DF8"/>
    <w:rsid w:val="007C62DC"/>
    <w:rsid w:val="007C751C"/>
    <w:rsid w:val="007C78E8"/>
    <w:rsid w:val="007C7FB5"/>
    <w:rsid w:val="007D08A6"/>
    <w:rsid w:val="007D08D0"/>
    <w:rsid w:val="007D0A88"/>
    <w:rsid w:val="007D0F77"/>
    <w:rsid w:val="007D0F95"/>
    <w:rsid w:val="007D121E"/>
    <w:rsid w:val="007D17D7"/>
    <w:rsid w:val="007D308F"/>
    <w:rsid w:val="007D3BF5"/>
    <w:rsid w:val="007D53A3"/>
    <w:rsid w:val="007D59EB"/>
    <w:rsid w:val="007D64F3"/>
    <w:rsid w:val="007D6662"/>
    <w:rsid w:val="007D79CA"/>
    <w:rsid w:val="007D7ECB"/>
    <w:rsid w:val="007E0088"/>
    <w:rsid w:val="007E0365"/>
    <w:rsid w:val="007E10D5"/>
    <w:rsid w:val="007E18E5"/>
    <w:rsid w:val="007E20C3"/>
    <w:rsid w:val="007E224C"/>
    <w:rsid w:val="007E2570"/>
    <w:rsid w:val="007E25A1"/>
    <w:rsid w:val="007E3ED3"/>
    <w:rsid w:val="007E41BA"/>
    <w:rsid w:val="007E4883"/>
    <w:rsid w:val="007E4BD2"/>
    <w:rsid w:val="007E4C97"/>
    <w:rsid w:val="007E533E"/>
    <w:rsid w:val="007E5CF6"/>
    <w:rsid w:val="007E6876"/>
    <w:rsid w:val="007E7145"/>
    <w:rsid w:val="007E7DE7"/>
    <w:rsid w:val="007F0E19"/>
    <w:rsid w:val="007F13C4"/>
    <w:rsid w:val="007F2316"/>
    <w:rsid w:val="007F25A3"/>
    <w:rsid w:val="007F2CEE"/>
    <w:rsid w:val="007F2E38"/>
    <w:rsid w:val="007F3916"/>
    <w:rsid w:val="007F5A43"/>
    <w:rsid w:val="007F613E"/>
    <w:rsid w:val="007F62D1"/>
    <w:rsid w:val="007F649F"/>
    <w:rsid w:val="007F7082"/>
    <w:rsid w:val="008004FB"/>
    <w:rsid w:val="008004FC"/>
    <w:rsid w:val="00801179"/>
    <w:rsid w:val="00801489"/>
    <w:rsid w:val="00802479"/>
    <w:rsid w:val="0080278E"/>
    <w:rsid w:val="008030D1"/>
    <w:rsid w:val="0080425A"/>
    <w:rsid w:val="008052BA"/>
    <w:rsid w:val="00805372"/>
    <w:rsid w:val="00805B7B"/>
    <w:rsid w:val="00807AAC"/>
    <w:rsid w:val="00807EE6"/>
    <w:rsid w:val="00810060"/>
    <w:rsid w:val="00810239"/>
    <w:rsid w:val="008118B7"/>
    <w:rsid w:val="0081293E"/>
    <w:rsid w:val="00812E17"/>
    <w:rsid w:val="00812FB2"/>
    <w:rsid w:val="0081471C"/>
    <w:rsid w:val="00814B5E"/>
    <w:rsid w:val="00814FFB"/>
    <w:rsid w:val="00816298"/>
    <w:rsid w:val="00816A39"/>
    <w:rsid w:val="00816A7B"/>
    <w:rsid w:val="00816AB2"/>
    <w:rsid w:val="00816B56"/>
    <w:rsid w:val="00817800"/>
    <w:rsid w:val="00817983"/>
    <w:rsid w:val="008204C0"/>
    <w:rsid w:val="00820568"/>
    <w:rsid w:val="00820BFF"/>
    <w:rsid w:val="008218CD"/>
    <w:rsid w:val="00821BD7"/>
    <w:rsid w:val="00823B73"/>
    <w:rsid w:val="00824D1E"/>
    <w:rsid w:val="00824E9D"/>
    <w:rsid w:val="008250FD"/>
    <w:rsid w:val="00826296"/>
    <w:rsid w:val="008263D7"/>
    <w:rsid w:val="008265C9"/>
    <w:rsid w:val="008266F6"/>
    <w:rsid w:val="008277EF"/>
    <w:rsid w:val="00827A9D"/>
    <w:rsid w:val="00830179"/>
    <w:rsid w:val="008301F0"/>
    <w:rsid w:val="008306CC"/>
    <w:rsid w:val="008311D2"/>
    <w:rsid w:val="008315CF"/>
    <w:rsid w:val="00831A80"/>
    <w:rsid w:val="008321E2"/>
    <w:rsid w:val="008332C8"/>
    <w:rsid w:val="00833743"/>
    <w:rsid w:val="00833920"/>
    <w:rsid w:val="008340A4"/>
    <w:rsid w:val="0083596F"/>
    <w:rsid w:val="00836799"/>
    <w:rsid w:val="00837028"/>
    <w:rsid w:val="00837131"/>
    <w:rsid w:val="008373D2"/>
    <w:rsid w:val="00837535"/>
    <w:rsid w:val="00837625"/>
    <w:rsid w:val="008379FD"/>
    <w:rsid w:val="008402CC"/>
    <w:rsid w:val="0084050F"/>
    <w:rsid w:val="00841670"/>
    <w:rsid w:val="00841873"/>
    <w:rsid w:val="00841EEC"/>
    <w:rsid w:val="00842220"/>
    <w:rsid w:val="008422C7"/>
    <w:rsid w:val="00842E8E"/>
    <w:rsid w:val="00843CC0"/>
    <w:rsid w:val="00843EBB"/>
    <w:rsid w:val="00844164"/>
    <w:rsid w:val="008444C6"/>
    <w:rsid w:val="00844DF0"/>
    <w:rsid w:val="00845F57"/>
    <w:rsid w:val="00847855"/>
    <w:rsid w:val="00847A76"/>
    <w:rsid w:val="00847C03"/>
    <w:rsid w:val="00847E47"/>
    <w:rsid w:val="00847E89"/>
    <w:rsid w:val="00850CA5"/>
    <w:rsid w:val="00851CCE"/>
    <w:rsid w:val="008521E0"/>
    <w:rsid w:val="008523B9"/>
    <w:rsid w:val="008525B0"/>
    <w:rsid w:val="00853041"/>
    <w:rsid w:val="00853DC8"/>
    <w:rsid w:val="00854059"/>
    <w:rsid w:val="00854581"/>
    <w:rsid w:val="008555BA"/>
    <w:rsid w:val="00855EF9"/>
    <w:rsid w:val="00855F03"/>
    <w:rsid w:val="00856294"/>
    <w:rsid w:val="00860B45"/>
    <w:rsid w:val="00860E37"/>
    <w:rsid w:val="00861911"/>
    <w:rsid w:val="00864165"/>
    <w:rsid w:val="00864EB6"/>
    <w:rsid w:val="00864FED"/>
    <w:rsid w:val="008652A4"/>
    <w:rsid w:val="00865E5D"/>
    <w:rsid w:val="00866088"/>
    <w:rsid w:val="00867CBC"/>
    <w:rsid w:val="00867E02"/>
    <w:rsid w:val="008701BE"/>
    <w:rsid w:val="00870529"/>
    <w:rsid w:val="00870579"/>
    <w:rsid w:val="00871E83"/>
    <w:rsid w:val="008728DA"/>
    <w:rsid w:val="00873A6B"/>
    <w:rsid w:val="008749EF"/>
    <w:rsid w:val="00874E69"/>
    <w:rsid w:val="008751B0"/>
    <w:rsid w:val="008757B2"/>
    <w:rsid w:val="0087669A"/>
    <w:rsid w:val="00876C30"/>
    <w:rsid w:val="00877017"/>
    <w:rsid w:val="008773C0"/>
    <w:rsid w:val="008776E7"/>
    <w:rsid w:val="0087781A"/>
    <w:rsid w:val="00877A6A"/>
    <w:rsid w:val="00877CA7"/>
    <w:rsid w:val="008800DD"/>
    <w:rsid w:val="00880364"/>
    <w:rsid w:val="00880853"/>
    <w:rsid w:val="008811A9"/>
    <w:rsid w:val="008811D4"/>
    <w:rsid w:val="008811E6"/>
    <w:rsid w:val="00881788"/>
    <w:rsid w:val="008821F2"/>
    <w:rsid w:val="00882961"/>
    <w:rsid w:val="00884095"/>
    <w:rsid w:val="008850AC"/>
    <w:rsid w:val="0088529A"/>
    <w:rsid w:val="0088583F"/>
    <w:rsid w:val="008859A2"/>
    <w:rsid w:val="00885A78"/>
    <w:rsid w:val="008867E3"/>
    <w:rsid w:val="008867F1"/>
    <w:rsid w:val="00886AAA"/>
    <w:rsid w:val="00886C4C"/>
    <w:rsid w:val="0088711C"/>
    <w:rsid w:val="0088724D"/>
    <w:rsid w:val="00890422"/>
    <w:rsid w:val="0089054F"/>
    <w:rsid w:val="00890A30"/>
    <w:rsid w:val="00891986"/>
    <w:rsid w:val="00891D0B"/>
    <w:rsid w:val="008926F5"/>
    <w:rsid w:val="00892ECF"/>
    <w:rsid w:val="00892F06"/>
    <w:rsid w:val="00893129"/>
    <w:rsid w:val="00893B41"/>
    <w:rsid w:val="00894285"/>
    <w:rsid w:val="008944A8"/>
    <w:rsid w:val="0089474F"/>
    <w:rsid w:val="008949F5"/>
    <w:rsid w:val="00895A84"/>
    <w:rsid w:val="00895DCB"/>
    <w:rsid w:val="00896317"/>
    <w:rsid w:val="008977D7"/>
    <w:rsid w:val="008A1165"/>
    <w:rsid w:val="008A2470"/>
    <w:rsid w:val="008A25D5"/>
    <w:rsid w:val="008A40AE"/>
    <w:rsid w:val="008A4E19"/>
    <w:rsid w:val="008A5E49"/>
    <w:rsid w:val="008A62A9"/>
    <w:rsid w:val="008A67C5"/>
    <w:rsid w:val="008A6D53"/>
    <w:rsid w:val="008A72A7"/>
    <w:rsid w:val="008B04D6"/>
    <w:rsid w:val="008B1028"/>
    <w:rsid w:val="008B22E1"/>
    <w:rsid w:val="008B266F"/>
    <w:rsid w:val="008B2806"/>
    <w:rsid w:val="008B2887"/>
    <w:rsid w:val="008B3494"/>
    <w:rsid w:val="008B3998"/>
    <w:rsid w:val="008B3C78"/>
    <w:rsid w:val="008B42FC"/>
    <w:rsid w:val="008B4AE9"/>
    <w:rsid w:val="008B4BAE"/>
    <w:rsid w:val="008B4F61"/>
    <w:rsid w:val="008B6024"/>
    <w:rsid w:val="008B60C2"/>
    <w:rsid w:val="008B7192"/>
    <w:rsid w:val="008B77A8"/>
    <w:rsid w:val="008B78DD"/>
    <w:rsid w:val="008C0B64"/>
    <w:rsid w:val="008C1421"/>
    <w:rsid w:val="008C198D"/>
    <w:rsid w:val="008C1BD1"/>
    <w:rsid w:val="008C2845"/>
    <w:rsid w:val="008C30AD"/>
    <w:rsid w:val="008C37D1"/>
    <w:rsid w:val="008C4554"/>
    <w:rsid w:val="008C46BA"/>
    <w:rsid w:val="008C4D5D"/>
    <w:rsid w:val="008C5004"/>
    <w:rsid w:val="008C5245"/>
    <w:rsid w:val="008C537F"/>
    <w:rsid w:val="008C5499"/>
    <w:rsid w:val="008C56DD"/>
    <w:rsid w:val="008C6A7B"/>
    <w:rsid w:val="008C6EE6"/>
    <w:rsid w:val="008D0686"/>
    <w:rsid w:val="008D068E"/>
    <w:rsid w:val="008D0B06"/>
    <w:rsid w:val="008D0F7A"/>
    <w:rsid w:val="008D1219"/>
    <w:rsid w:val="008D18FA"/>
    <w:rsid w:val="008D1B46"/>
    <w:rsid w:val="008D3D87"/>
    <w:rsid w:val="008D496C"/>
    <w:rsid w:val="008D5142"/>
    <w:rsid w:val="008D51BB"/>
    <w:rsid w:val="008D54E7"/>
    <w:rsid w:val="008D59EC"/>
    <w:rsid w:val="008D63BE"/>
    <w:rsid w:val="008E0A33"/>
    <w:rsid w:val="008E0CFF"/>
    <w:rsid w:val="008E2649"/>
    <w:rsid w:val="008E2B4A"/>
    <w:rsid w:val="008E2BFD"/>
    <w:rsid w:val="008E32C1"/>
    <w:rsid w:val="008E3D3D"/>
    <w:rsid w:val="008E5D6B"/>
    <w:rsid w:val="008E60CF"/>
    <w:rsid w:val="008E6788"/>
    <w:rsid w:val="008E689B"/>
    <w:rsid w:val="008E7576"/>
    <w:rsid w:val="008E7624"/>
    <w:rsid w:val="008E76F0"/>
    <w:rsid w:val="008E7C3F"/>
    <w:rsid w:val="008E7F00"/>
    <w:rsid w:val="008F12D3"/>
    <w:rsid w:val="008F13E7"/>
    <w:rsid w:val="008F15FE"/>
    <w:rsid w:val="008F198E"/>
    <w:rsid w:val="008F19D5"/>
    <w:rsid w:val="008F1BA6"/>
    <w:rsid w:val="008F1FA8"/>
    <w:rsid w:val="008F2A94"/>
    <w:rsid w:val="008F2BF6"/>
    <w:rsid w:val="008F30E5"/>
    <w:rsid w:val="008F33CD"/>
    <w:rsid w:val="008F3BF2"/>
    <w:rsid w:val="008F4355"/>
    <w:rsid w:val="008F4378"/>
    <w:rsid w:val="008F4845"/>
    <w:rsid w:val="008F5187"/>
    <w:rsid w:val="008F519A"/>
    <w:rsid w:val="008F5B32"/>
    <w:rsid w:val="008F64ED"/>
    <w:rsid w:val="008F6691"/>
    <w:rsid w:val="008F709C"/>
    <w:rsid w:val="008F773B"/>
    <w:rsid w:val="008F7825"/>
    <w:rsid w:val="00900434"/>
    <w:rsid w:val="00900F5A"/>
    <w:rsid w:val="009017CB"/>
    <w:rsid w:val="00901BE0"/>
    <w:rsid w:val="00901C5C"/>
    <w:rsid w:val="00902319"/>
    <w:rsid w:val="00902442"/>
    <w:rsid w:val="009028B0"/>
    <w:rsid w:val="00902B2D"/>
    <w:rsid w:val="0090312B"/>
    <w:rsid w:val="00903FF7"/>
    <w:rsid w:val="0090434E"/>
    <w:rsid w:val="0090438D"/>
    <w:rsid w:val="00904961"/>
    <w:rsid w:val="00905985"/>
    <w:rsid w:val="00905D4A"/>
    <w:rsid w:val="00905F9D"/>
    <w:rsid w:val="00906CCA"/>
    <w:rsid w:val="0090785F"/>
    <w:rsid w:val="00907F23"/>
    <w:rsid w:val="009104A6"/>
    <w:rsid w:val="00911A7B"/>
    <w:rsid w:val="00911DC5"/>
    <w:rsid w:val="009128C8"/>
    <w:rsid w:val="00912C0A"/>
    <w:rsid w:val="00912C98"/>
    <w:rsid w:val="00913073"/>
    <w:rsid w:val="009146A4"/>
    <w:rsid w:val="00914E03"/>
    <w:rsid w:val="009162BF"/>
    <w:rsid w:val="00916B9B"/>
    <w:rsid w:val="009170AF"/>
    <w:rsid w:val="0091736D"/>
    <w:rsid w:val="009178FA"/>
    <w:rsid w:val="00917BE0"/>
    <w:rsid w:val="00917FA8"/>
    <w:rsid w:val="00920715"/>
    <w:rsid w:val="009229F6"/>
    <w:rsid w:val="0092312E"/>
    <w:rsid w:val="00923BFE"/>
    <w:rsid w:val="00923C45"/>
    <w:rsid w:val="00924C10"/>
    <w:rsid w:val="009255BC"/>
    <w:rsid w:val="00925648"/>
    <w:rsid w:val="00925916"/>
    <w:rsid w:val="00926AD6"/>
    <w:rsid w:val="00926C8B"/>
    <w:rsid w:val="00926FE3"/>
    <w:rsid w:val="009272E2"/>
    <w:rsid w:val="00927A79"/>
    <w:rsid w:val="00927F63"/>
    <w:rsid w:val="00930142"/>
    <w:rsid w:val="00931001"/>
    <w:rsid w:val="00931863"/>
    <w:rsid w:val="0093186F"/>
    <w:rsid w:val="009327E4"/>
    <w:rsid w:val="00932840"/>
    <w:rsid w:val="00932909"/>
    <w:rsid w:val="00933524"/>
    <w:rsid w:val="009338E9"/>
    <w:rsid w:val="009338F5"/>
    <w:rsid w:val="00933A1B"/>
    <w:rsid w:val="00933E25"/>
    <w:rsid w:val="00935362"/>
    <w:rsid w:val="009354F4"/>
    <w:rsid w:val="00935FCD"/>
    <w:rsid w:val="009371BC"/>
    <w:rsid w:val="0093789D"/>
    <w:rsid w:val="00937EFF"/>
    <w:rsid w:val="009409D9"/>
    <w:rsid w:val="0094278D"/>
    <w:rsid w:val="00942B88"/>
    <w:rsid w:val="00943F42"/>
    <w:rsid w:val="00943F9F"/>
    <w:rsid w:val="00944107"/>
    <w:rsid w:val="0094416E"/>
    <w:rsid w:val="00945AD2"/>
    <w:rsid w:val="009464F9"/>
    <w:rsid w:val="0094689B"/>
    <w:rsid w:val="00947154"/>
    <w:rsid w:val="0095025A"/>
    <w:rsid w:val="00950697"/>
    <w:rsid w:val="00951087"/>
    <w:rsid w:val="0095150A"/>
    <w:rsid w:val="009527AE"/>
    <w:rsid w:val="00952B08"/>
    <w:rsid w:val="00952F36"/>
    <w:rsid w:val="0095308A"/>
    <w:rsid w:val="00955AEE"/>
    <w:rsid w:val="009564AE"/>
    <w:rsid w:val="0095677E"/>
    <w:rsid w:val="00956F14"/>
    <w:rsid w:val="00957783"/>
    <w:rsid w:val="00957EFA"/>
    <w:rsid w:val="00957FC8"/>
    <w:rsid w:val="009608E3"/>
    <w:rsid w:val="00960D41"/>
    <w:rsid w:val="00961501"/>
    <w:rsid w:val="00961DB0"/>
    <w:rsid w:val="009620FD"/>
    <w:rsid w:val="0096247A"/>
    <w:rsid w:val="00962AF0"/>
    <w:rsid w:val="00962E61"/>
    <w:rsid w:val="009634C4"/>
    <w:rsid w:val="0096355C"/>
    <w:rsid w:val="00963BC3"/>
    <w:rsid w:val="00964BFB"/>
    <w:rsid w:val="00964F7E"/>
    <w:rsid w:val="00965210"/>
    <w:rsid w:val="0096535D"/>
    <w:rsid w:val="00965EFF"/>
    <w:rsid w:val="00965F4B"/>
    <w:rsid w:val="009664C0"/>
    <w:rsid w:val="00966C2F"/>
    <w:rsid w:val="00967720"/>
    <w:rsid w:val="00967A8E"/>
    <w:rsid w:val="00967CE7"/>
    <w:rsid w:val="009704F2"/>
    <w:rsid w:val="00970CB3"/>
    <w:rsid w:val="00970F8A"/>
    <w:rsid w:val="00971211"/>
    <w:rsid w:val="00971F22"/>
    <w:rsid w:val="00971FB5"/>
    <w:rsid w:val="009725F4"/>
    <w:rsid w:val="00972BDE"/>
    <w:rsid w:val="00972D2A"/>
    <w:rsid w:val="009736AF"/>
    <w:rsid w:val="009737BA"/>
    <w:rsid w:val="009741CB"/>
    <w:rsid w:val="0097435C"/>
    <w:rsid w:val="009758EF"/>
    <w:rsid w:val="00975CC5"/>
    <w:rsid w:val="00976328"/>
    <w:rsid w:val="00976B4E"/>
    <w:rsid w:val="00976BD3"/>
    <w:rsid w:val="00977135"/>
    <w:rsid w:val="00977444"/>
    <w:rsid w:val="009778E4"/>
    <w:rsid w:val="00981420"/>
    <w:rsid w:val="0098209C"/>
    <w:rsid w:val="009824B0"/>
    <w:rsid w:val="009839F4"/>
    <w:rsid w:val="00984458"/>
    <w:rsid w:val="00984EA6"/>
    <w:rsid w:val="00985187"/>
    <w:rsid w:val="00985283"/>
    <w:rsid w:val="009852CE"/>
    <w:rsid w:val="0098543C"/>
    <w:rsid w:val="009854DE"/>
    <w:rsid w:val="009856C5"/>
    <w:rsid w:val="009866E5"/>
    <w:rsid w:val="00986EB8"/>
    <w:rsid w:val="009872B5"/>
    <w:rsid w:val="009872FF"/>
    <w:rsid w:val="00987322"/>
    <w:rsid w:val="00987543"/>
    <w:rsid w:val="00990400"/>
    <w:rsid w:val="0099049E"/>
    <w:rsid w:val="0099056B"/>
    <w:rsid w:val="0099097C"/>
    <w:rsid w:val="00990FB3"/>
    <w:rsid w:val="0099106E"/>
    <w:rsid w:val="009910F0"/>
    <w:rsid w:val="009912F7"/>
    <w:rsid w:val="00991497"/>
    <w:rsid w:val="009918FB"/>
    <w:rsid w:val="00991F09"/>
    <w:rsid w:val="0099204D"/>
    <w:rsid w:val="009926F2"/>
    <w:rsid w:val="00992EAE"/>
    <w:rsid w:val="00993211"/>
    <w:rsid w:val="0099385F"/>
    <w:rsid w:val="00993990"/>
    <w:rsid w:val="00993B1B"/>
    <w:rsid w:val="00994862"/>
    <w:rsid w:val="00994AB4"/>
    <w:rsid w:val="00994E0E"/>
    <w:rsid w:val="0099628F"/>
    <w:rsid w:val="0099727D"/>
    <w:rsid w:val="009A01FF"/>
    <w:rsid w:val="009A09AC"/>
    <w:rsid w:val="009A0F3B"/>
    <w:rsid w:val="009A1CC4"/>
    <w:rsid w:val="009A315B"/>
    <w:rsid w:val="009A37FB"/>
    <w:rsid w:val="009A483B"/>
    <w:rsid w:val="009A4846"/>
    <w:rsid w:val="009A57DD"/>
    <w:rsid w:val="009A59ED"/>
    <w:rsid w:val="009A5CAA"/>
    <w:rsid w:val="009A5E09"/>
    <w:rsid w:val="009A6437"/>
    <w:rsid w:val="009A653B"/>
    <w:rsid w:val="009A6812"/>
    <w:rsid w:val="009A6B24"/>
    <w:rsid w:val="009A6FF4"/>
    <w:rsid w:val="009A7237"/>
    <w:rsid w:val="009A72C7"/>
    <w:rsid w:val="009A7AEC"/>
    <w:rsid w:val="009B0071"/>
    <w:rsid w:val="009B077E"/>
    <w:rsid w:val="009B0897"/>
    <w:rsid w:val="009B0AE1"/>
    <w:rsid w:val="009B0BB0"/>
    <w:rsid w:val="009B0C72"/>
    <w:rsid w:val="009B214A"/>
    <w:rsid w:val="009B2280"/>
    <w:rsid w:val="009B267F"/>
    <w:rsid w:val="009B2685"/>
    <w:rsid w:val="009B30EF"/>
    <w:rsid w:val="009B3CD8"/>
    <w:rsid w:val="009B3F5B"/>
    <w:rsid w:val="009B4308"/>
    <w:rsid w:val="009B442F"/>
    <w:rsid w:val="009B487D"/>
    <w:rsid w:val="009B4A4D"/>
    <w:rsid w:val="009B5F80"/>
    <w:rsid w:val="009B74E7"/>
    <w:rsid w:val="009B793B"/>
    <w:rsid w:val="009C005E"/>
    <w:rsid w:val="009C02BB"/>
    <w:rsid w:val="009C188D"/>
    <w:rsid w:val="009C1A10"/>
    <w:rsid w:val="009C211A"/>
    <w:rsid w:val="009C2771"/>
    <w:rsid w:val="009C2B35"/>
    <w:rsid w:val="009C2D55"/>
    <w:rsid w:val="009C343F"/>
    <w:rsid w:val="009C3568"/>
    <w:rsid w:val="009C3A95"/>
    <w:rsid w:val="009C4041"/>
    <w:rsid w:val="009C4773"/>
    <w:rsid w:val="009C62DD"/>
    <w:rsid w:val="009C6D33"/>
    <w:rsid w:val="009C6E5F"/>
    <w:rsid w:val="009D005F"/>
    <w:rsid w:val="009D0852"/>
    <w:rsid w:val="009D0B66"/>
    <w:rsid w:val="009D139F"/>
    <w:rsid w:val="009D18F6"/>
    <w:rsid w:val="009D1FBF"/>
    <w:rsid w:val="009D26CA"/>
    <w:rsid w:val="009D3A44"/>
    <w:rsid w:val="009D3EC8"/>
    <w:rsid w:val="009D3EE5"/>
    <w:rsid w:val="009D3FC5"/>
    <w:rsid w:val="009D6316"/>
    <w:rsid w:val="009D725A"/>
    <w:rsid w:val="009D79DE"/>
    <w:rsid w:val="009E0C59"/>
    <w:rsid w:val="009E0C69"/>
    <w:rsid w:val="009E1BBE"/>
    <w:rsid w:val="009E1D07"/>
    <w:rsid w:val="009E244E"/>
    <w:rsid w:val="009E399C"/>
    <w:rsid w:val="009E3C37"/>
    <w:rsid w:val="009E4118"/>
    <w:rsid w:val="009E416C"/>
    <w:rsid w:val="009E43C1"/>
    <w:rsid w:val="009E5127"/>
    <w:rsid w:val="009E5588"/>
    <w:rsid w:val="009E61E1"/>
    <w:rsid w:val="009E63EC"/>
    <w:rsid w:val="009E66BD"/>
    <w:rsid w:val="009E6E4F"/>
    <w:rsid w:val="009E7E95"/>
    <w:rsid w:val="009F01B0"/>
    <w:rsid w:val="009F0B1F"/>
    <w:rsid w:val="009F116F"/>
    <w:rsid w:val="009F1DBB"/>
    <w:rsid w:val="009F329E"/>
    <w:rsid w:val="009F3467"/>
    <w:rsid w:val="009F369A"/>
    <w:rsid w:val="009F392F"/>
    <w:rsid w:val="009F426A"/>
    <w:rsid w:val="009F5BCD"/>
    <w:rsid w:val="009F629B"/>
    <w:rsid w:val="009F6494"/>
    <w:rsid w:val="009F672D"/>
    <w:rsid w:val="009F7490"/>
    <w:rsid w:val="009F75A9"/>
    <w:rsid w:val="009F7D87"/>
    <w:rsid w:val="009F7ED3"/>
    <w:rsid w:val="00A00659"/>
    <w:rsid w:val="00A00AE7"/>
    <w:rsid w:val="00A020B7"/>
    <w:rsid w:val="00A0211D"/>
    <w:rsid w:val="00A022F4"/>
    <w:rsid w:val="00A02512"/>
    <w:rsid w:val="00A02A77"/>
    <w:rsid w:val="00A02C93"/>
    <w:rsid w:val="00A03046"/>
    <w:rsid w:val="00A03607"/>
    <w:rsid w:val="00A03693"/>
    <w:rsid w:val="00A03963"/>
    <w:rsid w:val="00A03CAE"/>
    <w:rsid w:val="00A03D7E"/>
    <w:rsid w:val="00A047FF"/>
    <w:rsid w:val="00A04FEF"/>
    <w:rsid w:val="00A05DD2"/>
    <w:rsid w:val="00A062DF"/>
    <w:rsid w:val="00A068BC"/>
    <w:rsid w:val="00A0705F"/>
    <w:rsid w:val="00A074A6"/>
    <w:rsid w:val="00A105FD"/>
    <w:rsid w:val="00A111D4"/>
    <w:rsid w:val="00A118F7"/>
    <w:rsid w:val="00A11993"/>
    <w:rsid w:val="00A122CD"/>
    <w:rsid w:val="00A12A32"/>
    <w:rsid w:val="00A12C03"/>
    <w:rsid w:val="00A1322D"/>
    <w:rsid w:val="00A13D1A"/>
    <w:rsid w:val="00A14206"/>
    <w:rsid w:val="00A14248"/>
    <w:rsid w:val="00A14947"/>
    <w:rsid w:val="00A15279"/>
    <w:rsid w:val="00A154D7"/>
    <w:rsid w:val="00A15FF9"/>
    <w:rsid w:val="00A166AD"/>
    <w:rsid w:val="00A17B1A"/>
    <w:rsid w:val="00A2091E"/>
    <w:rsid w:val="00A209E4"/>
    <w:rsid w:val="00A220B8"/>
    <w:rsid w:val="00A221B4"/>
    <w:rsid w:val="00A22212"/>
    <w:rsid w:val="00A23DC5"/>
    <w:rsid w:val="00A254BB"/>
    <w:rsid w:val="00A255E7"/>
    <w:rsid w:val="00A25896"/>
    <w:rsid w:val="00A26A5E"/>
    <w:rsid w:val="00A26D83"/>
    <w:rsid w:val="00A26DA0"/>
    <w:rsid w:val="00A26F22"/>
    <w:rsid w:val="00A27B7D"/>
    <w:rsid w:val="00A27C6D"/>
    <w:rsid w:val="00A27CF4"/>
    <w:rsid w:val="00A309AE"/>
    <w:rsid w:val="00A30A89"/>
    <w:rsid w:val="00A313D9"/>
    <w:rsid w:val="00A31EA1"/>
    <w:rsid w:val="00A3297D"/>
    <w:rsid w:val="00A34028"/>
    <w:rsid w:val="00A35568"/>
    <w:rsid w:val="00A35D59"/>
    <w:rsid w:val="00A37056"/>
    <w:rsid w:val="00A373CF"/>
    <w:rsid w:val="00A37FF2"/>
    <w:rsid w:val="00A403B6"/>
    <w:rsid w:val="00A41398"/>
    <w:rsid w:val="00A4184D"/>
    <w:rsid w:val="00A42691"/>
    <w:rsid w:val="00A42DF8"/>
    <w:rsid w:val="00A4358F"/>
    <w:rsid w:val="00A4378F"/>
    <w:rsid w:val="00A43D38"/>
    <w:rsid w:val="00A43D51"/>
    <w:rsid w:val="00A441C1"/>
    <w:rsid w:val="00A448CB"/>
    <w:rsid w:val="00A44E62"/>
    <w:rsid w:val="00A44FA3"/>
    <w:rsid w:val="00A4572D"/>
    <w:rsid w:val="00A460D8"/>
    <w:rsid w:val="00A4656D"/>
    <w:rsid w:val="00A4687A"/>
    <w:rsid w:val="00A46F67"/>
    <w:rsid w:val="00A4784B"/>
    <w:rsid w:val="00A47969"/>
    <w:rsid w:val="00A50FF1"/>
    <w:rsid w:val="00A513A3"/>
    <w:rsid w:val="00A5145B"/>
    <w:rsid w:val="00A51C6D"/>
    <w:rsid w:val="00A54049"/>
    <w:rsid w:val="00A54AA1"/>
    <w:rsid w:val="00A554CA"/>
    <w:rsid w:val="00A554D1"/>
    <w:rsid w:val="00A55F7E"/>
    <w:rsid w:val="00A568FF"/>
    <w:rsid w:val="00A57538"/>
    <w:rsid w:val="00A57D4F"/>
    <w:rsid w:val="00A6038D"/>
    <w:rsid w:val="00A61496"/>
    <w:rsid w:val="00A61833"/>
    <w:rsid w:val="00A61DBA"/>
    <w:rsid w:val="00A621B3"/>
    <w:rsid w:val="00A624C6"/>
    <w:rsid w:val="00A6276A"/>
    <w:rsid w:val="00A637B1"/>
    <w:rsid w:val="00A63CEC"/>
    <w:rsid w:val="00A64090"/>
    <w:rsid w:val="00A64684"/>
    <w:rsid w:val="00A6563E"/>
    <w:rsid w:val="00A65A8D"/>
    <w:rsid w:val="00A7031E"/>
    <w:rsid w:val="00A70A5E"/>
    <w:rsid w:val="00A71BBF"/>
    <w:rsid w:val="00A71CA1"/>
    <w:rsid w:val="00A725D2"/>
    <w:rsid w:val="00A728B1"/>
    <w:rsid w:val="00A733DB"/>
    <w:rsid w:val="00A73985"/>
    <w:rsid w:val="00A73A90"/>
    <w:rsid w:val="00A7612A"/>
    <w:rsid w:val="00A763DE"/>
    <w:rsid w:val="00A7743E"/>
    <w:rsid w:val="00A80059"/>
    <w:rsid w:val="00A803D6"/>
    <w:rsid w:val="00A804E4"/>
    <w:rsid w:val="00A81282"/>
    <w:rsid w:val="00A818D4"/>
    <w:rsid w:val="00A8469E"/>
    <w:rsid w:val="00A848BA"/>
    <w:rsid w:val="00A84E97"/>
    <w:rsid w:val="00A85567"/>
    <w:rsid w:val="00A855D3"/>
    <w:rsid w:val="00A85789"/>
    <w:rsid w:val="00A859CE"/>
    <w:rsid w:val="00A861A0"/>
    <w:rsid w:val="00A86724"/>
    <w:rsid w:val="00A86F14"/>
    <w:rsid w:val="00A86F5C"/>
    <w:rsid w:val="00A8713F"/>
    <w:rsid w:val="00A87ACF"/>
    <w:rsid w:val="00A909A0"/>
    <w:rsid w:val="00A90A1C"/>
    <w:rsid w:val="00A90A79"/>
    <w:rsid w:val="00A90D9E"/>
    <w:rsid w:val="00A91167"/>
    <w:rsid w:val="00A91547"/>
    <w:rsid w:val="00A9171C"/>
    <w:rsid w:val="00A92FFD"/>
    <w:rsid w:val="00A931E5"/>
    <w:rsid w:val="00A93DA4"/>
    <w:rsid w:val="00A941A7"/>
    <w:rsid w:val="00A94608"/>
    <w:rsid w:val="00A94956"/>
    <w:rsid w:val="00A95263"/>
    <w:rsid w:val="00A95975"/>
    <w:rsid w:val="00A96EFB"/>
    <w:rsid w:val="00A9708D"/>
    <w:rsid w:val="00A97B5C"/>
    <w:rsid w:val="00AA0ADD"/>
    <w:rsid w:val="00AA27CE"/>
    <w:rsid w:val="00AA2A3C"/>
    <w:rsid w:val="00AA2C17"/>
    <w:rsid w:val="00AA2EBE"/>
    <w:rsid w:val="00AA34EC"/>
    <w:rsid w:val="00AA4172"/>
    <w:rsid w:val="00AA457C"/>
    <w:rsid w:val="00AA48D3"/>
    <w:rsid w:val="00AA4F7B"/>
    <w:rsid w:val="00AA7299"/>
    <w:rsid w:val="00AA7F09"/>
    <w:rsid w:val="00AB01B5"/>
    <w:rsid w:val="00AB1452"/>
    <w:rsid w:val="00AB1914"/>
    <w:rsid w:val="00AB1EB9"/>
    <w:rsid w:val="00AB30E9"/>
    <w:rsid w:val="00AB48BB"/>
    <w:rsid w:val="00AB5330"/>
    <w:rsid w:val="00AB5578"/>
    <w:rsid w:val="00AB588D"/>
    <w:rsid w:val="00AB6191"/>
    <w:rsid w:val="00AB6485"/>
    <w:rsid w:val="00AB662F"/>
    <w:rsid w:val="00AB690E"/>
    <w:rsid w:val="00AB6CD3"/>
    <w:rsid w:val="00AB6DEA"/>
    <w:rsid w:val="00AB7747"/>
    <w:rsid w:val="00AC07F4"/>
    <w:rsid w:val="00AC091D"/>
    <w:rsid w:val="00AC161A"/>
    <w:rsid w:val="00AC2532"/>
    <w:rsid w:val="00AC336B"/>
    <w:rsid w:val="00AC3483"/>
    <w:rsid w:val="00AC4419"/>
    <w:rsid w:val="00AC5818"/>
    <w:rsid w:val="00AC71E8"/>
    <w:rsid w:val="00AC7801"/>
    <w:rsid w:val="00AD03F1"/>
    <w:rsid w:val="00AD0C48"/>
    <w:rsid w:val="00AD1507"/>
    <w:rsid w:val="00AD15A6"/>
    <w:rsid w:val="00AD1DE8"/>
    <w:rsid w:val="00AD1F34"/>
    <w:rsid w:val="00AD21C3"/>
    <w:rsid w:val="00AD253B"/>
    <w:rsid w:val="00AD418A"/>
    <w:rsid w:val="00AD4EFF"/>
    <w:rsid w:val="00AD52E6"/>
    <w:rsid w:val="00AD5941"/>
    <w:rsid w:val="00AD5A70"/>
    <w:rsid w:val="00AD694B"/>
    <w:rsid w:val="00AD738B"/>
    <w:rsid w:val="00AD751F"/>
    <w:rsid w:val="00AD777F"/>
    <w:rsid w:val="00AD7A41"/>
    <w:rsid w:val="00AE0353"/>
    <w:rsid w:val="00AE084A"/>
    <w:rsid w:val="00AE08CC"/>
    <w:rsid w:val="00AE115A"/>
    <w:rsid w:val="00AE14B1"/>
    <w:rsid w:val="00AE1BF4"/>
    <w:rsid w:val="00AE2D71"/>
    <w:rsid w:val="00AE2E5D"/>
    <w:rsid w:val="00AE3B01"/>
    <w:rsid w:val="00AE3C5C"/>
    <w:rsid w:val="00AE4F4B"/>
    <w:rsid w:val="00AE5D73"/>
    <w:rsid w:val="00AE5D97"/>
    <w:rsid w:val="00AE5DDF"/>
    <w:rsid w:val="00AE5E46"/>
    <w:rsid w:val="00AE66DF"/>
    <w:rsid w:val="00AE6794"/>
    <w:rsid w:val="00AE7691"/>
    <w:rsid w:val="00AF00B7"/>
    <w:rsid w:val="00AF042F"/>
    <w:rsid w:val="00AF1516"/>
    <w:rsid w:val="00AF2F20"/>
    <w:rsid w:val="00AF349B"/>
    <w:rsid w:val="00AF3D9B"/>
    <w:rsid w:val="00AF5034"/>
    <w:rsid w:val="00AF59FA"/>
    <w:rsid w:val="00AF6B89"/>
    <w:rsid w:val="00AF7790"/>
    <w:rsid w:val="00AF7942"/>
    <w:rsid w:val="00AF7B71"/>
    <w:rsid w:val="00AF7B9D"/>
    <w:rsid w:val="00B00231"/>
    <w:rsid w:val="00B0057D"/>
    <w:rsid w:val="00B00FB4"/>
    <w:rsid w:val="00B01110"/>
    <w:rsid w:val="00B02262"/>
    <w:rsid w:val="00B0354E"/>
    <w:rsid w:val="00B03871"/>
    <w:rsid w:val="00B03CEC"/>
    <w:rsid w:val="00B040FF"/>
    <w:rsid w:val="00B04281"/>
    <w:rsid w:val="00B044AC"/>
    <w:rsid w:val="00B04BFC"/>
    <w:rsid w:val="00B05FF7"/>
    <w:rsid w:val="00B06191"/>
    <w:rsid w:val="00B061A6"/>
    <w:rsid w:val="00B07207"/>
    <w:rsid w:val="00B076DB"/>
    <w:rsid w:val="00B0787F"/>
    <w:rsid w:val="00B10AF8"/>
    <w:rsid w:val="00B10C31"/>
    <w:rsid w:val="00B117D7"/>
    <w:rsid w:val="00B12004"/>
    <w:rsid w:val="00B1209F"/>
    <w:rsid w:val="00B121CB"/>
    <w:rsid w:val="00B12AD0"/>
    <w:rsid w:val="00B13E40"/>
    <w:rsid w:val="00B14424"/>
    <w:rsid w:val="00B14997"/>
    <w:rsid w:val="00B14E8C"/>
    <w:rsid w:val="00B15337"/>
    <w:rsid w:val="00B159F3"/>
    <w:rsid w:val="00B15ACD"/>
    <w:rsid w:val="00B21E14"/>
    <w:rsid w:val="00B22B19"/>
    <w:rsid w:val="00B238B6"/>
    <w:rsid w:val="00B23949"/>
    <w:rsid w:val="00B23A1B"/>
    <w:rsid w:val="00B23D9A"/>
    <w:rsid w:val="00B243FA"/>
    <w:rsid w:val="00B24F30"/>
    <w:rsid w:val="00B250DA"/>
    <w:rsid w:val="00B2532A"/>
    <w:rsid w:val="00B25420"/>
    <w:rsid w:val="00B25874"/>
    <w:rsid w:val="00B25F5E"/>
    <w:rsid w:val="00B271DC"/>
    <w:rsid w:val="00B27AFC"/>
    <w:rsid w:val="00B27BED"/>
    <w:rsid w:val="00B27DFE"/>
    <w:rsid w:val="00B30046"/>
    <w:rsid w:val="00B31568"/>
    <w:rsid w:val="00B3156C"/>
    <w:rsid w:val="00B31ABF"/>
    <w:rsid w:val="00B335AE"/>
    <w:rsid w:val="00B34855"/>
    <w:rsid w:val="00B354AE"/>
    <w:rsid w:val="00B35C5F"/>
    <w:rsid w:val="00B3615A"/>
    <w:rsid w:val="00B365CB"/>
    <w:rsid w:val="00B36E9F"/>
    <w:rsid w:val="00B371C9"/>
    <w:rsid w:val="00B37CE1"/>
    <w:rsid w:val="00B40776"/>
    <w:rsid w:val="00B40ACF"/>
    <w:rsid w:val="00B40B1E"/>
    <w:rsid w:val="00B40E8C"/>
    <w:rsid w:val="00B41C1B"/>
    <w:rsid w:val="00B41C24"/>
    <w:rsid w:val="00B41EB9"/>
    <w:rsid w:val="00B42012"/>
    <w:rsid w:val="00B42956"/>
    <w:rsid w:val="00B43565"/>
    <w:rsid w:val="00B43C37"/>
    <w:rsid w:val="00B43C49"/>
    <w:rsid w:val="00B43EF6"/>
    <w:rsid w:val="00B44CFD"/>
    <w:rsid w:val="00B46B9E"/>
    <w:rsid w:val="00B46BAA"/>
    <w:rsid w:val="00B46DFF"/>
    <w:rsid w:val="00B47D55"/>
    <w:rsid w:val="00B500A9"/>
    <w:rsid w:val="00B50B5F"/>
    <w:rsid w:val="00B50C7B"/>
    <w:rsid w:val="00B50CF7"/>
    <w:rsid w:val="00B50F00"/>
    <w:rsid w:val="00B51249"/>
    <w:rsid w:val="00B51525"/>
    <w:rsid w:val="00B524CE"/>
    <w:rsid w:val="00B52EBA"/>
    <w:rsid w:val="00B54128"/>
    <w:rsid w:val="00B545A1"/>
    <w:rsid w:val="00B55826"/>
    <w:rsid w:val="00B55F7F"/>
    <w:rsid w:val="00B561ED"/>
    <w:rsid w:val="00B57D53"/>
    <w:rsid w:val="00B60146"/>
    <w:rsid w:val="00B602DC"/>
    <w:rsid w:val="00B60426"/>
    <w:rsid w:val="00B605F2"/>
    <w:rsid w:val="00B611E0"/>
    <w:rsid w:val="00B622DD"/>
    <w:rsid w:val="00B63522"/>
    <w:rsid w:val="00B642B6"/>
    <w:rsid w:val="00B64682"/>
    <w:rsid w:val="00B64DD7"/>
    <w:rsid w:val="00B66AC0"/>
    <w:rsid w:val="00B66C0F"/>
    <w:rsid w:val="00B671C4"/>
    <w:rsid w:val="00B67599"/>
    <w:rsid w:val="00B70331"/>
    <w:rsid w:val="00B714FD"/>
    <w:rsid w:val="00B718BE"/>
    <w:rsid w:val="00B73AAF"/>
    <w:rsid w:val="00B73AB3"/>
    <w:rsid w:val="00B747A1"/>
    <w:rsid w:val="00B7568D"/>
    <w:rsid w:val="00B76055"/>
    <w:rsid w:val="00B76BF4"/>
    <w:rsid w:val="00B76DB0"/>
    <w:rsid w:val="00B76F1D"/>
    <w:rsid w:val="00B7725D"/>
    <w:rsid w:val="00B7736F"/>
    <w:rsid w:val="00B77EC8"/>
    <w:rsid w:val="00B8083E"/>
    <w:rsid w:val="00B80C5B"/>
    <w:rsid w:val="00B81000"/>
    <w:rsid w:val="00B81405"/>
    <w:rsid w:val="00B82C4E"/>
    <w:rsid w:val="00B83560"/>
    <w:rsid w:val="00B843B5"/>
    <w:rsid w:val="00B85308"/>
    <w:rsid w:val="00B85347"/>
    <w:rsid w:val="00B85402"/>
    <w:rsid w:val="00B872AD"/>
    <w:rsid w:val="00B872F1"/>
    <w:rsid w:val="00B8778B"/>
    <w:rsid w:val="00B91023"/>
    <w:rsid w:val="00B91279"/>
    <w:rsid w:val="00B91AC0"/>
    <w:rsid w:val="00B91AE5"/>
    <w:rsid w:val="00B92A19"/>
    <w:rsid w:val="00B92C8E"/>
    <w:rsid w:val="00B92E7D"/>
    <w:rsid w:val="00B930FD"/>
    <w:rsid w:val="00B939BC"/>
    <w:rsid w:val="00B94E23"/>
    <w:rsid w:val="00B9544C"/>
    <w:rsid w:val="00B95981"/>
    <w:rsid w:val="00BA0A05"/>
    <w:rsid w:val="00BA0B4A"/>
    <w:rsid w:val="00BA1189"/>
    <w:rsid w:val="00BA26DC"/>
    <w:rsid w:val="00BA29E9"/>
    <w:rsid w:val="00BA32C7"/>
    <w:rsid w:val="00BA46F8"/>
    <w:rsid w:val="00BA5CE4"/>
    <w:rsid w:val="00BA5E34"/>
    <w:rsid w:val="00BA693E"/>
    <w:rsid w:val="00BB0A49"/>
    <w:rsid w:val="00BB35B7"/>
    <w:rsid w:val="00BB3618"/>
    <w:rsid w:val="00BB4937"/>
    <w:rsid w:val="00BB4DF3"/>
    <w:rsid w:val="00BB5077"/>
    <w:rsid w:val="00BB526A"/>
    <w:rsid w:val="00BB7B35"/>
    <w:rsid w:val="00BB7E49"/>
    <w:rsid w:val="00BC0C9E"/>
    <w:rsid w:val="00BC282B"/>
    <w:rsid w:val="00BC319F"/>
    <w:rsid w:val="00BC32DC"/>
    <w:rsid w:val="00BC36D9"/>
    <w:rsid w:val="00BC39B5"/>
    <w:rsid w:val="00BC4918"/>
    <w:rsid w:val="00BC521C"/>
    <w:rsid w:val="00BC5239"/>
    <w:rsid w:val="00BC5A92"/>
    <w:rsid w:val="00BC683A"/>
    <w:rsid w:val="00BC7A9C"/>
    <w:rsid w:val="00BD0571"/>
    <w:rsid w:val="00BD097E"/>
    <w:rsid w:val="00BD0D50"/>
    <w:rsid w:val="00BD11FD"/>
    <w:rsid w:val="00BD1564"/>
    <w:rsid w:val="00BD1855"/>
    <w:rsid w:val="00BD1B51"/>
    <w:rsid w:val="00BD207A"/>
    <w:rsid w:val="00BD23CA"/>
    <w:rsid w:val="00BD2882"/>
    <w:rsid w:val="00BD2FA2"/>
    <w:rsid w:val="00BD3385"/>
    <w:rsid w:val="00BD4730"/>
    <w:rsid w:val="00BD47F6"/>
    <w:rsid w:val="00BD4C0A"/>
    <w:rsid w:val="00BD5075"/>
    <w:rsid w:val="00BD5985"/>
    <w:rsid w:val="00BD65BF"/>
    <w:rsid w:val="00BD6999"/>
    <w:rsid w:val="00BD6A1D"/>
    <w:rsid w:val="00BD6AF7"/>
    <w:rsid w:val="00BD6DC9"/>
    <w:rsid w:val="00BE165C"/>
    <w:rsid w:val="00BE2200"/>
    <w:rsid w:val="00BE2304"/>
    <w:rsid w:val="00BE2992"/>
    <w:rsid w:val="00BE300B"/>
    <w:rsid w:val="00BE312D"/>
    <w:rsid w:val="00BE3603"/>
    <w:rsid w:val="00BE3FCA"/>
    <w:rsid w:val="00BE40CB"/>
    <w:rsid w:val="00BE434B"/>
    <w:rsid w:val="00BE5133"/>
    <w:rsid w:val="00BE5DFA"/>
    <w:rsid w:val="00BE6038"/>
    <w:rsid w:val="00BE65F5"/>
    <w:rsid w:val="00BE75E6"/>
    <w:rsid w:val="00BE7BC8"/>
    <w:rsid w:val="00BF096B"/>
    <w:rsid w:val="00BF0A62"/>
    <w:rsid w:val="00BF1145"/>
    <w:rsid w:val="00BF1A71"/>
    <w:rsid w:val="00BF2299"/>
    <w:rsid w:val="00BF2A93"/>
    <w:rsid w:val="00BF3522"/>
    <w:rsid w:val="00BF3621"/>
    <w:rsid w:val="00BF3D1B"/>
    <w:rsid w:val="00BF44AB"/>
    <w:rsid w:val="00BF4CEA"/>
    <w:rsid w:val="00BF5459"/>
    <w:rsid w:val="00BF626A"/>
    <w:rsid w:val="00BF7FC1"/>
    <w:rsid w:val="00C01205"/>
    <w:rsid w:val="00C012D1"/>
    <w:rsid w:val="00C014FF"/>
    <w:rsid w:val="00C0250A"/>
    <w:rsid w:val="00C02780"/>
    <w:rsid w:val="00C028BC"/>
    <w:rsid w:val="00C02FD1"/>
    <w:rsid w:val="00C03BE1"/>
    <w:rsid w:val="00C03D66"/>
    <w:rsid w:val="00C04141"/>
    <w:rsid w:val="00C05420"/>
    <w:rsid w:val="00C05719"/>
    <w:rsid w:val="00C103FC"/>
    <w:rsid w:val="00C10578"/>
    <w:rsid w:val="00C10EBA"/>
    <w:rsid w:val="00C1220D"/>
    <w:rsid w:val="00C13001"/>
    <w:rsid w:val="00C14171"/>
    <w:rsid w:val="00C15332"/>
    <w:rsid w:val="00C15F1A"/>
    <w:rsid w:val="00C1629A"/>
    <w:rsid w:val="00C168D9"/>
    <w:rsid w:val="00C17422"/>
    <w:rsid w:val="00C17A27"/>
    <w:rsid w:val="00C17D62"/>
    <w:rsid w:val="00C17E88"/>
    <w:rsid w:val="00C207E4"/>
    <w:rsid w:val="00C213D9"/>
    <w:rsid w:val="00C21894"/>
    <w:rsid w:val="00C21B4C"/>
    <w:rsid w:val="00C21FDC"/>
    <w:rsid w:val="00C228C7"/>
    <w:rsid w:val="00C234F7"/>
    <w:rsid w:val="00C23E56"/>
    <w:rsid w:val="00C24A58"/>
    <w:rsid w:val="00C24AD7"/>
    <w:rsid w:val="00C24EE7"/>
    <w:rsid w:val="00C24F44"/>
    <w:rsid w:val="00C253C8"/>
    <w:rsid w:val="00C2596A"/>
    <w:rsid w:val="00C25DA1"/>
    <w:rsid w:val="00C26554"/>
    <w:rsid w:val="00C271BE"/>
    <w:rsid w:val="00C27425"/>
    <w:rsid w:val="00C3024B"/>
    <w:rsid w:val="00C30929"/>
    <w:rsid w:val="00C30C3E"/>
    <w:rsid w:val="00C31FA2"/>
    <w:rsid w:val="00C328FE"/>
    <w:rsid w:val="00C33023"/>
    <w:rsid w:val="00C33A05"/>
    <w:rsid w:val="00C34E13"/>
    <w:rsid w:val="00C3628D"/>
    <w:rsid w:val="00C37285"/>
    <w:rsid w:val="00C37360"/>
    <w:rsid w:val="00C373B8"/>
    <w:rsid w:val="00C4028F"/>
    <w:rsid w:val="00C4054E"/>
    <w:rsid w:val="00C405D1"/>
    <w:rsid w:val="00C415F9"/>
    <w:rsid w:val="00C41610"/>
    <w:rsid w:val="00C41A9D"/>
    <w:rsid w:val="00C41BB9"/>
    <w:rsid w:val="00C41CE6"/>
    <w:rsid w:val="00C421FA"/>
    <w:rsid w:val="00C42500"/>
    <w:rsid w:val="00C437A0"/>
    <w:rsid w:val="00C43A51"/>
    <w:rsid w:val="00C43F02"/>
    <w:rsid w:val="00C4409D"/>
    <w:rsid w:val="00C455BE"/>
    <w:rsid w:val="00C45D16"/>
    <w:rsid w:val="00C466B9"/>
    <w:rsid w:val="00C46996"/>
    <w:rsid w:val="00C4725A"/>
    <w:rsid w:val="00C4761E"/>
    <w:rsid w:val="00C507FE"/>
    <w:rsid w:val="00C510EB"/>
    <w:rsid w:val="00C51D86"/>
    <w:rsid w:val="00C51E5F"/>
    <w:rsid w:val="00C51FCC"/>
    <w:rsid w:val="00C52452"/>
    <w:rsid w:val="00C54A46"/>
    <w:rsid w:val="00C54EBF"/>
    <w:rsid w:val="00C5578A"/>
    <w:rsid w:val="00C55FFF"/>
    <w:rsid w:val="00C567F3"/>
    <w:rsid w:val="00C572D6"/>
    <w:rsid w:val="00C57E0D"/>
    <w:rsid w:val="00C57E6D"/>
    <w:rsid w:val="00C610F2"/>
    <w:rsid w:val="00C61132"/>
    <w:rsid w:val="00C6120E"/>
    <w:rsid w:val="00C61E4B"/>
    <w:rsid w:val="00C62500"/>
    <w:rsid w:val="00C629D9"/>
    <w:rsid w:val="00C62E3A"/>
    <w:rsid w:val="00C63CF2"/>
    <w:rsid w:val="00C6417B"/>
    <w:rsid w:val="00C64503"/>
    <w:rsid w:val="00C64A1F"/>
    <w:rsid w:val="00C64BFF"/>
    <w:rsid w:val="00C654CA"/>
    <w:rsid w:val="00C65B83"/>
    <w:rsid w:val="00C65CD8"/>
    <w:rsid w:val="00C65F3C"/>
    <w:rsid w:val="00C66A83"/>
    <w:rsid w:val="00C66BA7"/>
    <w:rsid w:val="00C66C0A"/>
    <w:rsid w:val="00C67298"/>
    <w:rsid w:val="00C67450"/>
    <w:rsid w:val="00C6773A"/>
    <w:rsid w:val="00C67E1F"/>
    <w:rsid w:val="00C7011A"/>
    <w:rsid w:val="00C70FD1"/>
    <w:rsid w:val="00C71962"/>
    <w:rsid w:val="00C721F3"/>
    <w:rsid w:val="00C730C0"/>
    <w:rsid w:val="00C738BF"/>
    <w:rsid w:val="00C73968"/>
    <w:rsid w:val="00C74A20"/>
    <w:rsid w:val="00C75D89"/>
    <w:rsid w:val="00C763C9"/>
    <w:rsid w:val="00C771B1"/>
    <w:rsid w:val="00C77519"/>
    <w:rsid w:val="00C77C51"/>
    <w:rsid w:val="00C80057"/>
    <w:rsid w:val="00C80815"/>
    <w:rsid w:val="00C80A17"/>
    <w:rsid w:val="00C8268C"/>
    <w:rsid w:val="00C827E0"/>
    <w:rsid w:val="00C82C79"/>
    <w:rsid w:val="00C82DAD"/>
    <w:rsid w:val="00C836D6"/>
    <w:rsid w:val="00C83F81"/>
    <w:rsid w:val="00C84753"/>
    <w:rsid w:val="00C85009"/>
    <w:rsid w:val="00C857ED"/>
    <w:rsid w:val="00C85E29"/>
    <w:rsid w:val="00C90D15"/>
    <w:rsid w:val="00C90DD5"/>
    <w:rsid w:val="00C91005"/>
    <w:rsid w:val="00C91611"/>
    <w:rsid w:val="00C919B1"/>
    <w:rsid w:val="00C92AB9"/>
    <w:rsid w:val="00C93E8E"/>
    <w:rsid w:val="00C94378"/>
    <w:rsid w:val="00C948BA"/>
    <w:rsid w:val="00C94C8C"/>
    <w:rsid w:val="00C95ABD"/>
    <w:rsid w:val="00C95E7E"/>
    <w:rsid w:val="00C9682D"/>
    <w:rsid w:val="00C97EC9"/>
    <w:rsid w:val="00CA0358"/>
    <w:rsid w:val="00CA14A7"/>
    <w:rsid w:val="00CA1605"/>
    <w:rsid w:val="00CA2CF1"/>
    <w:rsid w:val="00CA3098"/>
    <w:rsid w:val="00CA337E"/>
    <w:rsid w:val="00CA346C"/>
    <w:rsid w:val="00CA34AC"/>
    <w:rsid w:val="00CA3585"/>
    <w:rsid w:val="00CA38D3"/>
    <w:rsid w:val="00CA3D5A"/>
    <w:rsid w:val="00CA411A"/>
    <w:rsid w:val="00CA4936"/>
    <w:rsid w:val="00CA4C7C"/>
    <w:rsid w:val="00CA6B6F"/>
    <w:rsid w:val="00CA6F81"/>
    <w:rsid w:val="00CA7A77"/>
    <w:rsid w:val="00CB0183"/>
    <w:rsid w:val="00CB1046"/>
    <w:rsid w:val="00CB1D5E"/>
    <w:rsid w:val="00CB1EA3"/>
    <w:rsid w:val="00CB3670"/>
    <w:rsid w:val="00CB468A"/>
    <w:rsid w:val="00CB552C"/>
    <w:rsid w:val="00CB58FE"/>
    <w:rsid w:val="00CB626A"/>
    <w:rsid w:val="00CB640C"/>
    <w:rsid w:val="00CB6A9E"/>
    <w:rsid w:val="00CB7459"/>
    <w:rsid w:val="00CB7745"/>
    <w:rsid w:val="00CB7BC0"/>
    <w:rsid w:val="00CC0A7A"/>
    <w:rsid w:val="00CC0B5F"/>
    <w:rsid w:val="00CC1A54"/>
    <w:rsid w:val="00CC5D2C"/>
    <w:rsid w:val="00CC5D43"/>
    <w:rsid w:val="00CC6181"/>
    <w:rsid w:val="00CC61B7"/>
    <w:rsid w:val="00CC6979"/>
    <w:rsid w:val="00CC6DC5"/>
    <w:rsid w:val="00CD0A86"/>
    <w:rsid w:val="00CD0EBE"/>
    <w:rsid w:val="00CD0ED3"/>
    <w:rsid w:val="00CD1685"/>
    <w:rsid w:val="00CD1EB6"/>
    <w:rsid w:val="00CD220B"/>
    <w:rsid w:val="00CD2802"/>
    <w:rsid w:val="00CD2A8F"/>
    <w:rsid w:val="00CD2BCD"/>
    <w:rsid w:val="00CD36AA"/>
    <w:rsid w:val="00CD3791"/>
    <w:rsid w:val="00CD3A42"/>
    <w:rsid w:val="00CD3C77"/>
    <w:rsid w:val="00CD4417"/>
    <w:rsid w:val="00CD45D7"/>
    <w:rsid w:val="00CD5715"/>
    <w:rsid w:val="00CD5EF7"/>
    <w:rsid w:val="00CD6205"/>
    <w:rsid w:val="00CD62ED"/>
    <w:rsid w:val="00CD651A"/>
    <w:rsid w:val="00CD65B0"/>
    <w:rsid w:val="00CD65E7"/>
    <w:rsid w:val="00CD6F9B"/>
    <w:rsid w:val="00CD7449"/>
    <w:rsid w:val="00CE0241"/>
    <w:rsid w:val="00CE02CD"/>
    <w:rsid w:val="00CE06F7"/>
    <w:rsid w:val="00CE0A10"/>
    <w:rsid w:val="00CE10E9"/>
    <w:rsid w:val="00CE24E8"/>
    <w:rsid w:val="00CE2992"/>
    <w:rsid w:val="00CE3D99"/>
    <w:rsid w:val="00CE4495"/>
    <w:rsid w:val="00CE5546"/>
    <w:rsid w:val="00CE586C"/>
    <w:rsid w:val="00CE5A7B"/>
    <w:rsid w:val="00CE5B66"/>
    <w:rsid w:val="00CE72AE"/>
    <w:rsid w:val="00CE73C2"/>
    <w:rsid w:val="00CE74B0"/>
    <w:rsid w:val="00CE7D92"/>
    <w:rsid w:val="00CE7E4B"/>
    <w:rsid w:val="00CF00A3"/>
    <w:rsid w:val="00CF0409"/>
    <w:rsid w:val="00CF12D5"/>
    <w:rsid w:val="00CF1B2C"/>
    <w:rsid w:val="00CF220E"/>
    <w:rsid w:val="00CF22CB"/>
    <w:rsid w:val="00CF2572"/>
    <w:rsid w:val="00CF26F2"/>
    <w:rsid w:val="00CF3A0C"/>
    <w:rsid w:val="00CF4112"/>
    <w:rsid w:val="00CF559E"/>
    <w:rsid w:val="00CF5DD5"/>
    <w:rsid w:val="00CF69F3"/>
    <w:rsid w:val="00CF7F2D"/>
    <w:rsid w:val="00D0072E"/>
    <w:rsid w:val="00D00D84"/>
    <w:rsid w:val="00D00E17"/>
    <w:rsid w:val="00D019A1"/>
    <w:rsid w:val="00D019AE"/>
    <w:rsid w:val="00D019E4"/>
    <w:rsid w:val="00D01AA0"/>
    <w:rsid w:val="00D0250D"/>
    <w:rsid w:val="00D02977"/>
    <w:rsid w:val="00D03860"/>
    <w:rsid w:val="00D039EE"/>
    <w:rsid w:val="00D03C4B"/>
    <w:rsid w:val="00D03F31"/>
    <w:rsid w:val="00D043AC"/>
    <w:rsid w:val="00D04729"/>
    <w:rsid w:val="00D0479C"/>
    <w:rsid w:val="00D04E27"/>
    <w:rsid w:val="00D04E65"/>
    <w:rsid w:val="00D04FA5"/>
    <w:rsid w:val="00D052B4"/>
    <w:rsid w:val="00D07E49"/>
    <w:rsid w:val="00D07F0B"/>
    <w:rsid w:val="00D103BF"/>
    <w:rsid w:val="00D108A8"/>
    <w:rsid w:val="00D10B2B"/>
    <w:rsid w:val="00D11B7B"/>
    <w:rsid w:val="00D11CF2"/>
    <w:rsid w:val="00D12271"/>
    <w:rsid w:val="00D1270E"/>
    <w:rsid w:val="00D1300F"/>
    <w:rsid w:val="00D139C0"/>
    <w:rsid w:val="00D13BED"/>
    <w:rsid w:val="00D13FBD"/>
    <w:rsid w:val="00D15727"/>
    <w:rsid w:val="00D16332"/>
    <w:rsid w:val="00D1655F"/>
    <w:rsid w:val="00D17B29"/>
    <w:rsid w:val="00D2005B"/>
    <w:rsid w:val="00D21ABF"/>
    <w:rsid w:val="00D21CF8"/>
    <w:rsid w:val="00D21EF1"/>
    <w:rsid w:val="00D21F0B"/>
    <w:rsid w:val="00D22703"/>
    <w:rsid w:val="00D22866"/>
    <w:rsid w:val="00D23A5D"/>
    <w:rsid w:val="00D23EF6"/>
    <w:rsid w:val="00D2472B"/>
    <w:rsid w:val="00D24972"/>
    <w:rsid w:val="00D2515E"/>
    <w:rsid w:val="00D2549B"/>
    <w:rsid w:val="00D25721"/>
    <w:rsid w:val="00D259AD"/>
    <w:rsid w:val="00D27CF8"/>
    <w:rsid w:val="00D30488"/>
    <w:rsid w:val="00D305C7"/>
    <w:rsid w:val="00D308ED"/>
    <w:rsid w:val="00D30DC0"/>
    <w:rsid w:val="00D3136F"/>
    <w:rsid w:val="00D31B09"/>
    <w:rsid w:val="00D31C21"/>
    <w:rsid w:val="00D31FBE"/>
    <w:rsid w:val="00D32919"/>
    <w:rsid w:val="00D33A83"/>
    <w:rsid w:val="00D33B5C"/>
    <w:rsid w:val="00D35260"/>
    <w:rsid w:val="00D35307"/>
    <w:rsid w:val="00D35607"/>
    <w:rsid w:val="00D356AA"/>
    <w:rsid w:val="00D36B1B"/>
    <w:rsid w:val="00D4009C"/>
    <w:rsid w:val="00D40160"/>
    <w:rsid w:val="00D4087C"/>
    <w:rsid w:val="00D40A98"/>
    <w:rsid w:val="00D40FCE"/>
    <w:rsid w:val="00D4150A"/>
    <w:rsid w:val="00D41C1F"/>
    <w:rsid w:val="00D41C21"/>
    <w:rsid w:val="00D41CBA"/>
    <w:rsid w:val="00D42542"/>
    <w:rsid w:val="00D4303E"/>
    <w:rsid w:val="00D44FA6"/>
    <w:rsid w:val="00D455C6"/>
    <w:rsid w:val="00D45948"/>
    <w:rsid w:val="00D462CE"/>
    <w:rsid w:val="00D46431"/>
    <w:rsid w:val="00D465AB"/>
    <w:rsid w:val="00D468F4"/>
    <w:rsid w:val="00D46B87"/>
    <w:rsid w:val="00D46B88"/>
    <w:rsid w:val="00D47D92"/>
    <w:rsid w:val="00D5092B"/>
    <w:rsid w:val="00D50F3B"/>
    <w:rsid w:val="00D5164F"/>
    <w:rsid w:val="00D5302A"/>
    <w:rsid w:val="00D535BE"/>
    <w:rsid w:val="00D5365F"/>
    <w:rsid w:val="00D54A1E"/>
    <w:rsid w:val="00D54E5E"/>
    <w:rsid w:val="00D55858"/>
    <w:rsid w:val="00D5605B"/>
    <w:rsid w:val="00D56178"/>
    <w:rsid w:val="00D56CF0"/>
    <w:rsid w:val="00D56D7C"/>
    <w:rsid w:val="00D56F5C"/>
    <w:rsid w:val="00D5725F"/>
    <w:rsid w:val="00D57DA9"/>
    <w:rsid w:val="00D60D36"/>
    <w:rsid w:val="00D61834"/>
    <w:rsid w:val="00D61EF2"/>
    <w:rsid w:val="00D620A8"/>
    <w:rsid w:val="00D621F6"/>
    <w:rsid w:val="00D62B9E"/>
    <w:rsid w:val="00D62F20"/>
    <w:rsid w:val="00D63070"/>
    <w:rsid w:val="00D63A36"/>
    <w:rsid w:val="00D63F3A"/>
    <w:rsid w:val="00D67271"/>
    <w:rsid w:val="00D673AF"/>
    <w:rsid w:val="00D67EA0"/>
    <w:rsid w:val="00D70427"/>
    <w:rsid w:val="00D704B1"/>
    <w:rsid w:val="00D70B63"/>
    <w:rsid w:val="00D70E95"/>
    <w:rsid w:val="00D7122D"/>
    <w:rsid w:val="00D72529"/>
    <w:rsid w:val="00D726C4"/>
    <w:rsid w:val="00D729C7"/>
    <w:rsid w:val="00D72B92"/>
    <w:rsid w:val="00D72D2C"/>
    <w:rsid w:val="00D72ED4"/>
    <w:rsid w:val="00D73503"/>
    <w:rsid w:val="00D739D3"/>
    <w:rsid w:val="00D73F61"/>
    <w:rsid w:val="00D742B8"/>
    <w:rsid w:val="00D74544"/>
    <w:rsid w:val="00D754C0"/>
    <w:rsid w:val="00D7654C"/>
    <w:rsid w:val="00D76E8C"/>
    <w:rsid w:val="00D776A2"/>
    <w:rsid w:val="00D801C4"/>
    <w:rsid w:val="00D81A62"/>
    <w:rsid w:val="00D81CB6"/>
    <w:rsid w:val="00D81E2D"/>
    <w:rsid w:val="00D83CA8"/>
    <w:rsid w:val="00D856D3"/>
    <w:rsid w:val="00D859CB"/>
    <w:rsid w:val="00D85BAC"/>
    <w:rsid w:val="00D90632"/>
    <w:rsid w:val="00D90836"/>
    <w:rsid w:val="00D90B12"/>
    <w:rsid w:val="00D90F9D"/>
    <w:rsid w:val="00D9155D"/>
    <w:rsid w:val="00D91C65"/>
    <w:rsid w:val="00D92058"/>
    <w:rsid w:val="00D92240"/>
    <w:rsid w:val="00D9257C"/>
    <w:rsid w:val="00D9294B"/>
    <w:rsid w:val="00D93593"/>
    <w:rsid w:val="00D937E6"/>
    <w:rsid w:val="00D95733"/>
    <w:rsid w:val="00D95896"/>
    <w:rsid w:val="00D95C99"/>
    <w:rsid w:val="00D95CC6"/>
    <w:rsid w:val="00D95F73"/>
    <w:rsid w:val="00D9711E"/>
    <w:rsid w:val="00D97348"/>
    <w:rsid w:val="00DA046A"/>
    <w:rsid w:val="00DA2828"/>
    <w:rsid w:val="00DA28E7"/>
    <w:rsid w:val="00DA2CE7"/>
    <w:rsid w:val="00DA2DA3"/>
    <w:rsid w:val="00DA3B5E"/>
    <w:rsid w:val="00DA5C76"/>
    <w:rsid w:val="00DA6615"/>
    <w:rsid w:val="00DA6ECC"/>
    <w:rsid w:val="00DA76AE"/>
    <w:rsid w:val="00DB0E86"/>
    <w:rsid w:val="00DB0F11"/>
    <w:rsid w:val="00DB181E"/>
    <w:rsid w:val="00DB1C7A"/>
    <w:rsid w:val="00DB221C"/>
    <w:rsid w:val="00DB2613"/>
    <w:rsid w:val="00DB2720"/>
    <w:rsid w:val="00DB2983"/>
    <w:rsid w:val="00DB2BC0"/>
    <w:rsid w:val="00DB31E5"/>
    <w:rsid w:val="00DB343D"/>
    <w:rsid w:val="00DB3BB4"/>
    <w:rsid w:val="00DB4B71"/>
    <w:rsid w:val="00DB4F87"/>
    <w:rsid w:val="00DB5243"/>
    <w:rsid w:val="00DB5579"/>
    <w:rsid w:val="00DB57FE"/>
    <w:rsid w:val="00DB5C17"/>
    <w:rsid w:val="00DB5CFE"/>
    <w:rsid w:val="00DB5EFD"/>
    <w:rsid w:val="00DB6005"/>
    <w:rsid w:val="00DB6045"/>
    <w:rsid w:val="00DB67F6"/>
    <w:rsid w:val="00DB6B34"/>
    <w:rsid w:val="00DB7180"/>
    <w:rsid w:val="00DB76DF"/>
    <w:rsid w:val="00DC0A1D"/>
    <w:rsid w:val="00DC0C44"/>
    <w:rsid w:val="00DC12BC"/>
    <w:rsid w:val="00DC4545"/>
    <w:rsid w:val="00DC541C"/>
    <w:rsid w:val="00DC5687"/>
    <w:rsid w:val="00DC56AC"/>
    <w:rsid w:val="00DC57B6"/>
    <w:rsid w:val="00DC5861"/>
    <w:rsid w:val="00DC5E8E"/>
    <w:rsid w:val="00DC60C7"/>
    <w:rsid w:val="00DC72A6"/>
    <w:rsid w:val="00DC7AB8"/>
    <w:rsid w:val="00DC7E66"/>
    <w:rsid w:val="00DD07C5"/>
    <w:rsid w:val="00DD0823"/>
    <w:rsid w:val="00DD0A42"/>
    <w:rsid w:val="00DD0B54"/>
    <w:rsid w:val="00DD0E7C"/>
    <w:rsid w:val="00DD1FA6"/>
    <w:rsid w:val="00DD2113"/>
    <w:rsid w:val="00DD22CC"/>
    <w:rsid w:val="00DD254A"/>
    <w:rsid w:val="00DD265E"/>
    <w:rsid w:val="00DD2CDD"/>
    <w:rsid w:val="00DD3715"/>
    <w:rsid w:val="00DD43D5"/>
    <w:rsid w:val="00DD49EC"/>
    <w:rsid w:val="00DD53B0"/>
    <w:rsid w:val="00DD54A5"/>
    <w:rsid w:val="00DD563F"/>
    <w:rsid w:val="00DD5C09"/>
    <w:rsid w:val="00DD5C76"/>
    <w:rsid w:val="00DD6C2E"/>
    <w:rsid w:val="00DD6D88"/>
    <w:rsid w:val="00DD7484"/>
    <w:rsid w:val="00DD79F7"/>
    <w:rsid w:val="00DD7B0E"/>
    <w:rsid w:val="00DE08D2"/>
    <w:rsid w:val="00DE0F87"/>
    <w:rsid w:val="00DE1C8F"/>
    <w:rsid w:val="00DE1D23"/>
    <w:rsid w:val="00DE2BB2"/>
    <w:rsid w:val="00DE3437"/>
    <w:rsid w:val="00DE4075"/>
    <w:rsid w:val="00DE512B"/>
    <w:rsid w:val="00DE53FC"/>
    <w:rsid w:val="00DE59C3"/>
    <w:rsid w:val="00DE6727"/>
    <w:rsid w:val="00DE68DD"/>
    <w:rsid w:val="00DE6924"/>
    <w:rsid w:val="00DE6FC5"/>
    <w:rsid w:val="00DF0A02"/>
    <w:rsid w:val="00DF13A1"/>
    <w:rsid w:val="00DF1900"/>
    <w:rsid w:val="00DF1930"/>
    <w:rsid w:val="00DF234B"/>
    <w:rsid w:val="00DF322D"/>
    <w:rsid w:val="00DF3250"/>
    <w:rsid w:val="00DF327B"/>
    <w:rsid w:val="00DF330E"/>
    <w:rsid w:val="00DF38A5"/>
    <w:rsid w:val="00DF4E7F"/>
    <w:rsid w:val="00DF514A"/>
    <w:rsid w:val="00DF5BAB"/>
    <w:rsid w:val="00DF5C8D"/>
    <w:rsid w:val="00DF6003"/>
    <w:rsid w:val="00DF6AFD"/>
    <w:rsid w:val="00DF6E71"/>
    <w:rsid w:val="00DF7491"/>
    <w:rsid w:val="00DF7494"/>
    <w:rsid w:val="00E00207"/>
    <w:rsid w:val="00E0051B"/>
    <w:rsid w:val="00E0072F"/>
    <w:rsid w:val="00E00C9D"/>
    <w:rsid w:val="00E00DBA"/>
    <w:rsid w:val="00E011B6"/>
    <w:rsid w:val="00E02309"/>
    <w:rsid w:val="00E02985"/>
    <w:rsid w:val="00E029E3"/>
    <w:rsid w:val="00E0358D"/>
    <w:rsid w:val="00E054F2"/>
    <w:rsid w:val="00E05970"/>
    <w:rsid w:val="00E06327"/>
    <w:rsid w:val="00E073D4"/>
    <w:rsid w:val="00E119DC"/>
    <w:rsid w:val="00E11A58"/>
    <w:rsid w:val="00E122C7"/>
    <w:rsid w:val="00E13233"/>
    <w:rsid w:val="00E13B94"/>
    <w:rsid w:val="00E13C1D"/>
    <w:rsid w:val="00E13C7D"/>
    <w:rsid w:val="00E14508"/>
    <w:rsid w:val="00E14C5A"/>
    <w:rsid w:val="00E15D84"/>
    <w:rsid w:val="00E15E47"/>
    <w:rsid w:val="00E16CB9"/>
    <w:rsid w:val="00E170C5"/>
    <w:rsid w:val="00E17114"/>
    <w:rsid w:val="00E200D8"/>
    <w:rsid w:val="00E2064B"/>
    <w:rsid w:val="00E207A6"/>
    <w:rsid w:val="00E21277"/>
    <w:rsid w:val="00E214D4"/>
    <w:rsid w:val="00E22E66"/>
    <w:rsid w:val="00E233D1"/>
    <w:rsid w:val="00E23E87"/>
    <w:rsid w:val="00E24C1F"/>
    <w:rsid w:val="00E24CFB"/>
    <w:rsid w:val="00E25239"/>
    <w:rsid w:val="00E25758"/>
    <w:rsid w:val="00E2650D"/>
    <w:rsid w:val="00E265B1"/>
    <w:rsid w:val="00E26AF6"/>
    <w:rsid w:val="00E26C58"/>
    <w:rsid w:val="00E26E6C"/>
    <w:rsid w:val="00E27393"/>
    <w:rsid w:val="00E275B0"/>
    <w:rsid w:val="00E309C2"/>
    <w:rsid w:val="00E30E14"/>
    <w:rsid w:val="00E318BC"/>
    <w:rsid w:val="00E3194A"/>
    <w:rsid w:val="00E33B6D"/>
    <w:rsid w:val="00E34595"/>
    <w:rsid w:val="00E353E5"/>
    <w:rsid w:val="00E36174"/>
    <w:rsid w:val="00E36652"/>
    <w:rsid w:val="00E3679C"/>
    <w:rsid w:val="00E368AE"/>
    <w:rsid w:val="00E36A6E"/>
    <w:rsid w:val="00E36FD4"/>
    <w:rsid w:val="00E37025"/>
    <w:rsid w:val="00E40B15"/>
    <w:rsid w:val="00E40BFD"/>
    <w:rsid w:val="00E40D53"/>
    <w:rsid w:val="00E40DE0"/>
    <w:rsid w:val="00E412D0"/>
    <w:rsid w:val="00E4198E"/>
    <w:rsid w:val="00E41B34"/>
    <w:rsid w:val="00E41C96"/>
    <w:rsid w:val="00E42092"/>
    <w:rsid w:val="00E425DE"/>
    <w:rsid w:val="00E42C55"/>
    <w:rsid w:val="00E43165"/>
    <w:rsid w:val="00E43170"/>
    <w:rsid w:val="00E435C7"/>
    <w:rsid w:val="00E44A64"/>
    <w:rsid w:val="00E45757"/>
    <w:rsid w:val="00E4712E"/>
    <w:rsid w:val="00E4732A"/>
    <w:rsid w:val="00E479A4"/>
    <w:rsid w:val="00E47CDB"/>
    <w:rsid w:val="00E50416"/>
    <w:rsid w:val="00E505B4"/>
    <w:rsid w:val="00E51BD9"/>
    <w:rsid w:val="00E520BB"/>
    <w:rsid w:val="00E52DCA"/>
    <w:rsid w:val="00E532DE"/>
    <w:rsid w:val="00E53340"/>
    <w:rsid w:val="00E53414"/>
    <w:rsid w:val="00E53B02"/>
    <w:rsid w:val="00E53C68"/>
    <w:rsid w:val="00E54F4E"/>
    <w:rsid w:val="00E566BC"/>
    <w:rsid w:val="00E568C0"/>
    <w:rsid w:val="00E57C44"/>
    <w:rsid w:val="00E601F8"/>
    <w:rsid w:val="00E602EE"/>
    <w:rsid w:val="00E60504"/>
    <w:rsid w:val="00E60982"/>
    <w:rsid w:val="00E60B28"/>
    <w:rsid w:val="00E60C8D"/>
    <w:rsid w:val="00E6162F"/>
    <w:rsid w:val="00E6187D"/>
    <w:rsid w:val="00E626F6"/>
    <w:rsid w:val="00E6311B"/>
    <w:rsid w:val="00E63187"/>
    <w:rsid w:val="00E637A8"/>
    <w:rsid w:val="00E64541"/>
    <w:rsid w:val="00E65334"/>
    <w:rsid w:val="00E65A79"/>
    <w:rsid w:val="00E65C35"/>
    <w:rsid w:val="00E65D97"/>
    <w:rsid w:val="00E66629"/>
    <w:rsid w:val="00E6725E"/>
    <w:rsid w:val="00E672FF"/>
    <w:rsid w:val="00E6779A"/>
    <w:rsid w:val="00E677D1"/>
    <w:rsid w:val="00E67860"/>
    <w:rsid w:val="00E67ACB"/>
    <w:rsid w:val="00E67EFD"/>
    <w:rsid w:val="00E7019B"/>
    <w:rsid w:val="00E702DC"/>
    <w:rsid w:val="00E707A9"/>
    <w:rsid w:val="00E70C09"/>
    <w:rsid w:val="00E7105A"/>
    <w:rsid w:val="00E71F43"/>
    <w:rsid w:val="00E71FFB"/>
    <w:rsid w:val="00E72067"/>
    <w:rsid w:val="00E72B8B"/>
    <w:rsid w:val="00E73203"/>
    <w:rsid w:val="00E73449"/>
    <w:rsid w:val="00E73BF4"/>
    <w:rsid w:val="00E7435A"/>
    <w:rsid w:val="00E7512E"/>
    <w:rsid w:val="00E75C9F"/>
    <w:rsid w:val="00E76D1D"/>
    <w:rsid w:val="00E77514"/>
    <w:rsid w:val="00E8050C"/>
    <w:rsid w:val="00E806F8"/>
    <w:rsid w:val="00E80C98"/>
    <w:rsid w:val="00E812C0"/>
    <w:rsid w:val="00E8173D"/>
    <w:rsid w:val="00E81922"/>
    <w:rsid w:val="00E81B4B"/>
    <w:rsid w:val="00E81C3A"/>
    <w:rsid w:val="00E8213E"/>
    <w:rsid w:val="00E8243F"/>
    <w:rsid w:val="00E82CEF"/>
    <w:rsid w:val="00E82DCD"/>
    <w:rsid w:val="00E82F33"/>
    <w:rsid w:val="00E8417A"/>
    <w:rsid w:val="00E8456B"/>
    <w:rsid w:val="00E8464D"/>
    <w:rsid w:val="00E84729"/>
    <w:rsid w:val="00E847FD"/>
    <w:rsid w:val="00E85C5E"/>
    <w:rsid w:val="00E85C76"/>
    <w:rsid w:val="00E85E87"/>
    <w:rsid w:val="00E85F6F"/>
    <w:rsid w:val="00E86F15"/>
    <w:rsid w:val="00E8746B"/>
    <w:rsid w:val="00E87752"/>
    <w:rsid w:val="00E8793B"/>
    <w:rsid w:val="00E87BDA"/>
    <w:rsid w:val="00E90F81"/>
    <w:rsid w:val="00E91A6D"/>
    <w:rsid w:val="00E91D86"/>
    <w:rsid w:val="00E9242D"/>
    <w:rsid w:val="00E9249E"/>
    <w:rsid w:val="00E92C0D"/>
    <w:rsid w:val="00E92EAA"/>
    <w:rsid w:val="00E936A1"/>
    <w:rsid w:val="00E93C44"/>
    <w:rsid w:val="00E93EAE"/>
    <w:rsid w:val="00E94E45"/>
    <w:rsid w:val="00E953CD"/>
    <w:rsid w:val="00E9581B"/>
    <w:rsid w:val="00E95E12"/>
    <w:rsid w:val="00E969C2"/>
    <w:rsid w:val="00E9701B"/>
    <w:rsid w:val="00E9732A"/>
    <w:rsid w:val="00EA0B82"/>
    <w:rsid w:val="00EA0C40"/>
    <w:rsid w:val="00EA0CF0"/>
    <w:rsid w:val="00EA1E4F"/>
    <w:rsid w:val="00EA22F6"/>
    <w:rsid w:val="00EA336A"/>
    <w:rsid w:val="00EA3537"/>
    <w:rsid w:val="00EA3632"/>
    <w:rsid w:val="00EA3696"/>
    <w:rsid w:val="00EA53C3"/>
    <w:rsid w:val="00EA5890"/>
    <w:rsid w:val="00EA5896"/>
    <w:rsid w:val="00EA66B4"/>
    <w:rsid w:val="00EA6BA8"/>
    <w:rsid w:val="00EA6BC1"/>
    <w:rsid w:val="00EA7F39"/>
    <w:rsid w:val="00EB041C"/>
    <w:rsid w:val="00EB0508"/>
    <w:rsid w:val="00EB06DE"/>
    <w:rsid w:val="00EB1C08"/>
    <w:rsid w:val="00EB249F"/>
    <w:rsid w:val="00EB25EA"/>
    <w:rsid w:val="00EB3D2B"/>
    <w:rsid w:val="00EB3E69"/>
    <w:rsid w:val="00EB5689"/>
    <w:rsid w:val="00EB5B9C"/>
    <w:rsid w:val="00EB60B2"/>
    <w:rsid w:val="00EB6199"/>
    <w:rsid w:val="00EB620D"/>
    <w:rsid w:val="00EC011D"/>
    <w:rsid w:val="00EC0902"/>
    <w:rsid w:val="00EC0A00"/>
    <w:rsid w:val="00EC0A9C"/>
    <w:rsid w:val="00EC0D74"/>
    <w:rsid w:val="00EC0E7B"/>
    <w:rsid w:val="00EC1320"/>
    <w:rsid w:val="00EC13C1"/>
    <w:rsid w:val="00EC2284"/>
    <w:rsid w:val="00EC2DA9"/>
    <w:rsid w:val="00EC4983"/>
    <w:rsid w:val="00EC55A2"/>
    <w:rsid w:val="00EC5874"/>
    <w:rsid w:val="00EC5A4B"/>
    <w:rsid w:val="00EC6A84"/>
    <w:rsid w:val="00EC6FE5"/>
    <w:rsid w:val="00EC734C"/>
    <w:rsid w:val="00EC7634"/>
    <w:rsid w:val="00ED06E2"/>
    <w:rsid w:val="00ED0B38"/>
    <w:rsid w:val="00ED0DA0"/>
    <w:rsid w:val="00ED0FE5"/>
    <w:rsid w:val="00ED192D"/>
    <w:rsid w:val="00ED2581"/>
    <w:rsid w:val="00ED2D5F"/>
    <w:rsid w:val="00ED30B4"/>
    <w:rsid w:val="00ED31F5"/>
    <w:rsid w:val="00ED363C"/>
    <w:rsid w:val="00ED385C"/>
    <w:rsid w:val="00ED4105"/>
    <w:rsid w:val="00ED49F1"/>
    <w:rsid w:val="00ED4F59"/>
    <w:rsid w:val="00ED6274"/>
    <w:rsid w:val="00ED656B"/>
    <w:rsid w:val="00ED6F99"/>
    <w:rsid w:val="00EE104C"/>
    <w:rsid w:val="00EE1340"/>
    <w:rsid w:val="00EE16AB"/>
    <w:rsid w:val="00EE17A2"/>
    <w:rsid w:val="00EE1B33"/>
    <w:rsid w:val="00EE284E"/>
    <w:rsid w:val="00EE2C28"/>
    <w:rsid w:val="00EE59DB"/>
    <w:rsid w:val="00EE66A4"/>
    <w:rsid w:val="00EE691E"/>
    <w:rsid w:val="00EE6E20"/>
    <w:rsid w:val="00EE7175"/>
    <w:rsid w:val="00EE7220"/>
    <w:rsid w:val="00EE738F"/>
    <w:rsid w:val="00EF0933"/>
    <w:rsid w:val="00EF146A"/>
    <w:rsid w:val="00EF175A"/>
    <w:rsid w:val="00EF183E"/>
    <w:rsid w:val="00EF1A88"/>
    <w:rsid w:val="00EF1F66"/>
    <w:rsid w:val="00EF21DF"/>
    <w:rsid w:val="00EF2759"/>
    <w:rsid w:val="00EF28E3"/>
    <w:rsid w:val="00EF29E2"/>
    <w:rsid w:val="00EF2BAC"/>
    <w:rsid w:val="00EF2DEE"/>
    <w:rsid w:val="00EF2FEA"/>
    <w:rsid w:val="00EF41D5"/>
    <w:rsid w:val="00EF4596"/>
    <w:rsid w:val="00EF45EB"/>
    <w:rsid w:val="00EF4A69"/>
    <w:rsid w:val="00EF5099"/>
    <w:rsid w:val="00EF552A"/>
    <w:rsid w:val="00EF598F"/>
    <w:rsid w:val="00EF5E33"/>
    <w:rsid w:val="00EF6708"/>
    <w:rsid w:val="00EF6B1F"/>
    <w:rsid w:val="00EF6CD9"/>
    <w:rsid w:val="00EF6FC0"/>
    <w:rsid w:val="00F0005E"/>
    <w:rsid w:val="00F00075"/>
    <w:rsid w:val="00F006C2"/>
    <w:rsid w:val="00F00FE8"/>
    <w:rsid w:val="00F0256F"/>
    <w:rsid w:val="00F02C9D"/>
    <w:rsid w:val="00F02EBA"/>
    <w:rsid w:val="00F03DD9"/>
    <w:rsid w:val="00F0432C"/>
    <w:rsid w:val="00F0445A"/>
    <w:rsid w:val="00F04469"/>
    <w:rsid w:val="00F068E8"/>
    <w:rsid w:val="00F06CC2"/>
    <w:rsid w:val="00F06F19"/>
    <w:rsid w:val="00F07822"/>
    <w:rsid w:val="00F10018"/>
    <w:rsid w:val="00F100AF"/>
    <w:rsid w:val="00F104CB"/>
    <w:rsid w:val="00F10D16"/>
    <w:rsid w:val="00F10D8A"/>
    <w:rsid w:val="00F11A5B"/>
    <w:rsid w:val="00F11CE8"/>
    <w:rsid w:val="00F11E52"/>
    <w:rsid w:val="00F135CC"/>
    <w:rsid w:val="00F142FA"/>
    <w:rsid w:val="00F14C73"/>
    <w:rsid w:val="00F14F9F"/>
    <w:rsid w:val="00F15C95"/>
    <w:rsid w:val="00F15D0F"/>
    <w:rsid w:val="00F169E4"/>
    <w:rsid w:val="00F16BA0"/>
    <w:rsid w:val="00F16DE1"/>
    <w:rsid w:val="00F17628"/>
    <w:rsid w:val="00F20324"/>
    <w:rsid w:val="00F2091E"/>
    <w:rsid w:val="00F21977"/>
    <w:rsid w:val="00F21DAB"/>
    <w:rsid w:val="00F22568"/>
    <w:rsid w:val="00F22985"/>
    <w:rsid w:val="00F22BE0"/>
    <w:rsid w:val="00F2351D"/>
    <w:rsid w:val="00F237AE"/>
    <w:rsid w:val="00F23BEB"/>
    <w:rsid w:val="00F23F51"/>
    <w:rsid w:val="00F241AB"/>
    <w:rsid w:val="00F241B3"/>
    <w:rsid w:val="00F26FBC"/>
    <w:rsid w:val="00F3077D"/>
    <w:rsid w:val="00F31382"/>
    <w:rsid w:val="00F31E8E"/>
    <w:rsid w:val="00F32319"/>
    <w:rsid w:val="00F329F9"/>
    <w:rsid w:val="00F32D7D"/>
    <w:rsid w:val="00F3390E"/>
    <w:rsid w:val="00F33BFA"/>
    <w:rsid w:val="00F33F72"/>
    <w:rsid w:val="00F34D6A"/>
    <w:rsid w:val="00F3509B"/>
    <w:rsid w:val="00F35829"/>
    <w:rsid w:val="00F36145"/>
    <w:rsid w:val="00F374B0"/>
    <w:rsid w:val="00F374B6"/>
    <w:rsid w:val="00F400F2"/>
    <w:rsid w:val="00F41BA7"/>
    <w:rsid w:val="00F42426"/>
    <w:rsid w:val="00F42868"/>
    <w:rsid w:val="00F429F3"/>
    <w:rsid w:val="00F4398A"/>
    <w:rsid w:val="00F448CF"/>
    <w:rsid w:val="00F44E02"/>
    <w:rsid w:val="00F45279"/>
    <w:rsid w:val="00F452B2"/>
    <w:rsid w:val="00F45D45"/>
    <w:rsid w:val="00F465A7"/>
    <w:rsid w:val="00F466A4"/>
    <w:rsid w:val="00F47E8B"/>
    <w:rsid w:val="00F501FF"/>
    <w:rsid w:val="00F50B7C"/>
    <w:rsid w:val="00F50E47"/>
    <w:rsid w:val="00F50F40"/>
    <w:rsid w:val="00F513AE"/>
    <w:rsid w:val="00F51701"/>
    <w:rsid w:val="00F51AD6"/>
    <w:rsid w:val="00F51DD7"/>
    <w:rsid w:val="00F52016"/>
    <w:rsid w:val="00F5202D"/>
    <w:rsid w:val="00F5243C"/>
    <w:rsid w:val="00F52600"/>
    <w:rsid w:val="00F527F7"/>
    <w:rsid w:val="00F52BCE"/>
    <w:rsid w:val="00F52CF6"/>
    <w:rsid w:val="00F52DF3"/>
    <w:rsid w:val="00F53FF2"/>
    <w:rsid w:val="00F54194"/>
    <w:rsid w:val="00F54496"/>
    <w:rsid w:val="00F551A1"/>
    <w:rsid w:val="00F55262"/>
    <w:rsid w:val="00F55CBA"/>
    <w:rsid w:val="00F562C9"/>
    <w:rsid w:val="00F576BE"/>
    <w:rsid w:val="00F57A23"/>
    <w:rsid w:val="00F57F50"/>
    <w:rsid w:val="00F6008D"/>
    <w:rsid w:val="00F61097"/>
    <w:rsid w:val="00F61465"/>
    <w:rsid w:val="00F616CA"/>
    <w:rsid w:val="00F61830"/>
    <w:rsid w:val="00F619D4"/>
    <w:rsid w:val="00F61E3D"/>
    <w:rsid w:val="00F61EA4"/>
    <w:rsid w:val="00F62712"/>
    <w:rsid w:val="00F62D20"/>
    <w:rsid w:val="00F62EA5"/>
    <w:rsid w:val="00F63381"/>
    <w:rsid w:val="00F6435B"/>
    <w:rsid w:val="00F643B2"/>
    <w:rsid w:val="00F653CB"/>
    <w:rsid w:val="00F65ECE"/>
    <w:rsid w:val="00F66529"/>
    <w:rsid w:val="00F669A0"/>
    <w:rsid w:val="00F66D5B"/>
    <w:rsid w:val="00F70533"/>
    <w:rsid w:val="00F70F6B"/>
    <w:rsid w:val="00F7214F"/>
    <w:rsid w:val="00F72D3E"/>
    <w:rsid w:val="00F74056"/>
    <w:rsid w:val="00F74345"/>
    <w:rsid w:val="00F74441"/>
    <w:rsid w:val="00F744F0"/>
    <w:rsid w:val="00F7550A"/>
    <w:rsid w:val="00F770EF"/>
    <w:rsid w:val="00F77C01"/>
    <w:rsid w:val="00F77F30"/>
    <w:rsid w:val="00F800A2"/>
    <w:rsid w:val="00F8142B"/>
    <w:rsid w:val="00F8145C"/>
    <w:rsid w:val="00F82589"/>
    <w:rsid w:val="00F827A3"/>
    <w:rsid w:val="00F82B19"/>
    <w:rsid w:val="00F82B76"/>
    <w:rsid w:val="00F83B11"/>
    <w:rsid w:val="00F842B4"/>
    <w:rsid w:val="00F84444"/>
    <w:rsid w:val="00F84716"/>
    <w:rsid w:val="00F84C62"/>
    <w:rsid w:val="00F84ED7"/>
    <w:rsid w:val="00F8502D"/>
    <w:rsid w:val="00F8619B"/>
    <w:rsid w:val="00F878B4"/>
    <w:rsid w:val="00F87BA1"/>
    <w:rsid w:val="00F90AA7"/>
    <w:rsid w:val="00F90B73"/>
    <w:rsid w:val="00F9123D"/>
    <w:rsid w:val="00F91670"/>
    <w:rsid w:val="00F9212D"/>
    <w:rsid w:val="00F92565"/>
    <w:rsid w:val="00F93E1B"/>
    <w:rsid w:val="00F95D1C"/>
    <w:rsid w:val="00F95F2E"/>
    <w:rsid w:val="00F9670E"/>
    <w:rsid w:val="00F96AA9"/>
    <w:rsid w:val="00FA03E6"/>
    <w:rsid w:val="00FA0476"/>
    <w:rsid w:val="00FA092F"/>
    <w:rsid w:val="00FA09D3"/>
    <w:rsid w:val="00FA1475"/>
    <w:rsid w:val="00FA182C"/>
    <w:rsid w:val="00FA19AA"/>
    <w:rsid w:val="00FA24FC"/>
    <w:rsid w:val="00FA2537"/>
    <w:rsid w:val="00FA301A"/>
    <w:rsid w:val="00FA32CA"/>
    <w:rsid w:val="00FA4039"/>
    <w:rsid w:val="00FA406A"/>
    <w:rsid w:val="00FA45C1"/>
    <w:rsid w:val="00FA5CB6"/>
    <w:rsid w:val="00FA642C"/>
    <w:rsid w:val="00FA7515"/>
    <w:rsid w:val="00FA79C7"/>
    <w:rsid w:val="00FA7F6A"/>
    <w:rsid w:val="00FB00A8"/>
    <w:rsid w:val="00FB0CCE"/>
    <w:rsid w:val="00FB0F12"/>
    <w:rsid w:val="00FB2970"/>
    <w:rsid w:val="00FB3922"/>
    <w:rsid w:val="00FB4332"/>
    <w:rsid w:val="00FB4FC8"/>
    <w:rsid w:val="00FB5175"/>
    <w:rsid w:val="00FB5858"/>
    <w:rsid w:val="00FB78FD"/>
    <w:rsid w:val="00FB7F5A"/>
    <w:rsid w:val="00FC0B7B"/>
    <w:rsid w:val="00FC1044"/>
    <w:rsid w:val="00FC1127"/>
    <w:rsid w:val="00FC3191"/>
    <w:rsid w:val="00FC44E7"/>
    <w:rsid w:val="00FC4B86"/>
    <w:rsid w:val="00FC503C"/>
    <w:rsid w:val="00FC5606"/>
    <w:rsid w:val="00FC5ACC"/>
    <w:rsid w:val="00FC66AC"/>
    <w:rsid w:val="00FC6EEB"/>
    <w:rsid w:val="00FC6F31"/>
    <w:rsid w:val="00FD0C3B"/>
    <w:rsid w:val="00FD18F4"/>
    <w:rsid w:val="00FD19C6"/>
    <w:rsid w:val="00FD2102"/>
    <w:rsid w:val="00FD2861"/>
    <w:rsid w:val="00FD2AD3"/>
    <w:rsid w:val="00FD3BCA"/>
    <w:rsid w:val="00FD4986"/>
    <w:rsid w:val="00FD5A75"/>
    <w:rsid w:val="00FD5C04"/>
    <w:rsid w:val="00FD6873"/>
    <w:rsid w:val="00FD69E7"/>
    <w:rsid w:val="00FD6B29"/>
    <w:rsid w:val="00FD74B4"/>
    <w:rsid w:val="00FD7911"/>
    <w:rsid w:val="00FD7917"/>
    <w:rsid w:val="00FE0AC3"/>
    <w:rsid w:val="00FE1B24"/>
    <w:rsid w:val="00FE3D2D"/>
    <w:rsid w:val="00FE4125"/>
    <w:rsid w:val="00FE468B"/>
    <w:rsid w:val="00FE4F05"/>
    <w:rsid w:val="00FE5B69"/>
    <w:rsid w:val="00FE5FE8"/>
    <w:rsid w:val="00FE6387"/>
    <w:rsid w:val="00FE7325"/>
    <w:rsid w:val="00FE7596"/>
    <w:rsid w:val="00FF07F7"/>
    <w:rsid w:val="00FF0DE6"/>
    <w:rsid w:val="00FF103D"/>
    <w:rsid w:val="00FF1139"/>
    <w:rsid w:val="00FF15B6"/>
    <w:rsid w:val="00FF1E6C"/>
    <w:rsid w:val="00FF2B68"/>
    <w:rsid w:val="00FF2F2D"/>
    <w:rsid w:val="00FF35DC"/>
    <w:rsid w:val="00FF3938"/>
    <w:rsid w:val="00FF3C72"/>
    <w:rsid w:val="00FF45C4"/>
    <w:rsid w:val="00FF4C16"/>
    <w:rsid w:val="00FF645E"/>
    <w:rsid w:val="00FF6A1D"/>
    <w:rsid w:val="00FF6A33"/>
    <w:rsid w:val="00FF6DCC"/>
    <w:rsid w:val="00FF6FCE"/>
    <w:rsid w:val="00FF7518"/>
    <w:rsid w:val="00FF7FD8"/>
    <w:rsid w:val="010E4768"/>
    <w:rsid w:val="011D2710"/>
    <w:rsid w:val="01227446"/>
    <w:rsid w:val="01473274"/>
    <w:rsid w:val="0154258E"/>
    <w:rsid w:val="01626374"/>
    <w:rsid w:val="017974A0"/>
    <w:rsid w:val="017F2242"/>
    <w:rsid w:val="018E1CDD"/>
    <w:rsid w:val="01A46FD7"/>
    <w:rsid w:val="01A5756C"/>
    <w:rsid w:val="01AD5116"/>
    <w:rsid w:val="01B10E26"/>
    <w:rsid w:val="01B5355D"/>
    <w:rsid w:val="01BC3B7D"/>
    <w:rsid w:val="01BF6E5C"/>
    <w:rsid w:val="01D06AE7"/>
    <w:rsid w:val="01D7446A"/>
    <w:rsid w:val="01D84626"/>
    <w:rsid w:val="01E40897"/>
    <w:rsid w:val="01E773D7"/>
    <w:rsid w:val="02056D00"/>
    <w:rsid w:val="02087FA9"/>
    <w:rsid w:val="02197358"/>
    <w:rsid w:val="021E7AC7"/>
    <w:rsid w:val="021F55F6"/>
    <w:rsid w:val="022E1342"/>
    <w:rsid w:val="022F31F5"/>
    <w:rsid w:val="023B4376"/>
    <w:rsid w:val="024E4B4B"/>
    <w:rsid w:val="0256755B"/>
    <w:rsid w:val="025F28B4"/>
    <w:rsid w:val="026B07D4"/>
    <w:rsid w:val="026F4272"/>
    <w:rsid w:val="027619AC"/>
    <w:rsid w:val="02907891"/>
    <w:rsid w:val="029937F8"/>
    <w:rsid w:val="02BC0DC9"/>
    <w:rsid w:val="02C97C01"/>
    <w:rsid w:val="02DA1FB0"/>
    <w:rsid w:val="02EA3BED"/>
    <w:rsid w:val="02EB05EB"/>
    <w:rsid w:val="02EE76E8"/>
    <w:rsid w:val="02F40391"/>
    <w:rsid w:val="02F72AEC"/>
    <w:rsid w:val="031A1F95"/>
    <w:rsid w:val="032C7E00"/>
    <w:rsid w:val="03415DEE"/>
    <w:rsid w:val="034D095E"/>
    <w:rsid w:val="035C732C"/>
    <w:rsid w:val="036773CB"/>
    <w:rsid w:val="039019C5"/>
    <w:rsid w:val="03975AC9"/>
    <w:rsid w:val="03A53F33"/>
    <w:rsid w:val="03DA1516"/>
    <w:rsid w:val="03FE171B"/>
    <w:rsid w:val="040669D1"/>
    <w:rsid w:val="040F3E66"/>
    <w:rsid w:val="041B2008"/>
    <w:rsid w:val="04403ACC"/>
    <w:rsid w:val="045D1D1D"/>
    <w:rsid w:val="046A0196"/>
    <w:rsid w:val="049C10A3"/>
    <w:rsid w:val="04A423DC"/>
    <w:rsid w:val="04CB4BDD"/>
    <w:rsid w:val="051171FD"/>
    <w:rsid w:val="05435DE9"/>
    <w:rsid w:val="05436474"/>
    <w:rsid w:val="055F2BCB"/>
    <w:rsid w:val="05642768"/>
    <w:rsid w:val="05742AC8"/>
    <w:rsid w:val="05874064"/>
    <w:rsid w:val="05D500EA"/>
    <w:rsid w:val="05E820FD"/>
    <w:rsid w:val="05FE0636"/>
    <w:rsid w:val="06025962"/>
    <w:rsid w:val="061A35D5"/>
    <w:rsid w:val="06335C5F"/>
    <w:rsid w:val="06352F05"/>
    <w:rsid w:val="063E7D85"/>
    <w:rsid w:val="06514EE9"/>
    <w:rsid w:val="065169B7"/>
    <w:rsid w:val="065D535C"/>
    <w:rsid w:val="068762D2"/>
    <w:rsid w:val="06951133"/>
    <w:rsid w:val="06970ADE"/>
    <w:rsid w:val="06B471C5"/>
    <w:rsid w:val="06B5358E"/>
    <w:rsid w:val="06C46E50"/>
    <w:rsid w:val="070875E0"/>
    <w:rsid w:val="070D0B30"/>
    <w:rsid w:val="070E6F52"/>
    <w:rsid w:val="07287718"/>
    <w:rsid w:val="07293586"/>
    <w:rsid w:val="07295285"/>
    <w:rsid w:val="072B0FB7"/>
    <w:rsid w:val="072C64B4"/>
    <w:rsid w:val="07410C17"/>
    <w:rsid w:val="07770C56"/>
    <w:rsid w:val="07A1396F"/>
    <w:rsid w:val="07CC0B06"/>
    <w:rsid w:val="07E5385B"/>
    <w:rsid w:val="07FD24AE"/>
    <w:rsid w:val="080122F8"/>
    <w:rsid w:val="08031E65"/>
    <w:rsid w:val="082A7192"/>
    <w:rsid w:val="08413E84"/>
    <w:rsid w:val="084376A1"/>
    <w:rsid w:val="084831C5"/>
    <w:rsid w:val="08536A17"/>
    <w:rsid w:val="086C5D2B"/>
    <w:rsid w:val="088A2819"/>
    <w:rsid w:val="08A529A3"/>
    <w:rsid w:val="08A74FB5"/>
    <w:rsid w:val="08DD53BC"/>
    <w:rsid w:val="08E42CD4"/>
    <w:rsid w:val="08EA6DE1"/>
    <w:rsid w:val="08FF094D"/>
    <w:rsid w:val="09105A88"/>
    <w:rsid w:val="09141773"/>
    <w:rsid w:val="092217DD"/>
    <w:rsid w:val="09332672"/>
    <w:rsid w:val="093A7294"/>
    <w:rsid w:val="09444D47"/>
    <w:rsid w:val="09570B18"/>
    <w:rsid w:val="09571EDD"/>
    <w:rsid w:val="096867E1"/>
    <w:rsid w:val="0972111F"/>
    <w:rsid w:val="097A309B"/>
    <w:rsid w:val="09905A49"/>
    <w:rsid w:val="099217C1"/>
    <w:rsid w:val="099634C9"/>
    <w:rsid w:val="099E1F14"/>
    <w:rsid w:val="09A95534"/>
    <w:rsid w:val="09D73678"/>
    <w:rsid w:val="0A110938"/>
    <w:rsid w:val="0A3208AE"/>
    <w:rsid w:val="0A5151D8"/>
    <w:rsid w:val="0A7D713D"/>
    <w:rsid w:val="0A9B45AE"/>
    <w:rsid w:val="0AC27E20"/>
    <w:rsid w:val="0AD607BA"/>
    <w:rsid w:val="0ADF0293"/>
    <w:rsid w:val="0AED21F9"/>
    <w:rsid w:val="0AF56034"/>
    <w:rsid w:val="0B0B182B"/>
    <w:rsid w:val="0B112BA2"/>
    <w:rsid w:val="0B1A5B1D"/>
    <w:rsid w:val="0B2E7C12"/>
    <w:rsid w:val="0B3545B7"/>
    <w:rsid w:val="0B3841BC"/>
    <w:rsid w:val="0B603C52"/>
    <w:rsid w:val="0B6158EF"/>
    <w:rsid w:val="0B690AE4"/>
    <w:rsid w:val="0B864A5C"/>
    <w:rsid w:val="0B9F6250"/>
    <w:rsid w:val="0BAB6B6A"/>
    <w:rsid w:val="0BB02CEF"/>
    <w:rsid w:val="0BC92760"/>
    <w:rsid w:val="0BD27BF6"/>
    <w:rsid w:val="0BDB59C3"/>
    <w:rsid w:val="0BE856C8"/>
    <w:rsid w:val="0BEB2D30"/>
    <w:rsid w:val="0C29239D"/>
    <w:rsid w:val="0C4C20FB"/>
    <w:rsid w:val="0C504C35"/>
    <w:rsid w:val="0C512A32"/>
    <w:rsid w:val="0C547621"/>
    <w:rsid w:val="0C6F7B97"/>
    <w:rsid w:val="0C917B0E"/>
    <w:rsid w:val="0C954619"/>
    <w:rsid w:val="0CAE6912"/>
    <w:rsid w:val="0CB11F5E"/>
    <w:rsid w:val="0CEE6149"/>
    <w:rsid w:val="0CFC3D34"/>
    <w:rsid w:val="0D046532"/>
    <w:rsid w:val="0D2328AC"/>
    <w:rsid w:val="0D4C7ED9"/>
    <w:rsid w:val="0D611BD6"/>
    <w:rsid w:val="0D884979"/>
    <w:rsid w:val="0D9C29B3"/>
    <w:rsid w:val="0DC115BD"/>
    <w:rsid w:val="0DC65083"/>
    <w:rsid w:val="0DDF2AFB"/>
    <w:rsid w:val="0DE623D0"/>
    <w:rsid w:val="0DF2282E"/>
    <w:rsid w:val="0DFE7425"/>
    <w:rsid w:val="0E110D06"/>
    <w:rsid w:val="0E1E0331"/>
    <w:rsid w:val="0E2844A2"/>
    <w:rsid w:val="0E296156"/>
    <w:rsid w:val="0E2B1624"/>
    <w:rsid w:val="0E2F5830"/>
    <w:rsid w:val="0E3D2534"/>
    <w:rsid w:val="0E5636AF"/>
    <w:rsid w:val="0E586104"/>
    <w:rsid w:val="0EA02AA8"/>
    <w:rsid w:val="0EBB37EE"/>
    <w:rsid w:val="0EBF032A"/>
    <w:rsid w:val="0EC532D1"/>
    <w:rsid w:val="0ED97325"/>
    <w:rsid w:val="0EE02FCE"/>
    <w:rsid w:val="0F13775A"/>
    <w:rsid w:val="0F184516"/>
    <w:rsid w:val="0F577D49"/>
    <w:rsid w:val="0F5D0F03"/>
    <w:rsid w:val="0F637E53"/>
    <w:rsid w:val="0F7B73EE"/>
    <w:rsid w:val="0F8B0483"/>
    <w:rsid w:val="0F97377A"/>
    <w:rsid w:val="0F9A112B"/>
    <w:rsid w:val="0FBD1CE9"/>
    <w:rsid w:val="0FD37D58"/>
    <w:rsid w:val="0FDD363C"/>
    <w:rsid w:val="0FE22E5A"/>
    <w:rsid w:val="100B5E29"/>
    <w:rsid w:val="101738C1"/>
    <w:rsid w:val="10392996"/>
    <w:rsid w:val="103A670E"/>
    <w:rsid w:val="1041267E"/>
    <w:rsid w:val="106D2F64"/>
    <w:rsid w:val="10A47358"/>
    <w:rsid w:val="10B63710"/>
    <w:rsid w:val="10E5389E"/>
    <w:rsid w:val="1102637D"/>
    <w:rsid w:val="11140D0D"/>
    <w:rsid w:val="111C2F7A"/>
    <w:rsid w:val="111D7BC2"/>
    <w:rsid w:val="112B06EC"/>
    <w:rsid w:val="113013DE"/>
    <w:rsid w:val="11431086"/>
    <w:rsid w:val="11566BEB"/>
    <w:rsid w:val="11820065"/>
    <w:rsid w:val="11970999"/>
    <w:rsid w:val="11AA7FD1"/>
    <w:rsid w:val="11B50866"/>
    <w:rsid w:val="12281213"/>
    <w:rsid w:val="122B06C2"/>
    <w:rsid w:val="12565EFA"/>
    <w:rsid w:val="125A31CA"/>
    <w:rsid w:val="12771912"/>
    <w:rsid w:val="129541AD"/>
    <w:rsid w:val="129760C0"/>
    <w:rsid w:val="129D161A"/>
    <w:rsid w:val="12C41F90"/>
    <w:rsid w:val="12CC12F4"/>
    <w:rsid w:val="12DB1683"/>
    <w:rsid w:val="13053004"/>
    <w:rsid w:val="132E34FB"/>
    <w:rsid w:val="13317B67"/>
    <w:rsid w:val="133E1B96"/>
    <w:rsid w:val="13546CF4"/>
    <w:rsid w:val="138043D7"/>
    <w:rsid w:val="138B4E54"/>
    <w:rsid w:val="1390019C"/>
    <w:rsid w:val="13951726"/>
    <w:rsid w:val="139B434F"/>
    <w:rsid w:val="139D3726"/>
    <w:rsid w:val="13AA0B9D"/>
    <w:rsid w:val="13C3617E"/>
    <w:rsid w:val="13CE33F5"/>
    <w:rsid w:val="13D824C1"/>
    <w:rsid w:val="13E50359"/>
    <w:rsid w:val="13E75B04"/>
    <w:rsid w:val="14396509"/>
    <w:rsid w:val="143C2786"/>
    <w:rsid w:val="1447165C"/>
    <w:rsid w:val="14751CF1"/>
    <w:rsid w:val="1488393A"/>
    <w:rsid w:val="14966978"/>
    <w:rsid w:val="14AD259B"/>
    <w:rsid w:val="14D27EAB"/>
    <w:rsid w:val="14EE1963"/>
    <w:rsid w:val="152F1CE8"/>
    <w:rsid w:val="1555056B"/>
    <w:rsid w:val="157A4D07"/>
    <w:rsid w:val="15871191"/>
    <w:rsid w:val="15942652"/>
    <w:rsid w:val="159B19FD"/>
    <w:rsid w:val="15A76263"/>
    <w:rsid w:val="15AC57A3"/>
    <w:rsid w:val="15D32F45"/>
    <w:rsid w:val="15D41DB5"/>
    <w:rsid w:val="15E65140"/>
    <w:rsid w:val="15EB5B02"/>
    <w:rsid w:val="15FF4C99"/>
    <w:rsid w:val="162645DF"/>
    <w:rsid w:val="16423FC8"/>
    <w:rsid w:val="164A7743"/>
    <w:rsid w:val="16523E00"/>
    <w:rsid w:val="16551CB8"/>
    <w:rsid w:val="1657194B"/>
    <w:rsid w:val="1674297A"/>
    <w:rsid w:val="1686445B"/>
    <w:rsid w:val="169326D4"/>
    <w:rsid w:val="16A668AC"/>
    <w:rsid w:val="16AA387D"/>
    <w:rsid w:val="16B13091"/>
    <w:rsid w:val="16B26FFE"/>
    <w:rsid w:val="16BA4105"/>
    <w:rsid w:val="16C17B49"/>
    <w:rsid w:val="16D70A12"/>
    <w:rsid w:val="16DE50D7"/>
    <w:rsid w:val="16E92044"/>
    <w:rsid w:val="1703785A"/>
    <w:rsid w:val="171C5F72"/>
    <w:rsid w:val="17251F3E"/>
    <w:rsid w:val="1761662F"/>
    <w:rsid w:val="17735226"/>
    <w:rsid w:val="177B3894"/>
    <w:rsid w:val="179B0C15"/>
    <w:rsid w:val="17A025AC"/>
    <w:rsid w:val="17A075C3"/>
    <w:rsid w:val="17CB5B7B"/>
    <w:rsid w:val="17E172DE"/>
    <w:rsid w:val="17ED25A9"/>
    <w:rsid w:val="17F416E2"/>
    <w:rsid w:val="181674CA"/>
    <w:rsid w:val="182328E0"/>
    <w:rsid w:val="18321504"/>
    <w:rsid w:val="186364ED"/>
    <w:rsid w:val="186A1FAB"/>
    <w:rsid w:val="1872143A"/>
    <w:rsid w:val="18772156"/>
    <w:rsid w:val="187E47A8"/>
    <w:rsid w:val="188136F9"/>
    <w:rsid w:val="189E6879"/>
    <w:rsid w:val="18BA6608"/>
    <w:rsid w:val="18BF1EA7"/>
    <w:rsid w:val="18D07C10"/>
    <w:rsid w:val="18E97101"/>
    <w:rsid w:val="18EB167C"/>
    <w:rsid w:val="191F4AA9"/>
    <w:rsid w:val="19236AC7"/>
    <w:rsid w:val="19566367"/>
    <w:rsid w:val="195A27CD"/>
    <w:rsid w:val="19720CC7"/>
    <w:rsid w:val="19762560"/>
    <w:rsid w:val="19A86F85"/>
    <w:rsid w:val="19C9617A"/>
    <w:rsid w:val="19CC2E99"/>
    <w:rsid w:val="19D92807"/>
    <w:rsid w:val="19DC5635"/>
    <w:rsid w:val="1A0874E1"/>
    <w:rsid w:val="1A19311C"/>
    <w:rsid w:val="1A1C66C0"/>
    <w:rsid w:val="1A42393B"/>
    <w:rsid w:val="1A585142"/>
    <w:rsid w:val="1A592F7D"/>
    <w:rsid w:val="1A5C7F1A"/>
    <w:rsid w:val="1A703458"/>
    <w:rsid w:val="1A73453E"/>
    <w:rsid w:val="1A7B1124"/>
    <w:rsid w:val="1A8206C2"/>
    <w:rsid w:val="1A8E7D82"/>
    <w:rsid w:val="1A9223BA"/>
    <w:rsid w:val="1A960147"/>
    <w:rsid w:val="1AB32536"/>
    <w:rsid w:val="1ACA28D2"/>
    <w:rsid w:val="1AD37EE4"/>
    <w:rsid w:val="1AE5328E"/>
    <w:rsid w:val="1AE85E71"/>
    <w:rsid w:val="1AFF3E97"/>
    <w:rsid w:val="1B046F80"/>
    <w:rsid w:val="1B065C4D"/>
    <w:rsid w:val="1B0700AB"/>
    <w:rsid w:val="1B0B3181"/>
    <w:rsid w:val="1B20508D"/>
    <w:rsid w:val="1B2D4292"/>
    <w:rsid w:val="1B3267B5"/>
    <w:rsid w:val="1B714FA8"/>
    <w:rsid w:val="1B780D70"/>
    <w:rsid w:val="1BA01A61"/>
    <w:rsid w:val="1BC014A9"/>
    <w:rsid w:val="1BC25DC8"/>
    <w:rsid w:val="1C054506"/>
    <w:rsid w:val="1C1F016D"/>
    <w:rsid w:val="1C2A661C"/>
    <w:rsid w:val="1C3123B9"/>
    <w:rsid w:val="1C3128DA"/>
    <w:rsid w:val="1C5E7925"/>
    <w:rsid w:val="1C687431"/>
    <w:rsid w:val="1C71170A"/>
    <w:rsid w:val="1C83462D"/>
    <w:rsid w:val="1C887FC8"/>
    <w:rsid w:val="1C94069B"/>
    <w:rsid w:val="1CC30E77"/>
    <w:rsid w:val="1CC47F14"/>
    <w:rsid w:val="1CD22B82"/>
    <w:rsid w:val="1D0460DA"/>
    <w:rsid w:val="1D0F143B"/>
    <w:rsid w:val="1D132287"/>
    <w:rsid w:val="1D3E23CA"/>
    <w:rsid w:val="1D4209B0"/>
    <w:rsid w:val="1D4D5C84"/>
    <w:rsid w:val="1D5F6196"/>
    <w:rsid w:val="1D6132A5"/>
    <w:rsid w:val="1D696BC9"/>
    <w:rsid w:val="1D735878"/>
    <w:rsid w:val="1D8611E5"/>
    <w:rsid w:val="1D8D4321"/>
    <w:rsid w:val="1D8E56D5"/>
    <w:rsid w:val="1D906954"/>
    <w:rsid w:val="1D9C6F32"/>
    <w:rsid w:val="1DA62689"/>
    <w:rsid w:val="1DAD33DB"/>
    <w:rsid w:val="1DC65830"/>
    <w:rsid w:val="1DFE3E37"/>
    <w:rsid w:val="1E051276"/>
    <w:rsid w:val="1E0D0514"/>
    <w:rsid w:val="1E1E77F6"/>
    <w:rsid w:val="1E202C67"/>
    <w:rsid w:val="1E2F362A"/>
    <w:rsid w:val="1E7A43DA"/>
    <w:rsid w:val="1EA71413"/>
    <w:rsid w:val="1EA74763"/>
    <w:rsid w:val="1EB277FE"/>
    <w:rsid w:val="1EF87EC0"/>
    <w:rsid w:val="1F1D7927"/>
    <w:rsid w:val="1F3E000F"/>
    <w:rsid w:val="1F5E5154"/>
    <w:rsid w:val="1F616E1E"/>
    <w:rsid w:val="1F6319C3"/>
    <w:rsid w:val="1F8F6F25"/>
    <w:rsid w:val="1F9574BD"/>
    <w:rsid w:val="1F9A55BB"/>
    <w:rsid w:val="1FB060A5"/>
    <w:rsid w:val="1FBE44E9"/>
    <w:rsid w:val="1FDB0899"/>
    <w:rsid w:val="1FE7539E"/>
    <w:rsid w:val="1FFA7D37"/>
    <w:rsid w:val="200859E1"/>
    <w:rsid w:val="200F7270"/>
    <w:rsid w:val="205D447F"/>
    <w:rsid w:val="206F285C"/>
    <w:rsid w:val="20862913"/>
    <w:rsid w:val="208D2BC6"/>
    <w:rsid w:val="20963CB8"/>
    <w:rsid w:val="20AE6A78"/>
    <w:rsid w:val="20B07FB6"/>
    <w:rsid w:val="20B1342A"/>
    <w:rsid w:val="20B53DFF"/>
    <w:rsid w:val="20C548AE"/>
    <w:rsid w:val="20CC4A16"/>
    <w:rsid w:val="20DA5ACF"/>
    <w:rsid w:val="21155786"/>
    <w:rsid w:val="21317F31"/>
    <w:rsid w:val="213B74B1"/>
    <w:rsid w:val="21463165"/>
    <w:rsid w:val="21535DBC"/>
    <w:rsid w:val="215521F6"/>
    <w:rsid w:val="215A2310"/>
    <w:rsid w:val="215D04AF"/>
    <w:rsid w:val="216D2C68"/>
    <w:rsid w:val="21725D08"/>
    <w:rsid w:val="219464A4"/>
    <w:rsid w:val="21AD2413"/>
    <w:rsid w:val="21C127EB"/>
    <w:rsid w:val="21C43F98"/>
    <w:rsid w:val="21C642F6"/>
    <w:rsid w:val="21CA2889"/>
    <w:rsid w:val="21D2413D"/>
    <w:rsid w:val="21D808D3"/>
    <w:rsid w:val="21DE318A"/>
    <w:rsid w:val="21E2290D"/>
    <w:rsid w:val="21EF5B80"/>
    <w:rsid w:val="21F63C41"/>
    <w:rsid w:val="22081B04"/>
    <w:rsid w:val="220B78C3"/>
    <w:rsid w:val="22195562"/>
    <w:rsid w:val="221F79AB"/>
    <w:rsid w:val="22310478"/>
    <w:rsid w:val="22325497"/>
    <w:rsid w:val="223A701D"/>
    <w:rsid w:val="223C4689"/>
    <w:rsid w:val="223F2106"/>
    <w:rsid w:val="22531874"/>
    <w:rsid w:val="22544D97"/>
    <w:rsid w:val="22556E39"/>
    <w:rsid w:val="22576990"/>
    <w:rsid w:val="228D79B4"/>
    <w:rsid w:val="229659A6"/>
    <w:rsid w:val="229C4EAB"/>
    <w:rsid w:val="22B45EAC"/>
    <w:rsid w:val="22B81ACA"/>
    <w:rsid w:val="22C26507"/>
    <w:rsid w:val="22C84FC9"/>
    <w:rsid w:val="22DD08EB"/>
    <w:rsid w:val="22F610D4"/>
    <w:rsid w:val="22FF51E2"/>
    <w:rsid w:val="230D7BC7"/>
    <w:rsid w:val="231921B3"/>
    <w:rsid w:val="232F1E79"/>
    <w:rsid w:val="23392073"/>
    <w:rsid w:val="236553F8"/>
    <w:rsid w:val="2383694F"/>
    <w:rsid w:val="23A723A0"/>
    <w:rsid w:val="23A800D1"/>
    <w:rsid w:val="23D070B1"/>
    <w:rsid w:val="23D305B4"/>
    <w:rsid w:val="23EC181B"/>
    <w:rsid w:val="241734A1"/>
    <w:rsid w:val="241B52AE"/>
    <w:rsid w:val="2422439F"/>
    <w:rsid w:val="24264E97"/>
    <w:rsid w:val="24525B8A"/>
    <w:rsid w:val="24547947"/>
    <w:rsid w:val="24742690"/>
    <w:rsid w:val="24822706"/>
    <w:rsid w:val="249F46BE"/>
    <w:rsid w:val="24A04D29"/>
    <w:rsid w:val="24D676CE"/>
    <w:rsid w:val="25054EE4"/>
    <w:rsid w:val="2524556B"/>
    <w:rsid w:val="252C72A3"/>
    <w:rsid w:val="252D53FE"/>
    <w:rsid w:val="25423C43"/>
    <w:rsid w:val="25506360"/>
    <w:rsid w:val="256911D0"/>
    <w:rsid w:val="256C4164"/>
    <w:rsid w:val="25724088"/>
    <w:rsid w:val="25875771"/>
    <w:rsid w:val="258D5FED"/>
    <w:rsid w:val="2596567F"/>
    <w:rsid w:val="25A14A69"/>
    <w:rsid w:val="25AD76E0"/>
    <w:rsid w:val="25AF576B"/>
    <w:rsid w:val="25D03BD0"/>
    <w:rsid w:val="25D92FAC"/>
    <w:rsid w:val="25D97230"/>
    <w:rsid w:val="25DB06E1"/>
    <w:rsid w:val="25DD7D90"/>
    <w:rsid w:val="25E40032"/>
    <w:rsid w:val="25E450F5"/>
    <w:rsid w:val="25EC2D81"/>
    <w:rsid w:val="25FD21F1"/>
    <w:rsid w:val="260357AC"/>
    <w:rsid w:val="26035CC8"/>
    <w:rsid w:val="26060902"/>
    <w:rsid w:val="26292AFE"/>
    <w:rsid w:val="26323CB8"/>
    <w:rsid w:val="264528BD"/>
    <w:rsid w:val="265C5899"/>
    <w:rsid w:val="266B71CA"/>
    <w:rsid w:val="266E2653"/>
    <w:rsid w:val="26754128"/>
    <w:rsid w:val="269E7F7B"/>
    <w:rsid w:val="26A33946"/>
    <w:rsid w:val="26B4291F"/>
    <w:rsid w:val="26C37263"/>
    <w:rsid w:val="26E04053"/>
    <w:rsid w:val="270A6E69"/>
    <w:rsid w:val="270D6739"/>
    <w:rsid w:val="27127645"/>
    <w:rsid w:val="271C2272"/>
    <w:rsid w:val="271D04C4"/>
    <w:rsid w:val="276E3460"/>
    <w:rsid w:val="279E66DD"/>
    <w:rsid w:val="27B30E28"/>
    <w:rsid w:val="27BD5803"/>
    <w:rsid w:val="27BF56D9"/>
    <w:rsid w:val="27D15DD1"/>
    <w:rsid w:val="27D72D69"/>
    <w:rsid w:val="27DD0881"/>
    <w:rsid w:val="27FD10E1"/>
    <w:rsid w:val="28134F49"/>
    <w:rsid w:val="28504CA3"/>
    <w:rsid w:val="28534277"/>
    <w:rsid w:val="285919D0"/>
    <w:rsid w:val="2860352B"/>
    <w:rsid w:val="28663183"/>
    <w:rsid w:val="2886598D"/>
    <w:rsid w:val="28A76295"/>
    <w:rsid w:val="28B34613"/>
    <w:rsid w:val="28BE0964"/>
    <w:rsid w:val="28C11F60"/>
    <w:rsid w:val="28C35B79"/>
    <w:rsid w:val="28C50E13"/>
    <w:rsid w:val="28C70A20"/>
    <w:rsid w:val="28C8445F"/>
    <w:rsid w:val="28CD1B01"/>
    <w:rsid w:val="28D65C5C"/>
    <w:rsid w:val="28EC1355"/>
    <w:rsid w:val="2900059C"/>
    <w:rsid w:val="290053A3"/>
    <w:rsid w:val="29127DD1"/>
    <w:rsid w:val="291C26A7"/>
    <w:rsid w:val="29206EB8"/>
    <w:rsid w:val="294377C6"/>
    <w:rsid w:val="296D5007"/>
    <w:rsid w:val="2975663E"/>
    <w:rsid w:val="29831590"/>
    <w:rsid w:val="29A3217A"/>
    <w:rsid w:val="29AC6EB1"/>
    <w:rsid w:val="29C35C8B"/>
    <w:rsid w:val="29D44611"/>
    <w:rsid w:val="29D4796F"/>
    <w:rsid w:val="29D568E6"/>
    <w:rsid w:val="29D94A08"/>
    <w:rsid w:val="29E325E0"/>
    <w:rsid w:val="29F6324E"/>
    <w:rsid w:val="2A115EE0"/>
    <w:rsid w:val="2A116580"/>
    <w:rsid w:val="2A1A6F3D"/>
    <w:rsid w:val="2A233427"/>
    <w:rsid w:val="2A247DBB"/>
    <w:rsid w:val="2A303588"/>
    <w:rsid w:val="2A306DB6"/>
    <w:rsid w:val="2A452503"/>
    <w:rsid w:val="2A6A10EE"/>
    <w:rsid w:val="2A7E1A56"/>
    <w:rsid w:val="2AB27479"/>
    <w:rsid w:val="2AB729DE"/>
    <w:rsid w:val="2AB85A20"/>
    <w:rsid w:val="2ABB0720"/>
    <w:rsid w:val="2AC62C21"/>
    <w:rsid w:val="2ACE347E"/>
    <w:rsid w:val="2AD57308"/>
    <w:rsid w:val="2AE21897"/>
    <w:rsid w:val="2AE830F1"/>
    <w:rsid w:val="2AEA01CB"/>
    <w:rsid w:val="2B133327"/>
    <w:rsid w:val="2B28067D"/>
    <w:rsid w:val="2B340430"/>
    <w:rsid w:val="2B421532"/>
    <w:rsid w:val="2B80182F"/>
    <w:rsid w:val="2B85488A"/>
    <w:rsid w:val="2B8946CD"/>
    <w:rsid w:val="2B943ED6"/>
    <w:rsid w:val="2BA936A8"/>
    <w:rsid w:val="2BB419E0"/>
    <w:rsid w:val="2BC07F66"/>
    <w:rsid w:val="2BDD3B41"/>
    <w:rsid w:val="2BF90622"/>
    <w:rsid w:val="2C1C51EE"/>
    <w:rsid w:val="2C1D7BF2"/>
    <w:rsid w:val="2C2266CC"/>
    <w:rsid w:val="2C315A5A"/>
    <w:rsid w:val="2C362EE2"/>
    <w:rsid w:val="2C3B5479"/>
    <w:rsid w:val="2C3E3407"/>
    <w:rsid w:val="2C4B4DA3"/>
    <w:rsid w:val="2C4C53A8"/>
    <w:rsid w:val="2C5A06D1"/>
    <w:rsid w:val="2C620C30"/>
    <w:rsid w:val="2C9805ED"/>
    <w:rsid w:val="2C9840B4"/>
    <w:rsid w:val="2CA23219"/>
    <w:rsid w:val="2CAD5535"/>
    <w:rsid w:val="2CB167D9"/>
    <w:rsid w:val="2CC32CB2"/>
    <w:rsid w:val="2CD51841"/>
    <w:rsid w:val="2CDE2177"/>
    <w:rsid w:val="2CE06D1E"/>
    <w:rsid w:val="2CF37A4F"/>
    <w:rsid w:val="2CFC0B7C"/>
    <w:rsid w:val="2D045FEB"/>
    <w:rsid w:val="2D2105E2"/>
    <w:rsid w:val="2D783141"/>
    <w:rsid w:val="2D825424"/>
    <w:rsid w:val="2D8E211C"/>
    <w:rsid w:val="2D9B1C9C"/>
    <w:rsid w:val="2D9E56F5"/>
    <w:rsid w:val="2DD2105E"/>
    <w:rsid w:val="2DFE48E4"/>
    <w:rsid w:val="2E057F04"/>
    <w:rsid w:val="2E5521EA"/>
    <w:rsid w:val="2E554212"/>
    <w:rsid w:val="2E5833B3"/>
    <w:rsid w:val="2E667F96"/>
    <w:rsid w:val="2E6B5C4D"/>
    <w:rsid w:val="2E734774"/>
    <w:rsid w:val="2E821554"/>
    <w:rsid w:val="2E8226AB"/>
    <w:rsid w:val="2E936FE3"/>
    <w:rsid w:val="2EB74EDA"/>
    <w:rsid w:val="2EB97693"/>
    <w:rsid w:val="2ECD473B"/>
    <w:rsid w:val="2ECD508B"/>
    <w:rsid w:val="2EDB4EE9"/>
    <w:rsid w:val="2F171C9D"/>
    <w:rsid w:val="2F273F4D"/>
    <w:rsid w:val="2F3B2B02"/>
    <w:rsid w:val="2F4C10DE"/>
    <w:rsid w:val="2F503401"/>
    <w:rsid w:val="2F832C79"/>
    <w:rsid w:val="2F862216"/>
    <w:rsid w:val="2F883E37"/>
    <w:rsid w:val="2F921C13"/>
    <w:rsid w:val="2FBB2402"/>
    <w:rsid w:val="2FC72112"/>
    <w:rsid w:val="2FE04785"/>
    <w:rsid w:val="2FE12344"/>
    <w:rsid w:val="2FEF2D58"/>
    <w:rsid w:val="2FFA2F2D"/>
    <w:rsid w:val="30473135"/>
    <w:rsid w:val="304B77C7"/>
    <w:rsid w:val="30580BC9"/>
    <w:rsid w:val="309B06AC"/>
    <w:rsid w:val="30D047F9"/>
    <w:rsid w:val="30DA4A91"/>
    <w:rsid w:val="30F85AFE"/>
    <w:rsid w:val="310C6C8A"/>
    <w:rsid w:val="310F2CE0"/>
    <w:rsid w:val="31103171"/>
    <w:rsid w:val="311E2ED7"/>
    <w:rsid w:val="311E6B02"/>
    <w:rsid w:val="312759D2"/>
    <w:rsid w:val="31466869"/>
    <w:rsid w:val="31490108"/>
    <w:rsid w:val="315C449C"/>
    <w:rsid w:val="31627A93"/>
    <w:rsid w:val="31A07731"/>
    <w:rsid w:val="31A6555A"/>
    <w:rsid w:val="31B50DE8"/>
    <w:rsid w:val="31B76F51"/>
    <w:rsid w:val="31B82709"/>
    <w:rsid w:val="31CB1FD0"/>
    <w:rsid w:val="31CB6D6E"/>
    <w:rsid w:val="31D40319"/>
    <w:rsid w:val="31D91E2D"/>
    <w:rsid w:val="31DB3455"/>
    <w:rsid w:val="31FE7144"/>
    <w:rsid w:val="320128FA"/>
    <w:rsid w:val="320C391D"/>
    <w:rsid w:val="322A1E2D"/>
    <w:rsid w:val="322A6639"/>
    <w:rsid w:val="32372F21"/>
    <w:rsid w:val="323E277C"/>
    <w:rsid w:val="32400B34"/>
    <w:rsid w:val="324233E6"/>
    <w:rsid w:val="3268280A"/>
    <w:rsid w:val="326B676C"/>
    <w:rsid w:val="32806966"/>
    <w:rsid w:val="32935A2E"/>
    <w:rsid w:val="329E6876"/>
    <w:rsid w:val="32C959A4"/>
    <w:rsid w:val="32D65578"/>
    <w:rsid w:val="32DD4741"/>
    <w:rsid w:val="32F50547"/>
    <w:rsid w:val="32F551A9"/>
    <w:rsid w:val="32FD11AA"/>
    <w:rsid w:val="330F50AA"/>
    <w:rsid w:val="33183F80"/>
    <w:rsid w:val="33226E62"/>
    <w:rsid w:val="333F5C8F"/>
    <w:rsid w:val="334674BA"/>
    <w:rsid w:val="33702811"/>
    <w:rsid w:val="339E0BDF"/>
    <w:rsid w:val="33B45D0C"/>
    <w:rsid w:val="33B52366"/>
    <w:rsid w:val="33CD0C7D"/>
    <w:rsid w:val="33D934D4"/>
    <w:rsid w:val="33DF4AA3"/>
    <w:rsid w:val="33EA211C"/>
    <w:rsid w:val="33EF053A"/>
    <w:rsid w:val="33F41206"/>
    <w:rsid w:val="33F61BC9"/>
    <w:rsid w:val="33FE2F6A"/>
    <w:rsid w:val="340F3C54"/>
    <w:rsid w:val="342310E4"/>
    <w:rsid w:val="34233BB8"/>
    <w:rsid w:val="342F7ADE"/>
    <w:rsid w:val="34303C0B"/>
    <w:rsid w:val="343A070C"/>
    <w:rsid w:val="34710811"/>
    <w:rsid w:val="347C4A5E"/>
    <w:rsid w:val="348558FB"/>
    <w:rsid w:val="348E47AF"/>
    <w:rsid w:val="349D2C44"/>
    <w:rsid w:val="34B32F80"/>
    <w:rsid w:val="34CE496F"/>
    <w:rsid w:val="34E33C07"/>
    <w:rsid w:val="3518589F"/>
    <w:rsid w:val="35220C33"/>
    <w:rsid w:val="352E5F92"/>
    <w:rsid w:val="35386C07"/>
    <w:rsid w:val="35402E70"/>
    <w:rsid w:val="3546508A"/>
    <w:rsid w:val="35543FC7"/>
    <w:rsid w:val="35723ED0"/>
    <w:rsid w:val="358613FE"/>
    <w:rsid w:val="358F73E1"/>
    <w:rsid w:val="359A136B"/>
    <w:rsid w:val="35CF1F03"/>
    <w:rsid w:val="35D54660"/>
    <w:rsid w:val="35DB6891"/>
    <w:rsid w:val="35DF64BD"/>
    <w:rsid w:val="35EB7CF5"/>
    <w:rsid w:val="35F07A71"/>
    <w:rsid w:val="35F42D38"/>
    <w:rsid w:val="35FE0154"/>
    <w:rsid w:val="36074A7F"/>
    <w:rsid w:val="362B41D9"/>
    <w:rsid w:val="36533F86"/>
    <w:rsid w:val="369210AA"/>
    <w:rsid w:val="36923549"/>
    <w:rsid w:val="36B75FBF"/>
    <w:rsid w:val="36BB4CF2"/>
    <w:rsid w:val="36D2377C"/>
    <w:rsid w:val="36DA0180"/>
    <w:rsid w:val="36E36908"/>
    <w:rsid w:val="36FB4891"/>
    <w:rsid w:val="372D6C67"/>
    <w:rsid w:val="3749391C"/>
    <w:rsid w:val="374E46CA"/>
    <w:rsid w:val="37632311"/>
    <w:rsid w:val="376E32DC"/>
    <w:rsid w:val="37737C8C"/>
    <w:rsid w:val="37774822"/>
    <w:rsid w:val="37852EA4"/>
    <w:rsid w:val="37AC5BB4"/>
    <w:rsid w:val="37CE1367"/>
    <w:rsid w:val="38165490"/>
    <w:rsid w:val="381C47C8"/>
    <w:rsid w:val="381E22EE"/>
    <w:rsid w:val="382B205C"/>
    <w:rsid w:val="38437BF7"/>
    <w:rsid w:val="3844172D"/>
    <w:rsid w:val="386F1CF1"/>
    <w:rsid w:val="3884425D"/>
    <w:rsid w:val="38A81D6D"/>
    <w:rsid w:val="38A904E9"/>
    <w:rsid w:val="38DB01DF"/>
    <w:rsid w:val="38DD7AB3"/>
    <w:rsid w:val="38F12CD3"/>
    <w:rsid w:val="38F94775"/>
    <w:rsid w:val="39031F2E"/>
    <w:rsid w:val="392971ED"/>
    <w:rsid w:val="392B222A"/>
    <w:rsid w:val="393A4BBC"/>
    <w:rsid w:val="394929E9"/>
    <w:rsid w:val="39515CD4"/>
    <w:rsid w:val="39567866"/>
    <w:rsid w:val="396D266B"/>
    <w:rsid w:val="39811605"/>
    <w:rsid w:val="3984353C"/>
    <w:rsid w:val="39854EB5"/>
    <w:rsid w:val="398723C3"/>
    <w:rsid w:val="39981C2C"/>
    <w:rsid w:val="39B42EA5"/>
    <w:rsid w:val="39C03EA5"/>
    <w:rsid w:val="39CF0B21"/>
    <w:rsid w:val="39EA56E2"/>
    <w:rsid w:val="39F11616"/>
    <w:rsid w:val="39F84595"/>
    <w:rsid w:val="3A005C64"/>
    <w:rsid w:val="3A3C6A5B"/>
    <w:rsid w:val="3A484E6F"/>
    <w:rsid w:val="3A5203B5"/>
    <w:rsid w:val="3A60442C"/>
    <w:rsid w:val="3A6E6A9F"/>
    <w:rsid w:val="3A8D5B0C"/>
    <w:rsid w:val="3AAD1707"/>
    <w:rsid w:val="3AB47B7B"/>
    <w:rsid w:val="3ACD3AF2"/>
    <w:rsid w:val="3AD7395D"/>
    <w:rsid w:val="3AFF33B9"/>
    <w:rsid w:val="3B0361D7"/>
    <w:rsid w:val="3B0759D3"/>
    <w:rsid w:val="3B0B0F8B"/>
    <w:rsid w:val="3B274F17"/>
    <w:rsid w:val="3B2E100D"/>
    <w:rsid w:val="3B332724"/>
    <w:rsid w:val="3B3763D1"/>
    <w:rsid w:val="3B4543FC"/>
    <w:rsid w:val="3B673FAC"/>
    <w:rsid w:val="3B8A0A4E"/>
    <w:rsid w:val="3B8A268B"/>
    <w:rsid w:val="3BAD2329"/>
    <w:rsid w:val="3BB0325D"/>
    <w:rsid w:val="3BB16FD5"/>
    <w:rsid w:val="3BBF5B96"/>
    <w:rsid w:val="3BCC6C63"/>
    <w:rsid w:val="3BDF1D94"/>
    <w:rsid w:val="3BF21AC7"/>
    <w:rsid w:val="3BFB4ED2"/>
    <w:rsid w:val="3C0E04A6"/>
    <w:rsid w:val="3C2105FF"/>
    <w:rsid w:val="3C2459F9"/>
    <w:rsid w:val="3C2C0FDD"/>
    <w:rsid w:val="3C375597"/>
    <w:rsid w:val="3C385050"/>
    <w:rsid w:val="3C3A6D79"/>
    <w:rsid w:val="3C3C1CDF"/>
    <w:rsid w:val="3C3C7EA1"/>
    <w:rsid w:val="3C4D13F4"/>
    <w:rsid w:val="3C611D07"/>
    <w:rsid w:val="3C6B75FD"/>
    <w:rsid w:val="3C6F3118"/>
    <w:rsid w:val="3C8B2F8F"/>
    <w:rsid w:val="3CB20C1D"/>
    <w:rsid w:val="3CCB1DA2"/>
    <w:rsid w:val="3CDA245A"/>
    <w:rsid w:val="3CEE0A37"/>
    <w:rsid w:val="3CF31956"/>
    <w:rsid w:val="3D0106F2"/>
    <w:rsid w:val="3D071780"/>
    <w:rsid w:val="3D134D58"/>
    <w:rsid w:val="3D1F72F5"/>
    <w:rsid w:val="3D3A58D7"/>
    <w:rsid w:val="3D3F4027"/>
    <w:rsid w:val="3D575838"/>
    <w:rsid w:val="3D5B18EE"/>
    <w:rsid w:val="3D6F7BF9"/>
    <w:rsid w:val="3D9630BD"/>
    <w:rsid w:val="3DBD37AE"/>
    <w:rsid w:val="3DC92CFC"/>
    <w:rsid w:val="3DD875EE"/>
    <w:rsid w:val="3DE624DD"/>
    <w:rsid w:val="3DF7194C"/>
    <w:rsid w:val="3DF7565F"/>
    <w:rsid w:val="3DF8538F"/>
    <w:rsid w:val="3DFF7B39"/>
    <w:rsid w:val="3E03620E"/>
    <w:rsid w:val="3E0C2BE9"/>
    <w:rsid w:val="3E190930"/>
    <w:rsid w:val="3E3C34CE"/>
    <w:rsid w:val="3E500D27"/>
    <w:rsid w:val="3E86299B"/>
    <w:rsid w:val="3E8B5257"/>
    <w:rsid w:val="3EA630B6"/>
    <w:rsid w:val="3ED02F20"/>
    <w:rsid w:val="3ED9341F"/>
    <w:rsid w:val="3F275F2C"/>
    <w:rsid w:val="3F373ECE"/>
    <w:rsid w:val="3F660E74"/>
    <w:rsid w:val="3F7171A7"/>
    <w:rsid w:val="3F7B55BA"/>
    <w:rsid w:val="3F7E33EB"/>
    <w:rsid w:val="3F7F2BE0"/>
    <w:rsid w:val="3FA629CD"/>
    <w:rsid w:val="3FB90EC7"/>
    <w:rsid w:val="3FBD4FCD"/>
    <w:rsid w:val="3FFB0D42"/>
    <w:rsid w:val="40444FBC"/>
    <w:rsid w:val="404605CF"/>
    <w:rsid w:val="405C39B3"/>
    <w:rsid w:val="40610FCA"/>
    <w:rsid w:val="406A429C"/>
    <w:rsid w:val="407A6407"/>
    <w:rsid w:val="40A4535A"/>
    <w:rsid w:val="40A801F6"/>
    <w:rsid w:val="40CC4E74"/>
    <w:rsid w:val="40D306EA"/>
    <w:rsid w:val="40E42A59"/>
    <w:rsid w:val="40EF2859"/>
    <w:rsid w:val="40FD3E45"/>
    <w:rsid w:val="411A79FD"/>
    <w:rsid w:val="41214D61"/>
    <w:rsid w:val="415E745E"/>
    <w:rsid w:val="418418AD"/>
    <w:rsid w:val="418E6DA8"/>
    <w:rsid w:val="4194717D"/>
    <w:rsid w:val="41986C6D"/>
    <w:rsid w:val="41BB55A3"/>
    <w:rsid w:val="41C061C4"/>
    <w:rsid w:val="41DC56CF"/>
    <w:rsid w:val="41ED6D1D"/>
    <w:rsid w:val="42064F0C"/>
    <w:rsid w:val="42072045"/>
    <w:rsid w:val="421B3994"/>
    <w:rsid w:val="422E137F"/>
    <w:rsid w:val="42300255"/>
    <w:rsid w:val="42302E6E"/>
    <w:rsid w:val="423A3BCC"/>
    <w:rsid w:val="42503F9B"/>
    <w:rsid w:val="42554EE6"/>
    <w:rsid w:val="427E5608"/>
    <w:rsid w:val="42B07FE6"/>
    <w:rsid w:val="42B72CD1"/>
    <w:rsid w:val="42CA1D5D"/>
    <w:rsid w:val="42FB1A21"/>
    <w:rsid w:val="432D7889"/>
    <w:rsid w:val="43301127"/>
    <w:rsid w:val="433A6FE6"/>
    <w:rsid w:val="4350713C"/>
    <w:rsid w:val="43621403"/>
    <w:rsid w:val="436653E0"/>
    <w:rsid w:val="4367317F"/>
    <w:rsid w:val="43766C4F"/>
    <w:rsid w:val="437D25BE"/>
    <w:rsid w:val="43902423"/>
    <w:rsid w:val="43B8410D"/>
    <w:rsid w:val="43C35982"/>
    <w:rsid w:val="43E3619A"/>
    <w:rsid w:val="43E60FC0"/>
    <w:rsid w:val="44061E3D"/>
    <w:rsid w:val="44106525"/>
    <w:rsid w:val="442944F4"/>
    <w:rsid w:val="444E4668"/>
    <w:rsid w:val="44540D62"/>
    <w:rsid w:val="445769C9"/>
    <w:rsid w:val="4468449E"/>
    <w:rsid w:val="447119F7"/>
    <w:rsid w:val="44957A28"/>
    <w:rsid w:val="44AF6F53"/>
    <w:rsid w:val="44B03E47"/>
    <w:rsid w:val="44BB1170"/>
    <w:rsid w:val="44C349AC"/>
    <w:rsid w:val="44C95CDE"/>
    <w:rsid w:val="44CD14E0"/>
    <w:rsid w:val="44F74458"/>
    <w:rsid w:val="4518343C"/>
    <w:rsid w:val="45240818"/>
    <w:rsid w:val="452D1C54"/>
    <w:rsid w:val="452D7C98"/>
    <w:rsid w:val="453615CA"/>
    <w:rsid w:val="454D39F9"/>
    <w:rsid w:val="45586ED7"/>
    <w:rsid w:val="455A42A9"/>
    <w:rsid w:val="455B10DF"/>
    <w:rsid w:val="455C6CA3"/>
    <w:rsid w:val="458169B1"/>
    <w:rsid w:val="458946E9"/>
    <w:rsid w:val="45A44C85"/>
    <w:rsid w:val="45AA3413"/>
    <w:rsid w:val="45AD256B"/>
    <w:rsid w:val="45C10B4B"/>
    <w:rsid w:val="45DF6C52"/>
    <w:rsid w:val="45FE72BB"/>
    <w:rsid w:val="46077326"/>
    <w:rsid w:val="4609255E"/>
    <w:rsid w:val="461C2918"/>
    <w:rsid w:val="46627685"/>
    <w:rsid w:val="466F44FC"/>
    <w:rsid w:val="46796421"/>
    <w:rsid w:val="468E6D5F"/>
    <w:rsid w:val="46A14816"/>
    <w:rsid w:val="46B20987"/>
    <w:rsid w:val="46CA3945"/>
    <w:rsid w:val="46D110ED"/>
    <w:rsid w:val="46D955A7"/>
    <w:rsid w:val="46DB6532"/>
    <w:rsid w:val="46F24027"/>
    <w:rsid w:val="46F60393"/>
    <w:rsid w:val="46FD0A18"/>
    <w:rsid w:val="47044DA5"/>
    <w:rsid w:val="47133957"/>
    <w:rsid w:val="47275BC5"/>
    <w:rsid w:val="47462BC7"/>
    <w:rsid w:val="47565ABD"/>
    <w:rsid w:val="4756712C"/>
    <w:rsid w:val="47620967"/>
    <w:rsid w:val="476475F1"/>
    <w:rsid w:val="4779329E"/>
    <w:rsid w:val="479F2B67"/>
    <w:rsid w:val="47A07E0C"/>
    <w:rsid w:val="47B35635"/>
    <w:rsid w:val="47BF6EE9"/>
    <w:rsid w:val="47D23AB8"/>
    <w:rsid w:val="47E10372"/>
    <w:rsid w:val="4805359A"/>
    <w:rsid w:val="48074B4D"/>
    <w:rsid w:val="481F65CC"/>
    <w:rsid w:val="482169AF"/>
    <w:rsid w:val="482E2C2F"/>
    <w:rsid w:val="4862688C"/>
    <w:rsid w:val="486A6E89"/>
    <w:rsid w:val="4870272E"/>
    <w:rsid w:val="48B17A94"/>
    <w:rsid w:val="48D662CD"/>
    <w:rsid w:val="48E409EA"/>
    <w:rsid w:val="48F951C2"/>
    <w:rsid w:val="49070FF8"/>
    <w:rsid w:val="490B047E"/>
    <w:rsid w:val="49127CF1"/>
    <w:rsid w:val="491646DC"/>
    <w:rsid w:val="494518B4"/>
    <w:rsid w:val="4958156F"/>
    <w:rsid w:val="49601C00"/>
    <w:rsid w:val="4991312E"/>
    <w:rsid w:val="49957989"/>
    <w:rsid w:val="49967D64"/>
    <w:rsid w:val="49AC17CE"/>
    <w:rsid w:val="49AE0D0E"/>
    <w:rsid w:val="49BA590F"/>
    <w:rsid w:val="49D43DE3"/>
    <w:rsid w:val="49D80708"/>
    <w:rsid w:val="49DC0ABF"/>
    <w:rsid w:val="49DC7715"/>
    <w:rsid w:val="49E1767B"/>
    <w:rsid w:val="49E82BA1"/>
    <w:rsid w:val="49F922F7"/>
    <w:rsid w:val="49FC4D26"/>
    <w:rsid w:val="4A023139"/>
    <w:rsid w:val="4A1470AD"/>
    <w:rsid w:val="4A282C93"/>
    <w:rsid w:val="4A340672"/>
    <w:rsid w:val="4A3F5A09"/>
    <w:rsid w:val="4A535E37"/>
    <w:rsid w:val="4A553981"/>
    <w:rsid w:val="4A6130DB"/>
    <w:rsid w:val="4A650310"/>
    <w:rsid w:val="4A704E76"/>
    <w:rsid w:val="4A780EDF"/>
    <w:rsid w:val="4A7B576F"/>
    <w:rsid w:val="4A7E7D2A"/>
    <w:rsid w:val="4A8215BA"/>
    <w:rsid w:val="4AAD0812"/>
    <w:rsid w:val="4AC40AD3"/>
    <w:rsid w:val="4AD64A28"/>
    <w:rsid w:val="4AED380A"/>
    <w:rsid w:val="4B106B52"/>
    <w:rsid w:val="4B386DCB"/>
    <w:rsid w:val="4B643645"/>
    <w:rsid w:val="4B9A682F"/>
    <w:rsid w:val="4BBC5244"/>
    <w:rsid w:val="4BC0523C"/>
    <w:rsid w:val="4BD216B2"/>
    <w:rsid w:val="4BD6590E"/>
    <w:rsid w:val="4BDC4385"/>
    <w:rsid w:val="4BEF3035"/>
    <w:rsid w:val="4C006BC2"/>
    <w:rsid w:val="4C133784"/>
    <w:rsid w:val="4C435492"/>
    <w:rsid w:val="4C4A0649"/>
    <w:rsid w:val="4C4E5D68"/>
    <w:rsid w:val="4C746529"/>
    <w:rsid w:val="4CB7701E"/>
    <w:rsid w:val="4CBD487A"/>
    <w:rsid w:val="4CC26500"/>
    <w:rsid w:val="4CCD360B"/>
    <w:rsid w:val="4CE21099"/>
    <w:rsid w:val="4CE470D3"/>
    <w:rsid w:val="4CED7641"/>
    <w:rsid w:val="4D323589"/>
    <w:rsid w:val="4D7E363D"/>
    <w:rsid w:val="4D853292"/>
    <w:rsid w:val="4D985BFA"/>
    <w:rsid w:val="4D9B0CF0"/>
    <w:rsid w:val="4DA924B3"/>
    <w:rsid w:val="4DC21A1F"/>
    <w:rsid w:val="4DE35714"/>
    <w:rsid w:val="4DEC4FB0"/>
    <w:rsid w:val="4DFE0BEC"/>
    <w:rsid w:val="4E075D8A"/>
    <w:rsid w:val="4E28581D"/>
    <w:rsid w:val="4E5F7C25"/>
    <w:rsid w:val="4E760336"/>
    <w:rsid w:val="4EC0201B"/>
    <w:rsid w:val="4EC16584"/>
    <w:rsid w:val="4ED11A10"/>
    <w:rsid w:val="4ED70B1F"/>
    <w:rsid w:val="4EDA2F0D"/>
    <w:rsid w:val="4EDE054F"/>
    <w:rsid w:val="4F0A23CC"/>
    <w:rsid w:val="4F1813ED"/>
    <w:rsid w:val="4F196269"/>
    <w:rsid w:val="4F2032BA"/>
    <w:rsid w:val="4F2333BD"/>
    <w:rsid w:val="4F27739E"/>
    <w:rsid w:val="4F3B1580"/>
    <w:rsid w:val="4F527945"/>
    <w:rsid w:val="4F786598"/>
    <w:rsid w:val="4F86575F"/>
    <w:rsid w:val="4F9A304F"/>
    <w:rsid w:val="4FA40797"/>
    <w:rsid w:val="4FC62A8C"/>
    <w:rsid w:val="4FD711BE"/>
    <w:rsid w:val="4FE20F0D"/>
    <w:rsid w:val="502C3574"/>
    <w:rsid w:val="503C0C40"/>
    <w:rsid w:val="50487D45"/>
    <w:rsid w:val="50504C4B"/>
    <w:rsid w:val="50592CAB"/>
    <w:rsid w:val="507E7E42"/>
    <w:rsid w:val="50873656"/>
    <w:rsid w:val="5087591C"/>
    <w:rsid w:val="509554AF"/>
    <w:rsid w:val="50970A38"/>
    <w:rsid w:val="509C4439"/>
    <w:rsid w:val="509C6E7C"/>
    <w:rsid w:val="50A70C7B"/>
    <w:rsid w:val="50AA3380"/>
    <w:rsid w:val="50C03AEB"/>
    <w:rsid w:val="50C151EB"/>
    <w:rsid w:val="50C80BF1"/>
    <w:rsid w:val="50D560B9"/>
    <w:rsid w:val="50E81B28"/>
    <w:rsid w:val="50F24E95"/>
    <w:rsid w:val="5110471B"/>
    <w:rsid w:val="515D57DD"/>
    <w:rsid w:val="5162104E"/>
    <w:rsid w:val="518E78C7"/>
    <w:rsid w:val="519102D0"/>
    <w:rsid w:val="519136D9"/>
    <w:rsid w:val="519877FA"/>
    <w:rsid w:val="519D3E2C"/>
    <w:rsid w:val="51C242FE"/>
    <w:rsid w:val="523A7901"/>
    <w:rsid w:val="523B1AC2"/>
    <w:rsid w:val="525C5A95"/>
    <w:rsid w:val="52664798"/>
    <w:rsid w:val="526B5584"/>
    <w:rsid w:val="52742E1D"/>
    <w:rsid w:val="528A0854"/>
    <w:rsid w:val="52914BD9"/>
    <w:rsid w:val="52BB7DFA"/>
    <w:rsid w:val="52D10231"/>
    <w:rsid w:val="52E30051"/>
    <w:rsid w:val="52E55A8A"/>
    <w:rsid w:val="52EC4EE5"/>
    <w:rsid w:val="52F5749D"/>
    <w:rsid w:val="53002BA7"/>
    <w:rsid w:val="5305612D"/>
    <w:rsid w:val="532317F1"/>
    <w:rsid w:val="532E399E"/>
    <w:rsid w:val="53601DBA"/>
    <w:rsid w:val="53643DDF"/>
    <w:rsid w:val="53A039CC"/>
    <w:rsid w:val="53A1505A"/>
    <w:rsid w:val="53A52D0B"/>
    <w:rsid w:val="53A63401"/>
    <w:rsid w:val="53C93B0F"/>
    <w:rsid w:val="53E95F37"/>
    <w:rsid w:val="53F115D7"/>
    <w:rsid w:val="54063E08"/>
    <w:rsid w:val="54183C77"/>
    <w:rsid w:val="54211353"/>
    <w:rsid w:val="542A296A"/>
    <w:rsid w:val="542E3461"/>
    <w:rsid w:val="543437E8"/>
    <w:rsid w:val="54426E84"/>
    <w:rsid w:val="54446FC0"/>
    <w:rsid w:val="54540FA3"/>
    <w:rsid w:val="54576514"/>
    <w:rsid w:val="546E3B53"/>
    <w:rsid w:val="549D36D1"/>
    <w:rsid w:val="54A67B88"/>
    <w:rsid w:val="54A76C63"/>
    <w:rsid w:val="54AF0D1D"/>
    <w:rsid w:val="54BA5BC4"/>
    <w:rsid w:val="5526623B"/>
    <w:rsid w:val="55325CA9"/>
    <w:rsid w:val="55500A9D"/>
    <w:rsid w:val="5566562C"/>
    <w:rsid w:val="556D0F3C"/>
    <w:rsid w:val="5593401E"/>
    <w:rsid w:val="559B174B"/>
    <w:rsid w:val="559D6355"/>
    <w:rsid w:val="55AC28F1"/>
    <w:rsid w:val="55CE0CF4"/>
    <w:rsid w:val="55CF2FB6"/>
    <w:rsid w:val="55D144C4"/>
    <w:rsid w:val="55ED159A"/>
    <w:rsid w:val="55FB72F5"/>
    <w:rsid w:val="55FC48A9"/>
    <w:rsid w:val="560A5DF1"/>
    <w:rsid w:val="56116B96"/>
    <w:rsid w:val="561A7C09"/>
    <w:rsid w:val="56290384"/>
    <w:rsid w:val="563A3BB0"/>
    <w:rsid w:val="5658087D"/>
    <w:rsid w:val="565F35CD"/>
    <w:rsid w:val="566B44F9"/>
    <w:rsid w:val="566C1B34"/>
    <w:rsid w:val="567D162B"/>
    <w:rsid w:val="56B22A9C"/>
    <w:rsid w:val="56E85B49"/>
    <w:rsid w:val="56F12916"/>
    <w:rsid w:val="56F64D1D"/>
    <w:rsid w:val="570F367A"/>
    <w:rsid w:val="57172442"/>
    <w:rsid w:val="5717642E"/>
    <w:rsid w:val="57304F35"/>
    <w:rsid w:val="5742242B"/>
    <w:rsid w:val="574879CF"/>
    <w:rsid w:val="57633966"/>
    <w:rsid w:val="57714095"/>
    <w:rsid w:val="57797B01"/>
    <w:rsid w:val="579715D8"/>
    <w:rsid w:val="57B36157"/>
    <w:rsid w:val="57B72A76"/>
    <w:rsid w:val="57EC7962"/>
    <w:rsid w:val="57EE45EF"/>
    <w:rsid w:val="57F56770"/>
    <w:rsid w:val="57F961BC"/>
    <w:rsid w:val="58022C3B"/>
    <w:rsid w:val="582B61DA"/>
    <w:rsid w:val="583A4BC4"/>
    <w:rsid w:val="58501BF8"/>
    <w:rsid w:val="585520DB"/>
    <w:rsid w:val="585A2A77"/>
    <w:rsid w:val="58625BCC"/>
    <w:rsid w:val="588D3D56"/>
    <w:rsid w:val="58952D40"/>
    <w:rsid w:val="58CB7624"/>
    <w:rsid w:val="58D16B27"/>
    <w:rsid w:val="58DD7C32"/>
    <w:rsid w:val="591F0C10"/>
    <w:rsid w:val="597315DC"/>
    <w:rsid w:val="599C7F9A"/>
    <w:rsid w:val="599E267E"/>
    <w:rsid w:val="59A907B0"/>
    <w:rsid w:val="59B12B6A"/>
    <w:rsid w:val="59BB3564"/>
    <w:rsid w:val="59D90810"/>
    <w:rsid w:val="5A0772A5"/>
    <w:rsid w:val="5A0C7DA1"/>
    <w:rsid w:val="5A1229CE"/>
    <w:rsid w:val="5A252ED1"/>
    <w:rsid w:val="5A2D7A91"/>
    <w:rsid w:val="5A3C747D"/>
    <w:rsid w:val="5A473A8A"/>
    <w:rsid w:val="5A616558"/>
    <w:rsid w:val="5A625530"/>
    <w:rsid w:val="5A70225C"/>
    <w:rsid w:val="5A940DCF"/>
    <w:rsid w:val="5AB30489"/>
    <w:rsid w:val="5ABC5348"/>
    <w:rsid w:val="5ABE2233"/>
    <w:rsid w:val="5AD23818"/>
    <w:rsid w:val="5AE91E90"/>
    <w:rsid w:val="5AF42279"/>
    <w:rsid w:val="5B174492"/>
    <w:rsid w:val="5B276D18"/>
    <w:rsid w:val="5B70435F"/>
    <w:rsid w:val="5B9A0F5B"/>
    <w:rsid w:val="5BA647C5"/>
    <w:rsid w:val="5BAE5118"/>
    <w:rsid w:val="5BB14BD8"/>
    <w:rsid w:val="5BC63301"/>
    <w:rsid w:val="5BC8029C"/>
    <w:rsid w:val="5BC870A9"/>
    <w:rsid w:val="5BDF5D95"/>
    <w:rsid w:val="5BE32D83"/>
    <w:rsid w:val="5BF31218"/>
    <w:rsid w:val="5C351686"/>
    <w:rsid w:val="5C3B671B"/>
    <w:rsid w:val="5C4F5D2B"/>
    <w:rsid w:val="5C757C06"/>
    <w:rsid w:val="5C7A0927"/>
    <w:rsid w:val="5C826B51"/>
    <w:rsid w:val="5C844566"/>
    <w:rsid w:val="5C976ED0"/>
    <w:rsid w:val="5CA644DC"/>
    <w:rsid w:val="5CB1027B"/>
    <w:rsid w:val="5CE559A2"/>
    <w:rsid w:val="5CE7781B"/>
    <w:rsid w:val="5D0350FC"/>
    <w:rsid w:val="5D26561D"/>
    <w:rsid w:val="5D277D98"/>
    <w:rsid w:val="5D3E1161"/>
    <w:rsid w:val="5D6D6DA8"/>
    <w:rsid w:val="5D72299B"/>
    <w:rsid w:val="5D742C9C"/>
    <w:rsid w:val="5D7C5710"/>
    <w:rsid w:val="5D821962"/>
    <w:rsid w:val="5D881E34"/>
    <w:rsid w:val="5D976FFC"/>
    <w:rsid w:val="5DAE5021"/>
    <w:rsid w:val="5DB25ED5"/>
    <w:rsid w:val="5DB90FAA"/>
    <w:rsid w:val="5DC76A50"/>
    <w:rsid w:val="5DD90EA3"/>
    <w:rsid w:val="5DD97AA9"/>
    <w:rsid w:val="5DE03A1E"/>
    <w:rsid w:val="5DEE2048"/>
    <w:rsid w:val="5DF65098"/>
    <w:rsid w:val="5DF87A0F"/>
    <w:rsid w:val="5E1F6E39"/>
    <w:rsid w:val="5E2977F0"/>
    <w:rsid w:val="5E3264E7"/>
    <w:rsid w:val="5E3C4BD7"/>
    <w:rsid w:val="5E440DD9"/>
    <w:rsid w:val="5E57216C"/>
    <w:rsid w:val="5E60690D"/>
    <w:rsid w:val="5E770774"/>
    <w:rsid w:val="5E8048B9"/>
    <w:rsid w:val="5E8A398A"/>
    <w:rsid w:val="5EE31CAE"/>
    <w:rsid w:val="5EEA6DDC"/>
    <w:rsid w:val="5EFD6B5E"/>
    <w:rsid w:val="5F024C3D"/>
    <w:rsid w:val="5F0A6A95"/>
    <w:rsid w:val="5F1A2B43"/>
    <w:rsid w:val="5F29730F"/>
    <w:rsid w:val="5F31540F"/>
    <w:rsid w:val="5F4C3971"/>
    <w:rsid w:val="5F5D3118"/>
    <w:rsid w:val="5F7E310E"/>
    <w:rsid w:val="5FB54A36"/>
    <w:rsid w:val="5FB837BB"/>
    <w:rsid w:val="5FBD0CFB"/>
    <w:rsid w:val="5FE86DB6"/>
    <w:rsid w:val="60004CE9"/>
    <w:rsid w:val="60234553"/>
    <w:rsid w:val="602D281F"/>
    <w:rsid w:val="60335942"/>
    <w:rsid w:val="603B7C2C"/>
    <w:rsid w:val="60470F4A"/>
    <w:rsid w:val="604A517F"/>
    <w:rsid w:val="60607BB3"/>
    <w:rsid w:val="60636F96"/>
    <w:rsid w:val="606C00AE"/>
    <w:rsid w:val="60737A62"/>
    <w:rsid w:val="607D065B"/>
    <w:rsid w:val="60897F5A"/>
    <w:rsid w:val="608C4F49"/>
    <w:rsid w:val="60AA20C1"/>
    <w:rsid w:val="60CF5E19"/>
    <w:rsid w:val="60D31D71"/>
    <w:rsid w:val="60E35B5F"/>
    <w:rsid w:val="615C785F"/>
    <w:rsid w:val="61671D60"/>
    <w:rsid w:val="618162DA"/>
    <w:rsid w:val="6186668A"/>
    <w:rsid w:val="61952D71"/>
    <w:rsid w:val="61990BF7"/>
    <w:rsid w:val="619D3CFE"/>
    <w:rsid w:val="61D64503"/>
    <w:rsid w:val="61E71A8B"/>
    <w:rsid w:val="61F91BBB"/>
    <w:rsid w:val="61FE3612"/>
    <w:rsid w:val="6203065E"/>
    <w:rsid w:val="62037CDB"/>
    <w:rsid w:val="621023F8"/>
    <w:rsid w:val="62364782"/>
    <w:rsid w:val="62584763"/>
    <w:rsid w:val="625C73EB"/>
    <w:rsid w:val="62675B5F"/>
    <w:rsid w:val="626F3307"/>
    <w:rsid w:val="62774225"/>
    <w:rsid w:val="627A6E22"/>
    <w:rsid w:val="627D57C3"/>
    <w:rsid w:val="629A5B34"/>
    <w:rsid w:val="62A20078"/>
    <w:rsid w:val="62AB1CAC"/>
    <w:rsid w:val="62AD0EB7"/>
    <w:rsid w:val="62C21944"/>
    <w:rsid w:val="62C56D4B"/>
    <w:rsid w:val="62C730DD"/>
    <w:rsid w:val="62CA7055"/>
    <w:rsid w:val="62D578C9"/>
    <w:rsid w:val="62DB47B4"/>
    <w:rsid w:val="62DB569D"/>
    <w:rsid w:val="62EB0125"/>
    <w:rsid w:val="62EB771C"/>
    <w:rsid w:val="62F847D9"/>
    <w:rsid w:val="62FA20CA"/>
    <w:rsid w:val="631477FF"/>
    <w:rsid w:val="63214DA7"/>
    <w:rsid w:val="6329128B"/>
    <w:rsid w:val="63465126"/>
    <w:rsid w:val="63493E13"/>
    <w:rsid w:val="63534C92"/>
    <w:rsid w:val="63583D49"/>
    <w:rsid w:val="635C4D77"/>
    <w:rsid w:val="63674FF4"/>
    <w:rsid w:val="639130C5"/>
    <w:rsid w:val="63B868A3"/>
    <w:rsid w:val="63B95393"/>
    <w:rsid w:val="63C24E7E"/>
    <w:rsid w:val="63C73574"/>
    <w:rsid w:val="63CB4828"/>
    <w:rsid w:val="63D40BE9"/>
    <w:rsid w:val="63E0211F"/>
    <w:rsid w:val="63E5429E"/>
    <w:rsid w:val="63E568CE"/>
    <w:rsid w:val="64025D70"/>
    <w:rsid w:val="641066DF"/>
    <w:rsid w:val="642A7F3C"/>
    <w:rsid w:val="642E687D"/>
    <w:rsid w:val="64473A99"/>
    <w:rsid w:val="644E281D"/>
    <w:rsid w:val="6477229B"/>
    <w:rsid w:val="648F3AA8"/>
    <w:rsid w:val="64CE7282"/>
    <w:rsid w:val="64E73602"/>
    <w:rsid w:val="64F56E7E"/>
    <w:rsid w:val="64F6723F"/>
    <w:rsid w:val="65224AEA"/>
    <w:rsid w:val="65373578"/>
    <w:rsid w:val="65A16BD2"/>
    <w:rsid w:val="65CC67FB"/>
    <w:rsid w:val="65D06126"/>
    <w:rsid w:val="65E63F80"/>
    <w:rsid w:val="66016D16"/>
    <w:rsid w:val="66123756"/>
    <w:rsid w:val="6628314E"/>
    <w:rsid w:val="662F46A8"/>
    <w:rsid w:val="668058B9"/>
    <w:rsid w:val="66867FEB"/>
    <w:rsid w:val="669C2A66"/>
    <w:rsid w:val="66A15387"/>
    <w:rsid w:val="66CB157A"/>
    <w:rsid w:val="66D26A4E"/>
    <w:rsid w:val="66F92E42"/>
    <w:rsid w:val="67022FC7"/>
    <w:rsid w:val="67097548"/>
    <w:rsid w:val="670C7632"/>
    <w:rsid w:val="672363E8"/>
    <w:rsid w:val="67236729"/>
    <w:rsid w:val="673305D8"/>
    <w:rsid w:val="673F2C7A"/>
    <w:rsid w:val="67406C20"/>
    <w:rsid w:val="674D05B9"/>
    <w:rsid w:val="674F5770"/>
    <w:rsid w:val="67501AB7"/>
    <w:rsid w:val="67582877"/>
    <w:rsid w:val="67761618"/>
    <w:rsid w:val="67902011"/>
    <w:rsid w:val="679C1734"/>
    <w:rsid w:val="67A34901"/>
    <w:rsid w:val="67B06A91"/>
    <w:rsid w:val="67BC2E06"/>
    <w:rsid w:val="67F9783B"/>
    <w:rsid w:val="68183E95"/>
    <w:rsid w:val="68197ED2"/>
    <w:rsid w:val="681F6961"/>
    <w:rsid w:val="683C4C6E"/>
    <w:rsid w:val="685B48AC"/>
    <w:rsid w:val="68610A2F"/>
    <w:rsid w:val="68805514"/>
    <w:rsid w:val="68955477"/>
    <w:rsid w:val="68A26D18"/>
    <w:rsid w:val="68BD5ADB"/>
    <w:rsid w:val="68C267EB"/>
    <w:rsid w:val="68C40F64"/>
    <w:rsid w:val="68DC2549"/>
    <w:rsid w:val="68F16DAC"/>
    <w:rsid w:val="69110F2F"/>
    <w:rsid w:val="691E364C"/>
    <w:rsid w:val="69296233"/>
    <w:rsid w:val="692B649A"/>
    <w:rsid w:val="693A5EEA"/>
    <w:rsid w:val="694E2071"/>
    <w:rsid w:val="69506B31"/>
    <w:rsid w:val="69672AD8"/>
    <w:rsid w:val="696A5BEA"/>
    <w:rsid w:val="697A3B33"/>
    <w:rsid w:val="698579A9"/>
    <w:rsid w:val="698C6663"/>
    <w:rsid w:val="699E2456"/>
    <w:rsid w:val="69A022B3"/>
    <w:rsid w:val="69B233F5"/>
    <w:rsid w:val="69B63885"/>
    <w:rsid w:val="69BB0878"/>
    <w:rsid w:val="69CE396B"/>
    <w:rsid w:val="69D53A9B"/>
    <w:rsid w:val="69F148BD"/>
    <w:rsid w:val="69FA5E67"/>
    <w:rsid w:val="6A012F30"/>
    <w:rsid w:val="6A0423C3"/>
    <w:rsid w:val="6A0E546F"/>
    <w:rsid w:val="6A1D56B2"/>
    <w:rsid w:val="6A530101"/>
    <w:rsid w:val="6A835E5D"/>
    <w:rsid w:val="6A997784"/>
    <w:rsid w:val="6AB81F29"/>
    <w:rsid w:val="6AC91B6A"/>
    <w:rsid w:val="6AD5134B"/>
    <w:rsid w:val="6AE461D0"/>
    <w:rsid w:val="6AEB34AB"/>
    <w:rsid w:val="6AF07BAC"/>
    <w:rsid w:val="6AF74155"/>
    <w:rsid w:val="6B322639"/>
    <w:rsid w:val="6B3716CF"/>
    <w:rsid w:val="6B426F5D"/>
    <w:rsid w:val="6B4C027C"/>
    <w:rsid w:val="6B680BAF"/>
    <w:rsid w:val="6B6D534F"/>
    <w:rsid w:val="6B6E798A"/>
    <w:rsid w:val="6B721A2E"/>
    <w:rsid w:val="6B8922A0"/>
    <w:rsid w:val="6BA65A4B"/>
    <w:rsid w:val="6BA7594A"/>
    <w:rsid w:val="6BAB394E"/>
    <w:rsid w:val="6BD427F5"/>
    <w:rsid w:val="6BE47823"/>
    <w:rsid w:val="6C075EBF"/>
    <w:rsid w:val="6C2E290E"/>
    <w:rsid w:val="6C2F5C37"/>
    <w:rsid w:val="6C4100CE"/>
    <w:rsid w:val="6C5E5AB6"/>
    <w:rsid w:val="6C603647"/>
    <w:rsid w:val="6C636C38"/>
    <w:rsid w:val="6C672581"/>
    <w:rsid w:val="6C6C09FF"/>
    <w:rsid w:val="6C790C00"/>
    <w:rsid w:val="6C8C5DAC"/>
    <w:rsid w:val="6CD23EAC"/>
    <w:rsid w:val="6CDA5A16"/>
    <w:rsid w:val="6CE10C19"/>
    <w:rsid w:val="6CFD79D9"/>
    <w:rsid w:val="6D0213C7"/>
    <w:rsid w:val="6D056FFD"/>
    <w:rsid w:val="6D420152"/>
    <w:rsid w:val="6D426528"/>
    <w:rsid w:val="6D5C2F4B"/>
    <w:rsid w:val="6D5D4DDD"/>
    <w:rsid w:val="6D736254"/>
    <w:rsid w:val="6D785A21"/>
    <w:rsid w:val="6D8141AA"/>
    <w:rsid w:val="6D875FE5"/>
    <w:rsid w:val="6D9A691B"/>
    <w:rsid w:val="6DB34098"/>
    <w:rsid w:val="6DB545B6"/>
    <w:rsid w:val="6DC7259C"/>
    <w:rsid w:val="6DF73278"/>
    <w:rsid w:val="6E02353D"/>
    <w:rsid w:val="6E0467C0"/>
    <w:rsid w:val="6E0E0B6C"/>
    <w:rsid w:val="6E26547D"/>
    <w:rsid w:val="6E2C0C16"/>
    <w:rsid w:val="6E4375A0"/>
    <w:rsid w:val="6E4A0443"/>
    <w:rsid w:val="6E514108"/>
    <w:rsid w:val="6E514CED"/>
    <w:rsid w:val="6E623FDB"/>
    <w:rsid w:val="6E79491A"/>
    <w:rsid w:val="6E7A7577"/>
    <w:rsid w:val="6E99525F"/>
    <w:rsid w:val="6EA126EE"/>
    <w:rsid w:val="6EAC67ED"/>
    <w:rsid w:val="6EB563D5"/>
    <w:rsid w:val="6ECE1003"/>
    <w:rsid w:val="6EF32E85"/>
    <w:rsid w:val="6EFD22B2"/>
    <w:rsid w:val="6F063E1D"/>
    <w:rsid w:val="6F225983"/>
    <w:rsid w:val="6F321C00"/>
    <w:rsid w:val="6F441585"/>
    <w:rsid w:val="6F484F7F"/>
    <w:rsid w:val="6F5B1156"/>
    <w:rsid w:val="6F5E5211"/>
    <w:rsid w:val="6F9B1E67"/>
    <w:rsid w:val="6FBB2149"/>
    <w:rsid w:val="6FBC25A1"/>
    <w:rsid w:val="6FBE3493"/>
    <w:rsid w:val="6FCA4C1D"/>
    <w:rsid w:val="6FD025C9"/>
    <w:rsid w:val="6FD61EB2"/>
    <w:rsid w:val="6FD74E21"/>
    <w:rsid w:val="6FDB7641"/>
    <w:rsid w:val="6FFC5590"/>
    <w:rsid w:val="6FFD22F7"/>
    <w:rsid w:val="6FFF2E96"/>
    <w:rsid w:val="70087616"/>
    <w:rsid w:val="700A0CDF"/>
    <w:rsid w:val="701B05C9"/>
    <w:rsid w:val="70301DA3"/>
    <w:rsid w:val="703C7A52"/>
    <w:rsid w:val="70447D89"/>
    <w:rsid w:val="704D5DCD"/>
    <w:rsid w:val="705915F7"/>
    <w:rsid w:val="7064228D"/>
    <w:rsid w:val="706D1DD0"/>
    <w:rsid w:val="70765053"/>
    <w:rsid w:val="70856B87"/>
    <w:rsid w:val="708801ED"/>
    <w:rsid w:val="70881654"/>
    <w:rsid w:val="708E12B7"/>
    <w:rsid w:val="709F4250"/>
    <w:rsid w:val="70A67E48"/>
    <w:rsid w:val="70BE6CF9"/>
    <w:rsid w:val="70C8650B"/>
    <w:rsid w:val="70CC398E"/>
    <w:rsid w:val="70D527EE"/>
    <w:rsid w:val="70DE5C74"/>
    <w:rsid w:val="70F51137"/>
    <w:rsid w:val="71153539"/>
    <w:rsid w:val="7145122B"/>
    <w:rsid w:val="715B5300"/>
    <w:rsid w:val="715F4BD7"/>
    <w:rsid w:val="71666EDE"/>
    <w:rsid w:val="71735106"/>
    <w:rsid w:val="71752765"/>
    <w:rsid w:val="71791D68"/>
    <w:rsid w:val="717D1C40"/>
    <w:rsid w:val="71AA1A93"/>
    <w:rsid w:val="71B07109"/>
    <w:rsid w:val="71C20D23"/>
    <w:rsid w:val="71C712CC"/>
    <w:rsid w:val="71C900F0"/>
    <w:rsid w:val="71CA6C79"/>
    <w:rsid w:val="71D27F8A"/>
    <w:rsid w:val="71F744C6"/>
    <w:rsid w:val="71F74762"/>
    <w:rsid w:val="71F960CF"/>
    <w:rsid w:val="72123368"/>
    <w:rsid w:val="72264CFE"/>
    <w:rsid w:val="72355256"/>
    <w:rsid w:val="72494F2D"/>
    <w:rsid w:val="726005CA"/>
    <w:rsid w:val="72606A84"/>
    <w:rsid w:val="72733B3D"/>
    <w:rsid w:val="7274741A"/>
    <w:rsid w:val="727E3889"/>
    <w:rsid w:val="7287077D"/>
    <w:rsid w:val="72B648F6"/>
    <w:rsid w:val="72C36445"/>
    <w:rsid w:val="72C95EBC"/>
    <w:rsid w:val="72E826C1"/>
    <w:rsid w:val="72EE22E1"/>
    <w:rsid w:val="72F15B63"/>
    <w:rsid w:val="73005B71"/>
    <w:rsid w:val="731F5D5E"/>
    <w:rsid w:val="734142A1"/>
    <w:rsid w:val="734343DB"/>
    <w:rsid w:val="735073B5"/>
    <w:rsid w:val="73683E42"/>
    <w:rsid w:val="736D737B"/>
    <w:rsid w:val="73A147BC"/>
    <w:rsid w:val="73A938F6"/>
    <w:rsid w:val="73AA5579"/>
    <w:rsid w:val="73C53042"/>
    <w:rsid w:val="73CA68AB"/>
    <w:rsid w:val="73D94061"/>
    <w:rsid w:val="73E809FF"/>
    <w:rsid w:val="73FE2BC3"/>
    <w:rsid w:val="74123DAE"/>
    <w:rsid w:val="741E793C"/>
    <w:rsid w:val="742C66BC"/>
    <w:rsid w:val="743B2502"/>
    <w:rsid w:val="745C217C"/>
    <w:rsid w:val="746E30B6"/>
    <w:rsid w:val="746F23BF"/>
    <w:rsid w:val="74714F78"/>
    <w:rsid w:val="74741110"/>
    <w:rsid w:val="747B1953"/>
    <w:rsid w:val="7499002B"/>
    <w:rsid w:val="749F6F6C"/>
    <w:rsid w:val="74D715BA"/>
    <w:rsid w:val="74EC724B"/>
    <w:rsid w:val="74FA6D1C"/>
    <w:rsid w:val="74FB1915"/>
    <w:rsid w:val="750862E2"/>
    <w:rsid w:val="75104DC1"/>
    <w:rsid w:val="755C1784"/>
    <w:rsid w:val="758267DE"/>
    <w:rsid w:val="7586110B"/>
    <w:rsid w:val="758962F1"/>
    <w:rsid w:val="758D75E2"/>
    <w:rsid w:val="75D91271"/>
    <w:rsid w:val="75DB7747"/>
    <w:rsid w:val="75E410DD"/>
    <w:rsid w:val="75F95F54"/>
    <w:rsid w:val="75FB0F9D"/>
    <w:rsid w:val="76065377"/>
    <w:rsid w:val="760A5684"/>
    <w:rsid w:val="7615379C"/>
    <w:rsid w:val="7617011F"/>
    <w:rsid w:val="765863F0"/>
    <w:rsid w:val="76B178AE"/>
    <w:rsid w:val="76B67E66"/>
    <w:rsid w:val="76CE215A"/>
    <w:rsid w:val="76ED326A"/>
    <w:rsid w:val="76F00601"/>
    <w:rsid w:val="77000835"/>
    <w:rsid w:val="77013AD6"/>
    <w:rsid w:val="77185FAF"/>
    <w:rsid w:val="771C7B88"/>
    <w:rsid w:val="771F5EE9"/>
    <w:rsid w:val="7731279D"/>
    <w:rsid w:val="774626EC"/>
    <w:rsid w:val="77535EA9"/>
    <w:rsid w:val="77595A1B"/>
    <w:rsid w:val="77690189"/>
    <w:rsid w:val="77762421"/>
    <w:rsid w:val="7783347C"/>
    <w:rsid w:val="779B3FAF"/>
    <w:rsid w:val="779C7038"/>
    <w:rsid w:val="77C07548"/>
    <w:rsid w:val="77C41863"/>
    <w:rsid w:val="77DE7C81"/>
    <w:rsid w:val="77ED3C85"/>
    <w:rsid w:val="780F09F4"/>
    <w:rsid w:val="784D1858"/>
    <w:rsid w:val="78502106"/>
    <w:rsid w:val="78526AC7"/>
    <w:rsid w:val="78827056"/>
    <w:rsid w:val="788306BD"/>
    <w:rsid w:val="78841E66"/>
    <w:rsid w:val="788B2D70"/>
    <w:rsid w:val="789C4F47"/>
    <w:rsid w:val="78A90480"/>
    <w:rsid w:val="78DA53D3"/>
    <w:rsid w:val="78DB6F2A"/>
    <w:rsid w:val="78E169E6"/>
    <w:rsid w:val="790840DA"/>
    <w:rsid w:val="792412D5"/>
    <w:rsid w:val="792722E7"/>
    <w:rsid w:val="79346574"/>
    <w:rsid w:val="794931DC"/>
    <w:rsid w:val="7971346F"/>
    <w:rsid w:val="797B7924"/>
    <w:rsid w:val="79811327"/>
    <w:rsid w:val="79870D9A"/>
    <w:rsid w:val="7993773F"/>
    <w:rsid w:val="79AE4579"/>
    <w:rsid w:val="79B75241"/>
    <w:rsid w:val="79CC6BF9"/>
    <w:rsid w:val="79CD0EA3"/>
    <w:rsid w:val="79F65386"/>
    <w:rsid w:val="79FA5A10"/>
    <w:rsid w:val="7A067F11"/>
    <w:rsid w:val="7A081EDB"/>
    <w:rsid w:val="7A307020"/>
    <w:rsid w:val="7A364017"/>
    <w:rsid w:val="7A3E232F"/>
    <w:rsid w:val="7A472A59"/>
    <w:rsid w:val="7A70182E"/>
    <w:rsid w:val="7A74365B"/>
    <w:rsid w:val="7A8265E1"/>
    <w:rsid w:val="7A8509FA"/>
    <w:rsid w:val="7A9C719F"/>
    <w:rsid w:val="7AA66554"/>
    <w:rsid w:val="7AB13728"/>
    <w:rsid w:val="7AD448C1"/>
    <w:rsid w:val="7AE9586B"/>
    <w:rsid w:val="7AEE7F28"/>
    <w:rsid w:val="7B0354B7"/>
    <w:rsid w:val="7B063512"/>
    <w:rsid w:val="7B127A9E"/>
    <w:rsid w:val="7B250BA0"/>
    <w:rsid w:val="7B2D0C83"/>
    <w:rsid w:val="7B3D3E06"/>
    <w:rsid w:val="7B466BF9"/>
    <w:rsid w:val="7B5329EE"/>
    <w:rsid w:val="7B5F5B2A"/>
    <w:rsid w:val="7B623775"/>
    <w:rsid w:val="7B686D42"/>
    <w:rsid w:val="7B713AB0"/>
    <w:rsid w:val="7B841746"/>
    <w:rsid w:val="7B914152"/>
    <w:rsid w:val="7B9E2668"/>
    <w:rsid w:val="7BA50479"/>
    <w:rsid w:val="7BBA56A3"/>
    <w:rsid w:val="7BBD4410"/>
    <w:rsid w:val="7BEE5100"/>
    <w:rsid w:val="7BF422D7"/>
    <w:rsid w:val="7C1C3A1B"/>
    <w:rsid w:val="7C1C6930"/>
    <w:rsid w:val="7C2B222F"/>
    <w:rsid w:val="7C741AA9"/>
    <w:rsid w:val="7C8E43F7"/>
    <w:rsid w:val="7C8F4635"/>
    <w:rsid w:val="7CB361E5"/>
    <w:rsid w:val="7CF358FC"/>
    <w:rsid w:val="7D007C35"/>
    <w:rsid w:val="7D0239FF"/>
    <w:rsid w:val="7D2E7EAA"/>
    <w:rsid w:val="7D441EFF"/>
    <w:rsid w:val="7D4C1CF5"/>
    <w:rsid w:val="7D5E40CD"/>
    <w:rsid w:val="7D693BED"/>
    <w:rsid w:val="7D82055A"/>
    <w:rsid w:val="7DA513CC"/>
    <w:rsid w:val="7DB10C9B"/>
    <w:rsid w:val="7DC20C08"/>
    <w:rsid w:val="7DC53F1E"/>
    <w:rsid w:val="7DD105F0"/>
    <w:rsid w:val="7DF272CA"/>
    <w:rsid w:val="7DF75897"/>
    <w:rsid w:val="7E0F7BB3"/>
    <w:rsid w:val="7E153B4B"/>
    <w:rsid w:val="7E1626EC"/>
    <w:rsid w:val="7E17093E"/>
    <w:rsid w:val="7E202BAF"/>
    <w:rsid w:val="7E33100C"/>
    <w:rsid w:val="7E3C2A5A"/>
    <w:rsid w:val="7E857A5E"/>
    <w:rsid w:val="7EB919F5"/>
    <w:rsid w:val="7ED02886"/>
    <w:rsid w:val="7ED22AB7"/>
    <w:rsid w:val="7ED41263"/>
    <w:rsid w:val="7ED91E00"/>
    <w:rsid w:val="7EEF23BA"/>
    <w:rsid w:val="7EFB6657"/>
    <w:rsid w:val="7F1043DD"/>
    <w:rsid w:val="7F1D2EA8"/>
    <w:rsid w:val="7F240756"/>
    <w:rsid w:val="7F2A78BB"/>
    <w:rsid w:val="7F3070D2"/>
    <w:rsid w:val="7F49402C"/>
    <w:rsid w:val="7F4C4618"/>
    <w:rsid w:val="7F69727B"/>
    <w:rsid w:val="7F6A6A30"/>
    <w:rsid w:val="7FAE0E2E"/>
    <w:rsid w:val="7FCB5823"/>
    <w:rsid w:val="7FE47E50"/>
  </w:rsids>
  <m:mathPr>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0" w:semiHidden="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0" w:semiHidden="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6"/>
    <w:link w:val="51"/>
    <w:autoRedefine/>
    <w:unhideWhenUsed/>
    <w:qFormat/>
    <w:uiPriority w:val="0"/>
    <w:pPr>
      <w:keepNext/>
      <w:keepLines/>
      <w:spacing w:before="260" w:after="260" w:line="416" w:lineRule="auto"/>
      <w:outlineLvl w:val="1"/>
    </w:pPr>
    <w:rPr>
      <w:rFonts w:ascii="Cambria" w:hAnsi="Cambria"/>
      <w:b/>
      <w:bCs/>
      <w:sz w:val="32"/>
      <w:szCs w:val="32"/>
    </w:rPr>
  </w:style>
  <w:style w:type="paragraph" w:styleId="7">
    <w:name w:val="heading 3"/>
    <w:basedOn w:val="1"/>
    <w:next w:val="8"/>
    <w:link w:val="50"/>
    <w:autoRedefine/>
    <w:qFormat/>
    <w:uiPriority w:val="9"/>
    <w:pPr>
      <w:keepNext/>
      <w:keepLines/>
      <w:spacing w:before="260" w:after="260" w:line="416" w:lineRule="auto"/>
      <w:outlineLvl w:val="2"/>
    </w:pPr>
    <w:rPr>
      <w:b/>
      <w:bCs/>
      <w:sz w:val="32"/>
      <w:szCs w:val="32"/>
    </w:rPr>
  </w:style>
  <w:style w:type="paragraph" w:styleId="25">
    <w:name w:val="heading 4"/>
    <w:basedOn w:val="1"/>
    <w:next w:val="1"/>
    <w:link w:val="80"/>
    <w:autoRedefine/>
    <w:qFormat/>
    <w:uiPriority w:val="0"/>
    <w:pPr>
      <w:keepNext/>
      <w:keepLines/>
      <w:spacing w:before="280" w:after="290" w:line="376" w:lineRule="auto"/>
      <w:outlineLvl w:val="3"/>
    </w:pPr>
    <w:rPr>
      <w:rFonts w:ascii="等线 Light" w:hAnsi="等线 Light" w:eastAsia="等线 Light"/>
      <w:b/>
      <w:bCs/>
      <w:sz w:val="28"/>
      <w:szCs w:val="28"/>
    </w:rPr>
  </w:style>
  <w:style w:type="paragraph" w:styleId="26">
    <w:name w:val="heading 6"/>
    <w:basedOn w:val="1"/>
    <w:next w:val="1"/>
    <w:autoRedefine/>
    <w:unhideWhenUsed/>
    <w:qFormat/>
    <w:uiPriority w:val="0"/>
    <w:pPr>
      <w:ind w:left="4"/>
      <w:jc w:val="center"/>
      <w:outlineLvl w:val="5"/>
    </w:pPr>
    <w:rPr>
      <w:rFonts w:ascii="Microsoft JhengHei" w:hAnsi="Microsoft JhengHei" w:eastAsia="Microsoft JhengHei" w:cs="Microsoft JhengHei"/>
      <w:b/>
      <w:bCs/>
      <w:sz w:val="22"/>
      <w:szCs w:val="22"/>
      <w:lang w:val="zh-CN" w:bidi="zh-CN"/>
    </w:rPr>
  </w:style>
  <w:style w:type="character" w:default="1" w:styleId="44">
    <w:name w:val="Default Paragraph Font"/>
    <w:autoRedefine/>
    <w:unhideWhenUsed/>
    <w:qFormat/>
    <w:uiPriority w:val="1"/>
  </w:style>
  <w:style w:type="table" w:default="1" w:styleId="42">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header"/>
    <w:basedOn w:val="1"/>
    <w:link w:val="57"/>
    <w:autoRedefine/>
    <w:qFormat/>
    <w:uiPriority w:val="0"/>
    <w:pPr>
      <w:pBdr>
        <w:bottom w:val="single" w:color="auto" w:sz="6" w:space="1"/>
      </w:pBdr>
      <w:tabs>
        <w:tab w:val="center" w:pos="4153"/>
        <w:tab w:val="right" w:pos="8306"/>
      </w:tabs>
      <w:snapToGrid w:val="0"/>
      <w:jc w:val="center"/>
    </w:pPr>
    <w:rPr>
      <w:sz w:val="18"/>
      <w:szCs w:val="18"/>
    </w:rPr>
  </w:style>
  <w:style w:type="paragraph" w:styleId="3">
    <w:name w:val="macro"/>
    <w:link w:val="8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6">
    <w:name w:val="正文文字【小四，1.5倍行距，首行缩进2字】"/>
    <w:basedOn w:val="1"/>
    <w:autoRedefine/>
    <w:qFormat/>
    <w:uiPriority w:val="0"/>
    <w:pPr>
      <w:spacing w:line="360" w:lineRule="auto"/>
      <w:ind w:firstLine="480" w:firstLineChars="200"/>
      <w:jc w:val="left"/>
    </w:pPr>
    <w:rPr>
      <w:sz w:val="24"/>
    </w:rPr>
  </w:style>
  <w:style w:type="paragraph" w:styleId="8">
    <w:name w:val="Body Text First Indent 2"/>
    <w:basedOn w:val="9"/>
    <w:next w:val="22"/>
    <w:autoRedefine/>
    <w:qFormat/>
    <w:uiPriority w:val="0"/>
    <w:pPr>
      <w:ind w:firstLine="420" w:firstLineChars="200"/>
    </w:pPr>
  </w:style>
  <w:style w:type="paragraph" w:styleId="9">
    <w:name w:val="Body Text Indent"/>
    <w:basedOn w:val="1"/>
    <w:next w:val="10"/>
    <w:link w:val="70"/>
    <w:autoRedefine/>
    <w:semiHidden/>
    <w:qFormat/>
    <w:uiPriority w:val="0"/>
    <w:pPr>
      <w:spacing w:after="120"/>
      <w:ind w:left="420" w:leftChars="200"/>
    </w:pPr>
  </w:style>
  <w:style w:type="paragraph" w:customStyle="1" w:styleId="10">
    <w:name w:val="Default"/>
    <w:basedOn w:val="11"/>
    <w:next w:val="12"/>
    <w:autoRedefine/>
    <w:qFormat/>
    <w:uiPriority w:val="0"/>
    <w:pPr>
      <w:autoSpaceDE w:val="0"/>
      <w:autoSpaceDN w:val="0"/>
    </w:pPr>
    <w:rPr>
      <w:rFonts w:ascii="微软雅黑" w:hAnsi="Times New Roman" w:eastAsia="微软雅黑" w:cs="微软雅黑"/>
      <w:color w:val="000000"/>
      <w:sz w:val="24"/>
      <w:szCs w:val="24"/>
    </w:rPr>
  </w:style>
  <w:style w:type="paragraph" w:customStyle="1" w:styleId="11">
    <w:name w:val="纯文本1"/>
    <w:basedOn w:val="1"/>
    <w:autoRedefine/>
    <w:qFormat/>
    <w:uiPriority w:val="0"/>
    <w:pPr>
      <w:adjustRightInd w:val="0"/>
    </w:pPr>
    <w:rPr>
      <w:rFonts w:ascii="宋体" w:hAnsi="Courier New"/>
      <w:szCs w:val="20"/>
    </w:rPr>
  </w:style>
  <w:style w:type="paragraph" w:customStyle="1" w:styleId="12">
    <w:name w:val="样式35"/>
    <w:next w:val="13"/>
    <w:autoRedefine/>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3">
    <w:name w:val="font6"/>
    <w:basedOn w:val="1"/>
    <w:next w:val="14"/>
    <w:autoRedefine/>
    <w:qFormat/>
    <w:uiPriority w:val="0"/>
    <w:pPr>
      <w:widowControl/>
      <w:spacing w:before="100" w:beforeAutospacing="1" w:after="100" w:afterAutospacing="1"/>
      <w:jc w:val="left"/>
    </w:pPr>
    <w:rPr>
      <w:rFonts w:eastAsia="Arial Unicode MS"/>
      <w:kern w:val="0"/>
      <w:sz w:val="24"/>
    </w:rPr>
  </w:style>
  <w:style w:type="paragraph" w:styleId="14">
    <w:name w:val="toc 2"/>
    <w:basedOn w:val="1"/>
    <w:next w:val="15"/>
    <w:autoRedefine/>
    <w:qFormat/>
    <w:uiPriority w:val="39"/>
    <w:pPr>
      <w:ind w:left="210"/>
      <w:jc w:val="left"/>
    </w:pPr>
    <w:rPr>
      <w:smallCaps/>
      <w:sz w:val="24"/>
      <w:szCs w:val="20"/>
    </w:rPr>
  </w:style>
  <w:style w:type="paragraph" w:styleId="15">
    <w:name w:val="E-mail Signature"/>
    <w:basedOn w:val="1"/>
    <w:next w:val="16"/>
    <w:autoRedefine/>
    <w:qFormat/>
    <w:uiPriority w:val="99"/>
    <w:pPr>
      <w:spacing w:line="460" w:lineRule="exact"/>
      <w:ind w:firstLine="200"/>
    </w:pPr>
  </w:style>
  <w:style w:type="paragraph" w:customStyle="1" w:styleId="16">
    <w:name w:val="文章"/>
    <w:next w:val="17"/>
    <w:autoRedefine/>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7">
    <w:name w:val="List"/>
    <w:basedOn w:val="1"/>
    <w:next w:val="18"/>
    <w:autoRedefine/>
    <w:qFormat/>
    <w:uiPriority w:val="0"/>
    <w:pPr>
      <w:ind w:left="420" w:hanging="420"/>
    </w:pPr>
    <w:rPr>
      <w:sz w:val="28"/>
      <w:szCs w:val="20"/>
    </w:rPr>
  </w:style>
  <w:style w:type="paragraph" w:styleId="18">
    <w:name w:val="List Bullet 2"/>
    <w:basedOn w:val="1"/>
    <w:next w:val="19"/>
    <w:autoRedefine/>
    <w:unhideWhenUsed/>
    <w:qFormat/>
    <w:uiPriority w:val="0"/>
    <w:pPr>
      <w:numPr>
        <w:ilvl w:val="0"/>
        <w:numId w:val="1"/>
      </w:numPr>
    </w:pPr>
  </w:style>
  <w:style w:type="paragraph" w:customStyle="1" w:styleId="19">
    <w:name w:val="xl70"/>
    <w:basedOn w:val="1"/>
    <w:next w:val="20"/>
    <w:autoRedefine/>
    <w:qFormat/>
    <w:uiPriority w:val="0"/>
    <w:pPr>
      <w:widowControl/>
      <w:spacing w:before="280" w:after="280"/>
    </w:pPr>
    <w:rPr>
      <w:rFonts w:ascii="宋体"/>
    </w:rPr>
  </w:style>
  <w:style w:type="paragraph" w:customStyle="1" w:styleId="20">
    <w:name w:val="正文缩进1"/>
    <w:basedOn w:val="1"/>
    <w:next w:val="21"/>
    <w:autoRedefine/>
    <w:qFormat/>
    <w:uiPriority w:val="0"/>
    <w:pPr>
      <w:ind w:firstLine="420"/>
    </w:pPr>
    <w:rPr>
      <w:rFonts w:ascii="宋体"/>
      <w:sz w:val="28"/>
    </w:rPr>
  </w:style>
  <w:style w:type="paragraph" w:customStyle="1" w:styleId="21">
    <w:name w:val="td1"/>
    <w:basedOn w:val="1"/>
    <w:next w:val="1"/>
    <w:autoRedefine/>
    <w:qFormat/>
    <w:uiPriority w:val="0"/>
    <w:pPr>
      <w:widowControl/>
      <w:spacing w:before="280" w:after="280" w:line="300" w:lineRule="atLeast"/>
      <w:ind w:firstLine="200"/>
    </w:pPr>
    <w:rPr>
      <w:color w:val="000000"/>
      <w:sz w:val="18"/>
    </w:rPr>
  </w:style>
  <w:style w:type="paragraph" w:styleId="22">
    <w:name w:val="Body Text First Indent"/>
    <w:basedOn w:val="23"/>
    <w:next w:val="1"/>
    <w:link w:val="103"/>
    <w:autoRedefine/>
    <w:qFormat/>
    <w:uiPriority w:val="0"/>
    <w:pPr>
      <w:ind w:firstLine="420" w:firstLineChars="100"/>
    </w:pPr>
  </w:style>
  <w:style w:type="paragraph" w:styleId="23">
    <w:name w:val="Body Text"/>
    <w:basedOn w:val="1"/>
    <w:next w:val="24"/>
    <w:link w:val="59"/>
    <w:autoRedefine/>
    <w:qFormat/>
    <w:uiPriority w:val="0"/>
    <w:pPr>
      <w:widowControl/>
      <w:snapToGrid w:val="0"/>
      <w:spacing w:before="60" w:after="160" w:line="259" w:lineRule="auto"/>
      <w:ind w:right="113"/>
    </w:pPr>
    <w:rPr>
      <w:kern w:val="0"/>
      <w:sz w:val="18"/>
      <w:szCs w:val="18"/>
    </w:rPr>
  </w:style>
  <w:style w:type="paragraph" w:customStyle="1" w:styleId="24">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styleId="27">
    <w:name w:val="Normal Indent"/>
    <w:basedOn w:val="1"/>
    <w:autoRedefine/>
    <w:qFormat/>
    <w:uiPriority w:val="0"/>
    <w:pPr>
      <w:ind w:firstLine="420"/>
    </w:pPr>
  </w:style>
  <w:style w:type="paragraph" w:styleId="28">
    <w:name w:val="caption"/>
    <w:basedOn w:val="1"/>
    <w:next w:val="1"/>
    <w:autoRedefine/>
    <w:qFormat/>
    <w:uiPriority w:val="0"/>
    <w:pPr>
      <w:spacing w:line="360" w:lineRule="auto"/>
      <w:jc w:val="center"/>
    </w:pPr>
    <w:rPr>
      <w:rFonts w:eastAsia="楷体_GB2312"/>
      <w:szCs w:val="20"/>
    </w:rPr>
  </w:style>
  <w:style w:type="paragraph" w:styleId="29">
    <w:name w:val="Document Map"/>
    <w:basedOn w:val="1"/>
    <w:link w:val="116"/>
    <w:autoRedefine/>
    <w:qFormat/>
    <w:uiPriority w:val="0"/>
    <w:rPr>
      <w:rFonts w:ascii="宋体"/>
      <w:sz w:val="18"/>
      <w:szCs w:val="18"/>
    </w:rPr>
  </w:style>
  <w:style w:type="paragraph" w:styleId="30">
    <w:name w:val="annotation text"/>
    <w:basedOn w:val="1"/>
    <w:link w:val="68"/>
    <w:autoRedefine/>
    <w:qFormat/>
    <w:uiPriority w:val="99"/>
    <w:pPr>
      <w:jc w:val="left"/>
    </w:pPr>
    <w:rPr>
      <w:kern w:val="0"/>
      <w:sz w:val="20"/>
    </w:rPr>
  </w:style>
  <w:style w:type="paragraph" w:styleId="31">
    <w:name w:val="Plain Text"/>
    <w:basedOn w:val="1"/>
    <w:next w:val="10"/>
    <w:link w:val="96"/>
    <w:autoRedefine/>
    <w:qFormat/>
    <w:uiPriority w:val="0"/>
    <w:pPr>
      <w:widowControl/>
      <w:autoSpaceDE w:val="0"/>
      <w:autoSpaceDN w:val="0"/>
      <w:adjustRightInd w:val="0"/>
      <w:spacing w:line="360" w:lineRule="auto"/>
      <w:jc w:val="left"/>
    </w:pPr>
    <w:rPr>
      <w:rFonts w:ascii="宋体"/>
      <w:kern w:val="0"/>
      <w:sz w:val="24"/>
      <w:szCs w:val="20"/>
    </w:rPr>
  </w:style>
  <w:style w:type="paragraph" w:styleId="32">
    <w:name w:val="Date"/>
    <w:basedOn w:val="1"/>
    <w:next w:val="1"/>
    <w:link w:val="61"/>
    <w:autoRedefine/>
    <w:qFormat/>
    <w:uiPriority w:val="0"/>
    <w:pPr>
      <w:ind w:left="100" w:leftChars="2500"/>
    </w:pPr>
    <w:rPr>
      <w:kern w:val="0"/>
      <w:sz w:val="20"/>
    </w:rPr>
  </w:style>
  <w:style w:type="paragraph" w:styleId="33">
    <w:name w:val="Body Text Indent 2"/>
    <w:basedOn w:val="1"/>
    <w:next w:val="1"/>
    <w:link w:val="102"/>
    <w:autoRedefine/>
    <w:qFormat/>
    <w:uiPriority w:val="99"/>
    <w:pPr>
      <w:spacing w:after="120" w:line="480" w:lineRule="auto"/>
      <w:ind w:left="420" w:leftChars="200"/>
    </w:pPr>
  </w:style>
  <w:style w:type="paragraph" w:styleId="34">
    <w:name w:val="Balloon Text"/>
    <w:basedOn w:val="1"/>
    <w:link w:val="67"/>
    <w:autoRedefine/>
    <w:semiHidden/>
    <w:qFormat/>
    <w:uiPriority w:val="0"/>
    <w:rPr>
      <w:sz w:val="18"/>
      <w:szCs w:val="18"/>
    </w:rPr>
  </w:style>
  <w:style w:type="paragraph" w:styleId="35">
    <w:name w:val="footer"/>
    <w:basedOn w:val="1"/>
    <w:link w:val="58"/>
    <w:autoRedefine/>
    <w:qFormat/>
    <w:uiPriority w:val="99"/>
    <w:pPr>
      <w:tabs>
        <w:tab w:val="center" w:pos="4153"/>
        <w:tab w:val="right" w:pos="8306"/>
      </w:tabs>
      <w:snapToGrid w:val="0"/>
      <w:jc w:val="left"/>
    </w:pPr>
    <w:rPr>
      <w:sz w:val="18"/>
      <w:szCs w:val="18"/>
    </w:rPr>
  </w:style>
  <w:style w:type="paragraph" w:styleId="36">
    <w:name w:val="toc 1"/>
    <w:basedOn w:val="1"/>
    <w:next w:val="1"/>
    <w:autoRedefine/>
    <w:qFormat/>
    <w:uiPriority w:val="39"/>
  </w:style>
  <w:style w:type="paragraph" w:styleId="37">
    <w:name w:val="Body Text 2"/>
    <w:basedOn w:val="1"/>
    <w:link w:val="79"/>
    <w:autoRedefine/>
    <w:qFormat/>
    <w:uiPriority w:val="0"/>
    <w:pPr>
      <w:spacing w:after="120" w:line="480" w:lineRule="auto"/>
    </w:pPr>
  </w:style>
  <w:style w:type="paragraph" w:styleId="38">
    <w:name w:val="Message Header"/>
    <w:basedOn w:val="1"/>
    <w:next w:val="1"/>
    <w:autoRedefine/>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39">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0">
    <w:name w:val="Normal (Web)"/>
    <w:basedOn w:val="1"/>
    <w:link w:val="60"/>
    <w:autoRedefine/>
    <w:qFormat/>
    <w:uiPriority w:val="0"/>
    <w:pPr>
      <w:widowControl/>
      <w:spacing w:before="100" w:beforeAutospacing="1" w:after="100" w:afterAutospacing="1"/>
      <w:jc w:val="left"/>
    </w:pPr>
    <w:rPr>
      <w:rFonts w:ascii="宋体" w:hAnsi="宋体"/>
      <w:kern w:val="0"/>
      <w:sz w:val="24"/>
    </w:rPr>
  </w:style>
  <w:style w:type="paragraph" w:styleId="41">
    <w:name w:val="annotation subject"/>
    <w:basedOn w:val="30"/>
    <w:next w:val="30"/>
    <w:link w:val="71"/>
    <w:autoRedefine/>
    <w:semiHidden/>
    <w:qFormat/>
    <w:uiPriority w:val="0"/>
    <w:rPr>
      <w:b/>
      <w:bCs/>
    </w:rPr>
  </w:style>
  <w:style w:type="table" w:styleId="43">
    <w:name w:val="Table Grid"/>
    <w:basedOn w:val="4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basedOn w:val="44"/>
    <w:autoRedefine/>
    <w:qFormat/>
    <w:uiPriority w:val="22"/>
    <w:rPr>
      <w:b/>
      <w:bCs/>
    </w:rPr>
  </w:style>
  <w:style w:type="character" w:styleId="46">
    <w:name w:val="page number"/>
    <w:basedOn w:val="44"/>
    <w:autoRedefine/>
    <w:qFormat/>
    <w:uiPriority w:val="0"/>
  </w:style>
  <w:style w:type="character" w:styleId="47">
    <w:name w:val="Emphasis"/>
    <w:basedOn w:val="44"/>
    <w:autoRedefine/>
    <w:qFormat/>
    <w:uiPriority w:val="20"/>
    <w:rPr>
      <w:i/>
      <w:iCs/>
    </w:rPr>
  </w:style>
  <w:style w:type="character" w:styleId="48">
    <w:name w:val="Hyperlink"/>
    <w:autoRedefine/>
    <w:qFormat/>
    <w:uiPriority w:val="99"/>
    <w:rPr>
      <w:color w:val="0000FF"/>
      <w:u w:val="single"/>
    </w:rPr>
  </w:style>
  <w:style w:type="character" w:styleId="49">
    <w:name w:val="annotation reference"/>
    <w:autoRedefine/>
    <w:semiHidden/>
    <w:qFormat/>
    <w:uiPriority w:val="99"/>
    <w:rPr>
      <w:sz w:val="21"/>
    </w:rPr>
  </w:style>
  <w:style w:type="character" w:customStyle="1" w:styleId="50">
    <w:name w:val="标题 3 Char"/>
    <w:link w:val="7"/>
    <w:autoRedefine/>
    <w:qFormat/>
    <w:uiPriority w:val="9"/>
    <w:rPr>
      <w:b/>
      <w:bCs/>
      <w:kern w:val="2"/>
      <w:sz w:val="32"/>
      <w:szCs w:val="32"/>
    </w:rPr>
  </w:style>
  <w:style w:type="character" w:customStyle="1" w:styleId="51">
    <w:name w:val="标题 2 Char"/>
    <w:link w:val="5"/>
    <w:autoRedefine/>
    <w:semiHidden/>
    <w:qFormat/>
    <w:uiPriority w:val="0"/>
    <w:rPr>
      <w:rFonts w:ascii="Cambria" w:hAnsi="Cambria" w:eastAsia="宋体" w:cs="Times New Roman"/>
      <w:b/>
      <w:bCs/>
      <w:kern w:val="2"/>
      <w:sz w:val="32"/>
      <w:szCs w:val="32"/>
    </w:rPr>
  </w:style>
  <w:style w:type="paragraph" w:customStyle="1" w:styleId="52">
    <w:name w:val="样式 正文文字缩进 + 小四 首行缩进:  2 字符"/>
    <w:autoRedefine/>
    <w:qFormat/>
    <w:uiPriority w:val="0"/>
    <w:pPr>
      <w:widowControl w:val="0"/>
      <w:tabs>
        <w:tab w:val="left" w:pos="0"/>
      </w:tabs>
      <w:spacing w:line="600" w:lineRule="exact"/>
      <w:jc w:val="center"/>
    </w:pPr>
    <w:rPr>
      <w:rFonts w:ascii="Times New Roman" w:hAnsi="Times New Roman" w:eastAsia="宋体" w:cs="Times New Roman"/>
      <w:b/>
      <w:kern w:val="2"/>
      <w:sz w:val="21"/>
      <w:szCs w:val="24"/>
      <w:u w:val="double"/>
      <w:lang w:val="en-US" w:eastAsia="zh-CN" w:bidi="ar-SA"/>
    </w:rPr>
  </w:style>
  <w:style w:type="paragraph" w:customStyle="1" w:styleId="53">
    <w:name w:val="0水保正文"/>
    <w:basedOn w:val="1"/>
    <w:autoRedefine/>
    <w:qFormat/>
    <w:uiPriority w:val="0"/>
    <w:pPr>
      <w:ind w:firstLine="480"/>
    </w:pPr>
    <w:rPr>
      <w:rFonts w:ascii="Times New Roman" w:hAnsi="Times New Roman"/>
      <w:snapToGrid w:val="0"/>
      <w:color w:val="000000"/>
      <w:kern w:val="0"/>
    </w:rPr>
  </w:style>
  <w:style w:type="paragraph" w:customStyle="1" w:styleId="54">
    <w:name w:val="样式 标题 1 + 四号 段前: 0 磅 段后: 0 磅 行距: 1.5 倍行距"/>
    <w:basedOn w:val="55"/>
    <w:next w:val="1"/>
    <w:autoRedefine/>
    <w:qFormat/>
    <w:uiPriority w:val="0"/>
    <w:pPr>
      <w:spacing w:line="360" w:lineRule="auto"/>
      <w:jc w:val="center"/>
    </w:pPr>
    <w:rPr>
      <w:sz w:val="24"/>
    </w:rPr>
  </w:style>
  <w:style w:type="paragraph" w:customStyle="1" w:styleId="55">
    <w:name w:val="1正文"/>
    <w:basedOn w:val="1"/>
    <w:autoRedefine/>
    <w:qFormat/>
    <w:uiPriority w:val="0"/>
    <w:pPr>
      <w:spacing w:line="500" w:lineRule="exact"/>
      <w:ind w:firstLine="588" w:firstLineChars="196"/>
    </w:pPr>
    <w:rPr>
      <w:rFonts w:eastAsia="楷体_GB2312"/>
      <w:sz w:val="30"/>
      <w:szCs w:val="30"/>
    </w:rPr>
  </w:style>
  <w:style w:type="paragraph" w:customStyle="1" w:styleId="56">
    <w:name w:val="文本正文"/>
    <w:basedOn w:val="1"/>
    <w:autoRedefine/>
    <w:qFormat/>
    <w:uiPriority w:val="0"/>
    <w:pPr>
      <w:snapToGrid w:val="0"/>
      <w:spacing w:line="360" w:lineRule="auto"/>
      <w:ind w:firstLine="510"/>
      <w:jc w:val="left"/>
    </w:pPr>
    <w:rPr>
      <w:spacing w:val="4"/>
      <w:kern w:val="24"/>
      <w:lang w:val="zh-CN"/>
    </w:rPr>
  </w:style>
  <w:style w:type="character" w:customStyle="1" w:styleId="57">
    <w:name w:val="页眉 Char"/>
    <w:link w:val="2"/>
    <w:autoRedefine/>
    <w:qFormat/>
    <w:uiPriority w:val="0"/>
    <w:rPr>
      <w:rFonts w:cs="Times New Roman"/>
      <w:sz w:val="18"/>
      <w:szCs w:val="18"/>
    </w:rPr>
  </w:style>
  <w:style w:type="character" w:customStyle="1" w:styleId="58">
    <w:name w:val="页脚 Char"/>
    <w:link w:val="35"/>
    <w:autoRedefine/>
    <w:qFormat/>
    <w:uiPriority w:val="99"/>
    <w:rPr>
      <w:rFonts w:cs="Times New Roman"/>
      <w:sz w:val="18"/>
      <w:szCs w:val="18"/>
    </w:rPr>
  </w:style>
  <w:style w:type="character" w:customStyle="1" w:styleId="59">
    <w:name w:val="正文文本 Char"/>
    <w:link w:val="23"/>
    <w:autoRedefine/>
    <w:qFormat/>
    <w:uiPriority w:val="0"/>
    <w:rPr>
      <w:sz w:val="18"/>
    </w:rPr>
  </w:style>
  <w:style w:type="character" w:customStyle="1" w:styleId="60">
    <w:name w:val="普通(网站) Char1"/>
    <w:link w:val="40"/>
    <w:autoRedefine/>
    <w:qFormat/>
    <w:uiPriority w:val="0"/>
    <w:rPr>
      <w:rFonts w:ascii="宋体" w:hAnsi="宋体" w:eastAsia="宋体"/>
      <w:sz w:val="24"/>
    </w:rPr>
  </w:style>
  <w:style w:type="character" w:customStyle="1" w:styleId="61">
    <w:name w:val="日期 Char"/>
    <w:link w:val="32"/>
    <w:autoRedefine/>
    <w:qFormat/>
    <w:uiPriority w:val="0"/>
    <w:rPr>
      <w:rFonts w:ascii="Times New Roman" w:hAnsi="Times New Roman" w:eastAsia="宋体"/>
      <w:sz w:val="24"/>
    </w:rPr>
  </w:style>
  <w:style w:type="character" w:customStyle="1" w:styleId="62">
    <w:name w:val="日期 字符"/>
    <w:autoRedefine/>
    <w:semiHidden/>
    <w:qFormat/>
    <w:uiPriority w:val="0"/>
    <w:rPr>
      <w:rFonts w:ascii="Times New Roman" w:hAnsi="Times New Roman" w:eastAsia="宋体" w:cs="Times New Roman"/>
      <w:sz w:val="24"/>
      <w:szCs w:val="24"/>
    </w:rPr>
  </w:style>
  <w:style w:type="character" w:customStyle="1" w:styleId="63">
    <w:name w:val="正文文本 字符1"/>
    <w:autoRedefine/>
    <w:semiHidden/>
    <w:qFormat/>
    <w:uiPriority w:val="0"/>
    <w:rPr>
      <w:rFonts w:ascii="Times New Roman" w:hAnsi="Times New Roman" w:eastAsia="宋体" w:cs="Times New Roman"/>
      <w:sz w:val="24"/>
      <w:szCs w:val="24"/>
    </w:rPr>
  </w:style>
  <w:style w:type="paragraph" w:customStyle="1" w:styleId="64">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65">
    <w:name w:val="表格 Char"/>
    <w:link w:val="66"/>
    <w:autoRedefine/>
    <w:qFormat/>
    <w:uiPriority w:val="0"/>
    <w:rPr>
      <w:rFonts w:ascii="宋体"/>
      <w:sz w:val="21"/>
    </w:rPr>
  </w:style>
  <w:style w:type="paragraph" w:customStyle="1" w:styleId="66">
    <w:name w:val="表格"/>
    <w:basedOn w:val="1"/>
    <w:link w:val="65"/>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67">
    <w:name w:val="批注框文本 Char"/>
    <w:link w:val="34"/>
    <w:autoRedefine/>
    <w:semiHidden/>
    <w:qFormat/>
    <w:uiPriority w:val="0"/>
    <w:rPr>
      <w:rFonts w:ascii="Times New Roman" w:hAnsi="Times New Roman" w:eastAsia="宋体" w:cs="Times New Roman"/>
      <w:sz w:val="18"/>
      <w:szCs w:val="18"/>
    </w:rPr>
  </w:style>
  <w:style w:type="character" w:customStyle="1" w:styleId="68">
    <w:name w:val="批注文字 Char1"/>
    <w:link w:val="30"/>
    <w:autoRedefine/>
    <w:qFormat/>
    <w:uiPriority w:val="0"/>
    <w:rPr>
      <w:rFonts w:ascii="Times New Roman" w:hAnsi="Times New Roman" w:eastAsia="宋体"/>
      <w:sz w:val="24"/>
    </w:rPr>
  </w:style>
  <w:style w:type="character" w:customStyle="1" w:styleId="69">
    <w:name w:val="批注文字 字符1"/>
    <w:autoRedefine/>
    <w:semiHidden/>
    <w:qFormat/>
    <w:uiPriority w:val="0"/>
    <w:rPr>
      <w:rFonts w:ascii="Times New Roman" w:hAnsi="Times New Roman" w:eastAsia="宋体" w:cs="Times New Roman"/>
      <w:sz w:val="24"/>
      <w:szCs w:val="24"/>
    </w:rPr>
  </w:style>
  <w:style w:type="character" w:customStyle="1" w:styleId="70">
    <w:name w:val="正文文本缩进 Char"/>
    <w:link w:val="9"/>
    <w:autoRedefine/>
    <w:semiHidden/>
    <w:qFormat/>
    <w:uiPriority w:val="0"/>
    <w:rPr>
      <w:rFonts w:ascii="Times New Roman" w:hAnsi="Times New Roman" w:eastAsia="宋体" w:cs="Times New Roman"/>
      <w:sz w:val="24"/>
      <w:szCs w:val="24"/>
    </w:rPr>
  </w:style>
  <w:style w:type="character" w:customStyle="1" w:styleId="71">
    <w:name w:val="批注主题 Char"/>
    <w:link w:val="41"/>
    <w:autoRedefine/>
    <w:semiHidden/>
    <w:qFormat/>
    <w:uiPriority w:val="0"/>
    <w:rPr>
      <w:rFonts w:ascii="Times New Roman" w:hAnsi="Times New Roman" w:eastAsia="宋体" w:cs="Times New Roman"/>
      <w:b/>
      <w:bCs/>
      <w:kern w:val="2"/>
      <w:sz w:val="24"/>
      <w:szCs w:val="24"/>
    </w:rPr>
  </w:style>
  <w:style w:type="character" w:customStyle="1" w:styleId="72">
    <w:name w:val="普通(网站) Char"/>
    <w:autoRedefine/>
    <w:qFormat/>
    <w:uiPriority w:val="0"/>
    <w:rPr>
      <w:rFonts w:ascii="宋体" w:hAnsi="宋体" w:eastAsia="宋体"/>
      <w:sz w:val="24"/>
    </w:rPr>
  </w:style>
  <w:style w:type="paragraph" w:customStyle="1" w:styleId="73">
    <w:name w:val="无间隔1"/>
    <w:autoRedefine/>
    <w:qFormat/>
    <w:uiPriority w:val="1"/>
    <w:pPr>
      <w:widowControl w:val="0"/>
    </w:pPr>
    <w:rPr>
      <w:rFonts w:ascii="Times New Roman" w:hAnsi="Times New Roman" w:eastAsia="仿宋_GB2312" w:cs="Times New Roman"/>
      <w:kern w:val="2"/>
      <w:sz w:val="21"/>
      <w:szCs w:val="24"/>
      <w:lang w:val="en-US" w:eastAsia="zh-CN" w:bidi="ar-SA"/>
    </w:rPr>
  </w:style>
  <w:style w:type="paragraph" w:customStyle="1" w:styleId="74">
    <w:name w:val="表格名"/>
    <w:basedOn w:val="73"/>
    <w:autoRedefine/>
    <w:qFormat/>
    <w:uiPriority w:val="0"/>
    <w:pPr>
      <w:ind w:firstLine="200" w:firstLineChars="200"/>
      <w:jc w:val="both"/>
    </w:pPr>
    <w:rPr>
      <w:sz w:val="24"/>
    </w:rPr>
  </w:style>
  <w:style w:type="character" w:customStyle="1" w:styleId="75">
    <w:name w:val="正文格式 Char"/>
    <w:link w:val="76"/>
    <w:autoRedefine/>
    <w:qFormat/>
    <w:uiPriority w:val="0"/>
    <w:rPr>
      <w:rFonts w:eastAsia="仿宋_GB2312"/>
      <w:kern w:val="2"/>
      <w:sz w:val="24"/>
      <w:szCs w:val="22"/>
    </w:rPr>
  </w:style>
  <w:style w:type="paragraph" w:customStyle="1" w:styleId="76">
    <w:name w:val="正文格式"/>
    <w:basedOn w:val="1"/>
    <w:link w:val="75"/>
    <w:autoRedefine/>
    <w:qFormat/>
    <w:uiPriority w:val="0"/>
    <w:pPr>
      <w:spacing w:line="360" w:lineRule="auto"/>
      <w:ind w:firstLine="480" w:firstLineChars="200"/>
      <w:jc w:val="left"/>
    </w:pPr>
    <w:rPr>
      <w:rFonts w:eastAsia="仿宋_GB2312"/>
      <w:sz w:val="24"/>
      <w:szCs w:val="22"/>
    </w:rPr>
  </w:style>
  <w:style w:type="character" w:customStyle="1" w:styleId="77">
    <w:name w:val="表格文字 Char"/>
    <w:link w:val="78"/>
    <w:autoRedefine/>
    <w:qFormat/>
    <w:uiPriority w:val="0"/>
    <w:rPr>
      <w:rFonts w:eastAsia="仿宋_GB2312"/>
      <w:spacing w:val="-8"/>
      <w:kern w:val="2"/>
      <w:sz w:val="21"/>
    </w:rPr>
  </w:style>
  <w:style w:type="paragraph" w:customStyle="1" w:styleId="78">
    <w:name w:val="表格文字"/>
    <w:basedOn w:val="37"/>
    <w:next w:val="23"/>
    <w:link w:val="77"/>
    <w:autoRedefine/>
    <w:qFormat/>
    <w:uiPriority w:val="0"/>
    <w:pPr>
      <w:adjustRightInd w:val="0"/>
      <w:spacing w:after="0" w:line="240" w:lineRule="auto"/>
      <w:jc w:val="center"/>
      <w:textAlignment w:val="center"/>
    </w:pPr>
    <w:rPr>
      <w:rFonts w:eastAsia="仿宋_GB2312"/>
      <w:spacing w:val="-8"/>
      <w:szCs w:val="20"/>
    </w:rPr>
  </w:style>
  <w:style w:type="character" w:customStyle="1" w:styleId="79">
    <w:name w:val="正文文本 2 Char"/>
    <w:link w:val="37"/>
    <w:autoRedefine/>
    <w:qFormat/>
    <w:uiPriority w:val="0"/>
    <w:rPr>
      <w:kern w:val="2"/>
      <w:sz w:val="21"/>
      <w:szCs w:val="24"/>
    </w:rPr>
  </w:style>
  <w:style w:type="character" w:customStyle="1" w:styleId="80">
    <w:name w:val="标题 4 Char"/>
    <w:link w:val="25"/>
    <w:autoRedefine/>
    <w:qFormat/>
    <w:uiPriority w:val="0"/>
    <w:rPr>
      <w:rFonts w:ascii="等线 Light" w:hAnsi="等线 Light" w:eastAsia="等线 Light"/>
      <w:b/>
      <w:bCs/>
      <w:kern w:val="2"/>
      <w:sz w:val="28"/>
      <w:szCs w:val="28"/>
    </w:rPr>
  </w:style>
  <w:style w:type="character" w:customStyle="1" w:styleId="81">
    <w:name w:val="宏文本 Char"/>
    <w:link w:val="3"/>
    <w:autoRedefine/>
    <w:qFormat/>
    <w:uiPriority w:val="0"/>
    <w:rPr>
      <w:rFonts w:ascii="Courier New" w:hAnsi="Courier New" w:cs="Courier New"/>
      <w:kern w:val="2"/>
      <w:sz w:val="24"/>
      <w:szCs w:val="24"/>
    </w:rPr>
  </w:style>
  <w:style w:type="character" w:customStyle="1" w:styleId="82">
    <w:name w:val="font132"/>
    <w:autoRedefine/>
    <w:qFormat/>
    <w:uiPriority w:val="0"/>
    <w:rPr>
      <w:rFonts w:hint="default" w:ascii="Times New Roman" w:hAnsi="Times New Roman" w:cs="Times New Roman"/>
      <w:b/>
      <w:bCs/>
      <w:color w:val="000000"/>
      <w:sz w:val="18"/>
      <w:szCs w:val="18"/>
      <w:u w:val="none"/>
      <w:vertAlign w:val="superscript"/>
    </w:rPr>
  </w:style>
  <w:style w:type="paragraph" w:customStyle="1" w:styleId="83">
    <w:name w:val="Char Char Char Char Char Char"/>
    <w:basedOn w:val="1"/>
    <w:next w:val="3"/>
    <w:autoRedefine/>
    <w:qFormat/>
    <w:uiPriority w:val="0"/>
    <w:rPr>
      <w:szCs w:val="20"/>
    </w:rPr>
  </w:style>
  <w:style w:type="paragraph" w:customStyle="1" w:styleId="84">
    <w:name w:val="页眉 RR"/>
    <w:basedOn w:val="2"/>
    <w:autoRedefine/>
    <w:qFormat/>
    <w:uiPriority w:val="0"/>
    <w:pPr>
      <w:tabs>
        <w:tab w:val="center" w:pos="4156"/>
        <w:tab w:val="right" w:pos="8312"/>
        <w:tab w:val="clear" w:pos="4153"/>
        <w:tab w:val="clear" w:pos="8306"/>
      </w:tabs>
    </w:pPr>
  </w:style>
  <w:style w:type="paragraph" w:customStyle="1" w:styleId="85">
    <w:name w:val="TOC 标题1"/>
    <w:basedOn w:val="4"/>
    <w:next w:val="1"/>
    <w:autoRedefine/>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86">
    <w:name w:val="目录 21"/>
    <w:basedOn w:val="1"/>
    <w:next w:val="1"/>
    <w:autoRedefine/>
    <w:unhideWhenUsed/>
    <w:qFormat/>
    <w:uiPriority w:val="39"/>
    <w:pPr>
      <w:widowControl/>
      <w:spacing w:after="100" w:line="276" w:lineRule="auto"/>
      <w:ind w:left="220"/>
      <w:jc w:val="left"/>
    </w:pPr>
    <w:rPr>
      <w:rFonts w:ascii="Calibri" w:hAnsi="Calibri"/>
      <w:kern w:val="0"/>
      <w:sz w:val="22"/>
      <w:szCs w:val="22"/>
    </w:rPr>
  </w:style>
  <w:style w:type="paragraph" w:customStyle="1" w:styleId="87">
    <w:name w:val="目录 11"/>
    <w:basedOn w:val="1"/>
    <w:next w:val="1"/>
    <w:autoRedefine/>
    <w:unhideWhenUsed/>
    <w:qFormat/>
    <w:uiPriority w:val="39"/>
    <w:pPr>
      <w:widowControl/>
      <w:spacing w:after="100" w:line="276" w:lineRule="auto"/>
      <w:jc w:val="left"/>
    </w:pPr>
    <w:rPr>
      <w:rFonts w:ascii="Calibri" w:hAnsi="Calibri"/>
      <w:kern w:val="0"/>
      <w:sz w:val="22"/>
      <w:szCs w:val="22"/>
    </w:rPr>
  </w:style>
  <w:style w:type="paragraph" w:customStyle="1" w:styleId="88">
    <w:name w:val="目录 31"/>
    <w:basedOn w:val="1"/>
    <w:next w:val="1"/>
    <w:autoRedefine/>
    <w:unhideWhenUsed/>
    <w:qFormat/>
    <w:uiPriority w:val="39"/>
    <w:pPr>
      <w:widowControl/>
      <w:spacing w:after="100" w:line="276" w:lineRule="auto"/>
      <w:ind w:left="440"/>
      <w:jc w:val="left"/>
    </w:pPr>
    <w:rPr>
      <w:rFonts w:ascii="Calibri" w:hAnsi="Calibri"/>
      <w:kern w:val="0"/>
      <w:sz w:val="22"/>
      <w:szCs w:val="22"/>
    </w:rPr>
  </w:style>
  <w:style w:type="paragraph" w:customStyle="1" w:styleId="89">
    <w:name w:val="常用表格样式"/>
    <w:autoRedefine/>
    <w:qFormat/>
    <w:uiPriority w:val="0"/>
    <w:pPr>
      <w:jc w:val="center"/>
    </w:pPr>
    <w:rPr>
      <w:rFonts w:ascii="宋体" w:hAnsi="新宋体" w:eastAsia="仿宋_GB2312" w:cs="Times New Roman"/>
      <w:spacing w:val="2"/>
      <w:kern w:val="2"/>
      <w:sz w:val="18"/>
      <w:szCs w:val="24"/>
      <w:lang w:val="en-US" w:eastAsia="zh-CN" w:bidi="ar-SA"/>
    </w:rPr>
  </w:style>
  <w:style w:type="paragraph" w:customStyle="1" w:styleId="90">
    <w:name w:val="列出段落1"/>
    <w:basedOn w:val="1"/>
    <w:autoRedefine/>
    <w:qFormat/>
    <w:uiPriority w:val="34"/>
    <w:pPr>
      <w:adjustRightInd w:val="0"/>
      <w:snapToGrid w:val="0"/>
      <w:spacing w:line="360" w:lineRule="auto"/>
      <w:ind w:firstLine="420" w:firstLineChars="200"/>
      <w:jc w:val="left"/>
    </w:pPr>
    <w:rPr>
      <w:sz w:val="24"/>
    </w:rPr>
  </w:style>
  <w:style w:type="paragraph" w:customStyle="1" w:styleId="91">
    <w:name w:val="Table Paragraph"/>
    <w:basedOn w:val="1"/>
    <w:autoRedefine/>
    <w:qFormat/>
    <w:uiPriority w:val="1"/>
    <w:pPr>
      <w:spacing w:before="33"/>
      <w:jc w:val="center"/>
    </w:pPr>
    <w:rPr>
      <w:rFonts w:eastAsia="Times New Roman"/>
      <w:lang w:val="zh-CN" w:bidi="zh-CN"/>
    </w:rPr>
  </w:style>
  <w:style w:type="paragraph" w:customStyle="1" w:styleId="92">
    <w:name w:val="Char Char Char Char Char Char Char Char Char Char Char Char Char Char Char Char Char Char Char"/>
    <w:basedOn w:val="1"/>
    <w:autoRedefine/>
    <w:semiHidden/>
    <w:qFormat/>
    <w:uiPriority w:val="0"/>
  </w:style>
  <w:style w:type="paragraph" w:customStyle="1" w:styleId="93">
    <w:name w:val="列表段落1"/>
    <w:basedOn w:val="1"/>
    <w:autoRedefine/>
    <w:qFormat/>
    <w:uiPriority w:val="0"/>
    <w:pPr>
      <w:ind w:firstLine="420" w:firstLineChars="200"/>
    </w:pPr>
  </w:style>
  <w:style w:type="paragraph" w:customStyle="1" w:styleId="94">
    <w:name w:val="1jw正文"/>
    <w:autoRedefine/>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95">
    <w:name w:val="1.5倍行距"/>
    <w:basedOn w:val="1"/>
    <w:autoRedefine/>
    <w:qFormat/>
    <w:uiPriority w:val="0"/>
    <w:pPr>
      <w:spacing w:line="360" w:lineRule="auto"/>
      <w:ind w:firstLine="200" w:firstLineChars="200"/>
      <w:jc w:val="left"/>
    </w:pPr>
    <w:rPr>
      <w:sz w:val="24"/>
    </w:rPr>
  </w:style>
  <w:style w:type="character" w:customStyle="1" w:styleId="96">
    <w:name w:val="纯文本 Char1"/>
    <w:link w:val="31"/>
    <w:autoRedefine/>
    <w:qFormat/>
    <w:uiPriority w:val="0"/>
    <w:rPr>
      <w:rFonts w:ascii="宋体"/>
      <w:sz w:val="24"/>
    </w:rPr>
  </w:style>
  <w:style w:type="character" w:customStyle="1" w:styleId="97">
    <w:name w:val="纯文本 字符1"/>
    <w:basedOn w:val="44"/>
    <w:autoRedefine/>
    <w:qFormat/>
    <w:uiPriority w:val="0"/>
    <w:rPr>
      <w:rFonts w:hAnsi="Courier New" w:cs="Courier New" w:asciiTheme="minorEastAsia" w:eastAsiaTheme="minorEastAsia"/>
      <w:kern w:val="2"/>
      <w:sz w:val="21"/>
      <w:szCs w:val="24"/>
    </w:rPr>
  </w:style>
  <w:style w:type="paragraph" w:customStyle="1" w:styleId="98">
    <w:name w:val="gyy正文"/>
    <w:basedOn w:val="1"/>
    <w:link w:val="99"/>
    <w:autoRedefine/>
    <w:qFormat/>
    <w:uiPriority w:val="0"/>
    <w:pPr>
      <w:spacing w:line="360" w:lineRule="auto"/>
      <w:ind w:firstLine="480" w:firstLineChars="200"/>
    </w:pPr>
    <w:rPr>
      <w:color w:val="000000"/>
      <w:kern w:val="28"/>
      <w:position w:val="6"/>
      <w:sz w:val="24"/>
      <w:szCs w:val="20"/>
    </w:rPr>
  </w:style>
  <w:style w:type="character" w:customStyle="1" w:styleId="99">
    <w:name w:val="gyy正文 Char2"/>
    <w:link w:val="98"/>
    <w:autoRedefine/>
    <w:qFormat/>
    <w:uiPriority w:val="0"/>
    <w:rPr>
      <w:color w:val="000000"/>
      <w:kern w:val="28"/>
      <w:position w:val="6"/>
      <w:sz w:val="24"/>
    </w:rPr>
  </w:style>
  <w:style w:type="paragraph" w:customStyle="1" w:styleId="100">
    <w:name w:val="正文1"/>
    <w:basedOn w:val="1"/>
    <w:link w:val="101"/>
    <w:autoRedefine/>
    <w:qFormat/>
    <w:uiPriority w:val="0"/>
    <w:pPr>
      <w:spacing w:line="360" w:lineRule="auto"/>
    </w:pPr>
    <w:rPr>
      <w:snapToGrid w:val="0"/>
      <w:kern w:val="0"/>
      <w:sz w:val="24"/>
      <w:szCs w:val="28"/>
    </w:rPr>
  </w:style>
  <w:style w:type="character" w:customStyle="1" w:styleId="101">
    <w:name w:val="正文 Char"/>
    <w:basedOn w:val="44"/>
    <w:link w:val="100"/>
    <w:autoRedefine/>
    <w:qFormat/>
    <w:uiPriority w:val="0"/>
    <w:rPr>
      <w:snapToGrid w:val="0"/>
      <w:sz w:val="24"/>
      <w:szCs w:val="28"/>
    </w:rPr>
  </w:style>
  <w:style w:type="character" w:customStyle="1" w:styleId="102">
    <w:name w:val="正文文本缩进 2 Char"/>
    <w:basedOn w:val="44"/>
    <w:link w:val="33"/>
    <w:autoRedefine/>
    <w:qFormat/>
    <w:uiPriority w:val="99"/>
    <w:rPr>
      <w:kern w:val="2"/>
      <w:sz w:val="21"/>
      <w:szCs w:val="24"/>
    </w:rPr>
  </w:style>
  <w:style w:type="character" w:customStyle="1" w:styleId="103">
    <w:name w:val="正文首行缩进 Char"/>
    <w:basedOn w:val="59"/>
    <w:link w:val="22"/>
    <w:autoRedefine/>
    <w:qFormat/>
    <w:uiPriority w:val="0"/>
    <w:rPr>
      <w:sz w:val="18"/>
      <w:szCs w:val="18"/>
    </w:rPr>
  </w:style>
  <w:style w:type="character" w:customStyle="1" w:styleId="104">
    <w:name w:val="正文文本 Char2"/>
    <w:autoRedefine/>
    <w:qFormat/>
    <w:uiPriority w:val="0"/>
    <w:rPr>
      <w:rFonts w:ascii="宋体" w:hAnsi="宋体" w:eastAsia="宋体"/>
      <w:sz w:val="24"/>
      <w:szCs w:val="24"/>
      <w:lang w:val="en-US" w:eastAsia="zh-CN" w:bidi="ar-SA"/>
    </w:rPr>
  </w:style>
  <w:style w:type="character" w:customStyle="1" w:styleId="105">
    <w:name w:val="正文文本 Char1"/>
    <w:autoRedefine/>
    <w:qFormat/>
    <w:uiPriority w:val="0"/>
    <w:rPr>
      <w:kern w:val="2"/>
      <w:sz w:val="21"/>
      <w:szCs w:val="24"/>
    </w:rPr>
  </w:style>
  <w:style w:type="character" w:customStyle="1" w:styleId="106">
    <w:name w:val="无间隔 Char"/>
    <w:link w:val="107"/>
    <w:autoRedefine/>
    <w:qFormat/>
    <w:uiPriority w:val="0"/>
    <w:rPr>
      <w:kern w:val="2"/>
      <w:sz w:val="21"/>
      <w:szCs w:val="24"/>
    </w:rPr>
  </w:style>
  <w:style w:type="paragraph" w:customStyle="1" w:styleId="107">
    <w:name w:val="无间隔2"/>
    <w:link w:val="10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Char Char Char Char Char Char Char Char Char Char Char Char Char Char Char Char Char Char Char1"/>
    <w:basedOn w:val="1"/>
    <w:autoRedefine/>
    <w:semiHidden/>
    <w:qFormat/>
    <w:uiPriority w:val="0"/>
  </w:style>
  <w:style w:type="paragraph" w:customStyle="1" w:styleId="109">
    <w:name w:val="标提 1 Char"/>
    <w:basedOn w:val="1"/>
    <w:autoRedefine/>
    <w:semiHidden/>
    <w:qFormat/>
    <w:uiPriority w:val="0"/>
    <w:pPr>
      <w:numPr>
        <w:ilvl w:val="0"/>
        <w:numId w:val="2"/>
      </w:numPr>
      <w:jc w:val="center"/>
    </w:pPr>
    <w:rPr>
      <w:rFonts w:ascii="黑体" w:eastAsia="黑体"/>
      <w:b/>
      <w:sz w:val="32"/>
      <w:szCs w:val="32"/>
    </w:rPr>
  </w:style>
  <w:style w:type="table" w:customStyle="1" w:styleId="110">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11">
    <w:name w:val="批注文字 Char"/>
    <w:autoRedefine/>
    <w:semiHidden/>
    <w:qFormat/>
    <w:uiPriority w:val="99"/>
    <w:rPr>
      <w:rFonts w:ascii="Times New Roman" w:hAnsi="Times New Roman"/>
      <w:kern w:val="2"/>
      <w:sz w:val="24"/>
      <w:szCs w:val="22"/>
    </w:rPr>
  </w:style>
  <w:style w:type="paragraph" w:customStyle="1" w:styleId="112">
    <w:name w:val="文字 getiao"/>
    <w:basedOn w:val="1"/>
    <w:link w:val="113"/>
    <w:autoRedefine/>
    <w:qFormat/>
    <w:uiPriority w:val="99"/>
    <w:pPr>
      <w:spacing w:line="360" w:lineRule="auto"/>
      <w:ind w:firstLine="480" w:firstLineChars="200"/>
    </w:pPr>
    <w:rPr>
      <w:color w:val="FF0000"/>
      <w:sz w:val="24"/>
      <w:szCs w:val="21"/>
    </w:rPr>
  </w:style>
  <w:style w:type="character" w:customStyle="1" w:styleId="113">
    <w:name w:val="文字 getiao Char"/>
    <w:link w:val="112"/>
    <w:autoRedefine/>
    <w:qFormat/>
    <w:uiPriority w:val="99"/>
    <w:rPr>
      <w:color w:val="FF0000"/>
      <w:kern w:val="2"/>
      <w:sz w:val="24"/>
      <w:szCs w:val="21"/>
    </w:rPr>
  </w:style>
  <w:style w:type="paragraph" w:customStyle="1" w:styleId="114">
    <w:name w:val="p0"/>
    <w:basedOn w:val="1"/>
    <w:autoRedefine/>
    <w:qFormat/>
    <w:uiPriority w:val="0"/>
    <w:pPr>
      <w:widowControl/>
    </w:pPr>
    <w:rPr>
      <w:kern w:val="0"/>
      <w:szCs w:val="21"/>
    </w:rPr>
  </w:style>
  <w:style w:type="paragraph" w:customStyle="1" w:styleId="115">
    <w:name w:val="图标标题getiao"/>
    <w:basedOn w:val="1"/>
    <w:next w:val="23"/>
    <w:autoRedefine/>
    <w:qFormat/>
    <w:uiPriority w:val="0"/>
    <w:pPr>
      <w:widowControl/>
      <w:adjustRightInd w:val="0"/>
      <w:snapToGrid w:val="0"/>
      <w:spacing w:line="360" w:lineRule="auto"/>
      <w:jc w:val="center"/>
    </w:pPr>
    <w:rPr>
      <w:rFonts w:eastAsia="黑体"/>
      <w:kern w:val="0"/>
      <w:sz w:val="24"/>
    </w:rPr>
  </w:style>
  <w:style w:type="character" w:customStyle="1" w:styleId="116">
    <w:name w:val="文档结构图 Char"/>
    <w:basedOn w:val="44"/>
    <w:link w:val="29"/>
    <w:autoRedefine/>
    <w:qFormat/>
    <w:uiPriority w:val="0"/>
    <w:rPr>
      <w:rFonts w:ascii="宋体"/>
      <w:kern w:val="2"/>
      <w:sz w:val="18"/>
      <w:szCs w:val="18"/>
    </w:rPr>
  </w:style>
  <w:style w:type="paragraph" w:customStyle="1" w:styleId="117">
    <w:name w:val="表头"/>
    <w:basedOn w:val="1"/>
    <w:autoRedefine/>
    <w:qFormat/>
    <w:uiPriority w:val="0"/>
    <w:pPr>
      <w:spacing w:line="360" w:lineRule="auto"/>
      <w:jc w:val="center"/>
    </w:pPr>
    <w:rPr>
      <w:b/>
      <w:sz w:val="24"/>
      <w:szCs w:val="22"/>
      <w:lang w:val="zh-CN"/>
    </w:rPr>
  </w:style>
  <w:style w:type="character" w:customStyle="1" w:styleId="118">
    <w:name w:val="15"/>
    <w:autoRedefine/>
    <w:qFormat/>
    <w:uiPriority w:val="0"/>
    <w:rPr>
      <w:rFonts w:hint="eastAsia" w:ascii="宋体" w:hAnsi="宋体" w:eastAsia="宋体" w:cs="Times New Roman"/>
      <w:kern w:val="2"/>
      <w:sz w:val="21"/>
      <w:szCs w:val="21"/>
    </w:rPr>
  </w:style>
  <w:style w:type="paragraph" w:customStyle="1" w:styleId="119">
    <w:name w:val="表格内容！"/>
    <w:basedOn w:val="1"/>
    <w:autoRedefine/>
    <w:qFormat/>
    <w:uiPriority w:val="0"/>
    <w:pPr>
      <w:widowControl/>
      <w:jc w:val="center"/>
    </w:pPr>
    <w:rPr>
      <w:rFonts w:eastAsia="仿宋_GB2312" w:cs="宋体"/>
      <w:kern w:val="0"/>
      <w:szCs w:val="21"/>
    </w:rPr>
  </w:style>
  <w:style w:type="paragraph" w:customStyle="1" w:styleId="120">
    <w:name w:val="表格标题"/>
    <w:basedOn w:val="1"/>
    <w:link w:val="121"/>
    <w:autoRedefine/>
    <w:qFormat/>
    <w:uiPriority w:val="0"/>
    <w:pPr>
      <w:widowControl/>
      <w:jc w:val="center"/>
    </w:pPr>
    <w:rPr>
      <w:b/>
      <w:kern w:val="0"/>
      <w:szCs w:val="21"/>
    </w:rPr>
  </w:style>
  <w:style w:type="character" w:customStyle="1" w:styleId="121">
    <w:name w:val="表格标题 Char"/>
    <w:link w:val="120"/>
    <w:autoRedefine/>
    <w:qFormat/>
    <w:uiPriority w:val="0"/>
    <w:rPr>
      <w:b/>
      <w:sz w:val="21"/>
      <w:szCs w:val="21"/>
    </w:rPr>
  </w:style>
  <w:style w:type="character" w:customStyle="1" w:styleId="122">
    <w:name w:val="占位符文本1"/>
    <w:basedOn w:val="44"/>
    <w:autoRedefine/>
    <w:semiHidden/>
    <w:qFormat/>
    <w:uiPriority w:val="99"/>
    <w:rPr>
      <w:color w:val="808080"/>
    </w:rPr>
  </w:style>
  <w:style w:type="character" w:customStyle="1" w:styleId="123">
    <w:name w:val="项目正文 Char Char"/>
    <w:link w:val="124"/>
    <w:autoRedefine/>
    <w:qFormat/>
    <w:uiPriority w:val="0"/>
    <w:rPr>
      <w:rFonts w:ascii="Calibri" w:hAnsi="Calibri"/>
      <w:kern w:val="2"/>
      <w:sz w:val="26"/>
      <w:szCs w:val="26"/>
    </w:rPr>
  </w:style>
  <w:style w:type="paragraph" w:customStyle="1" w:styleId="124">
    <w:name w:val="项目正文"/>
    <w:basedOn w:val="1"/>
    <w:link w:val="123"/>
    <w:autoRedefine/>
    <w:qFormat/>
    <w:uiPriority w:val="0"/>
    <w:pPr>
      <w:spacing w:line="360" w:lineRule="auto"/>
      <w:ind w:firstLine="200" w:firstLineChars="200"/>
    </w:pPr>
    <w:rPr>
      <w:rFonts w:ascii="Calibri" w:hAnsi="Calibri"/>
      <w:sz w:val="26"/>
      <w:szCs w:val="26"/>
    </w:rPr>
  </w:style>
  <w:style w:type="paragraph" w:customStyle="1" w:styleId="125">
    <w:name w:val="Char Char Char1 Char1 Char Char Char"/>
    <w:basedOn w:val="1"/>
    <w:autoRedefine/>
    <w:qFormat/>
    <w:uiPriority w:val="0"/>
  </w:style>
  <w:style w:type="character" w:customStyle="1" w:styleId="126">
    <w:name w:val="纯文本 Char"/>
    <w:autoRedefine/>
    <w:qFormat/>
    <w:uiPriority w:val="0"/>
    <w:rPr>
      <w:rFonts w:ascii="宋体" w:hAnsi="Courier New" w:eastAsia="宋体" w:cs="Times New Roman"/>
      <w:kern w:val="0"/>
      <w:sz w:val="20"/>
      <w:szCs w:val="20"/>
      <w:lang w:val="zh-CN" w:eastAsia="zh-CN"/>
    </w:rPr>
  </w:style>
  <w:style w:type="paragraph" w:customStyle="1" w:styleId="127">
    <w:name w:val="！表中文本"/>
    <w:basedOn w:val="1"/>
    <w:autoRedefine/>
    <w:qFormat/>
    <w:uiPriority w:val="0"/>
    <w:pPr>
      <w:adjustRightInd w:val="0"/>
      <w:snapToGrid w:val="0"/>
      <w:spacing w:line="400" w:lineRule="exact"/>
      <w:jc w:val="center"/>
    </w:pPr>
    <w:rPr>
      <w:kern w:val="0"/>
      <w:szCs w:val="18"/>
    </w:rPr>
  </w:style>
  <w:style w:type="paragraph" w:customStyle="1" w:styleId="128">
    <w:name w:val="DY表格格式"/>
    <w:basedOn w:val="1"/>
    <w:next w:val="1"/>
    <w:autoRedefine/>
    <w:qFormat/>
    <w:uiPriority w:val="0"/>
    <w:pPr>
      <w:jc w:val="center"/>
    </w:pPr>
    <w:rPr>
      <w:szCs w:val="22"/>
    </w:rPr>
  </w:style>
  <w:style w:type="character" w:customStyle="1" w:styleId="129">
    <w:name w:val="font41"/>
    <w:autoRedefine/>
    <w:qFormat/>
    <w:uiPriority w:val="0"/>
    <w:rPr>
      <w:rFonts w:hint="default" w:ascii="Times New Roman" w:hAnsi="Times New Roman" w:cs="Times New Roman"/>
      <w:color w:val="000000"/>
      <w:sz w:val="24"/>
      <w:szCs w:val="24"/>
      <w:u w:val="none"/>
    </w:rPr>
  </w:style>
  <w:style w:type="paragraph" w:customStyle="1" w:styleId="130">
    <w:name w:val="文字"/>
    <w:basedOn w:val="1"/>
    <w:autoRedefine/>
    <w:qFormat/>
    <w:uiPriority w:val="99"/>
    <w:pPr>
      <w:spacing w:before="50" w:beforeLines="50" w:line="400" w:lineRule="exact"/>
      <w:ind w:firstLine="200" w:firstLineChars="200"/>
    </w:pPr>
  </w:style>
  <w:style w:type="paragraph" w:customStyle="1" w:styleId="131">
    <w:name w:val="报告正文"/>
    <w:basedOn w:val="132"/>
    <w:autoRedefine/>
    <w:qFormat/>
    <w:uiPriority w:val="0"/>
    <w:pPr>
      <w:snapToGrid w:val="0"/>
      <w:spacing w:line="360" w:lineRule="auto"/>
      <w:ind w:firstLine="480"/>
      <w:jc w:val="left"/>
    </w:pPr>
    <w:rPr>
      <w:sz w:val="24"/>
      <w:lang w:val="zh-CN"/>
    </w:rPr>
  </w:style>
  <w:style w:type="paragraph" w:customStyle="1" w:styleId="132">
    <w:name w:val="环评正文"/>
    <w:basedOn w:val="32"/>
    <w:next w:val="1"/>
    <w:autoRedefine/>
    <w:qFormat/>
    <w:uiPriority w:val="0"/>
    <w:pPr>
      <w:autoSpaceDE w:val="0"/>
      <w:autoSpaceDN w:val="0"/>
      <w:adjustRightInd w:val="0"/>
      <w:spacing w:line="500" w:lineRule="exact"/>
      <w:ind w:left="0" w:leftChars="0" w:firstLine="560" w:firstLineChars="200"/>
    </w:pPr>
    <w:rPr>
      <w:rFonts w:ascii="仿宋_GB2312" w:eastAsia="仿宋_GB2312"/>
      <w:sz w:val="28"/>
      <w:szCs w:val="20"/>
    </w:rPr>
  </w:style>
  <w:style w:type="paragraph" w:customStyle="1" w:styleId="133">
    <w:name w:val="表中文字-getiao"/>
    <w:basedOn w:val="1"/>
    <w:autoRedefine/>
    <w:qFormat/>
    <w:uiPriority w:val="0"/>
    <w:pPr>
      <w:widowControl/>
      <w:jc w:val="center"/>
    </w:pPr>
    <w:rPr>
      <w:kern w:val="0"/>
    </w:rPr>
  </w:style>
  <w:style w:type="paragraph" w:customStyle="1" w:styleId="134">
    <w:name w:val="空两格（段落）"/>
    <w:basedOn w:val="1"/>
    <w:autoRedefine/>
    <w:qFormat/>
    <w:uiPriority w:val="0"/>
    <w:pPr>
      <w:snapToGrid w:val="0"/>
      <w:spacing w:line="360" w:lineRule="auto"/>
      <w:ind w:firstLine="200" w:firstLineChars="200"/>
    </w:pPr>
    <w:rPr>
      <w:rFonts w:eastAsia="新宋体"/>
      <w:spacing w:val="4"/>
      <w:szCs w:val="22"/>
    </w:rPr>
  </w:style>
  <w:style w:type="paragraph" w:customStyle="1" w:styleId="135">
    <w:name w:val="正文首行缩进2"/>
    <w:basedOn w:val="1"/>
    <w:autoRedefine/>
    <w:qFormat/>
    <w:uiPriority w:val="99"/>
    <w:pPr>
      <w:autoSpaceDE w:val="0"/>
      <w:autoSpaceDN w:val="0"/>
      <w:adjustRightInd w:val="0"/>
      <w:spacing w:line="500" w:lineRule="atLeast"/>
      <w:ind w:firstLine="560"/>
    </w:pPr>
    <w:rPr>
      <w:kern w:val="0"/>
      <w:sz w:val="28"/>
      <w:szCs w:val="20"/>
    </w:rPr>
  </w:style>
  <w:style w:type="paragraph" w:customStyle="1" w:styleId="136">
    <w:name w:val="样式4"/>
    <w:basedOn w:val="1"/>
    <w:autoRedefine/>
    <w:qFormat/>
    <w:uiPriority w:val="0"/>
    <w:pPr>
      <w:spacing w:line="360" w:lineRule="exact"/>
      <w:jc w:val="center"/>
    </w:pPr>
    <w:rPr>
      <w:szCs w:val="21"/>
    </w:rPr>
  </w:style>
  <w:style w:type="paragraph" w:customStyle="1" w:styleId="137">
    <w:name w:val="DY 图格式"/>
    <w:next w:val="138"/>
    <w:autoRedefine/>
    <w:qFormat/>
    <w:uiPriority w:val="0"/>
    <w:pPr>
      <w:widowControl w:val="0"/>
      <w:spacing w:before="50" w:beforeLines="50" w:line="360" w:lineRule="auto"/>
      <w:jc w:val="center"/>
    </w:pPr>
    <w:rPr>
      <w:rFonts w:ascii="宋体" w:hAnsi="Calibri" w:eastAsia="宋体" w:cs="Times New Roman"/>
      <w:spacing w:val="4"/>
      <w:kern w:val="2"/>
      <w:sz w:val="24"/>
      <w:szCs w:val="21"/>
      <w:lang w:val="en-US" w:eastAsia="zh-CN" w:bidi="ar-SA"/>
    </w:rPr>
  </w:style>
  <w:style w:type="paragraph" w:customStyle="1" w:styleId="138">
    <w:name w:val="无间隔3"/>
    <w:basedOn w:val="1"/>
    <w:autoRedefine/>
    <w:qFormat/>
    <w:uiPriority w:val="0"/>
    <w:pPr>
      <w:ind w:firstLine="200" w:firstLineChars="200"/>
    </w:pPr>
    <w:rPr>
      <w:rFonts w:asciiTheme="minorEastAsia" w:hAnsiTheme="minorHAnsi" w:eastAsiaTheme="minorEastAsia" w:cstheme="minorBidi"/>
      <w:spacing w:val="4"/>
      <w:sz w:val="24"/>
      <w:szCs w:val="21"/>
    </w:rPr>
  </w:style>
  <w:style w:type="paragraph" w:customStyle="1" w:styleId="139">
    <w:name w:val="表格格式"/>
    <w:basedOn w:val="1"/>
    <w:next w:val="1"/>
    <w:autoRedefine/>
    <w:qFormat/>
    <w:uiPriority w:val="0"/>
    <w:pPr>
      <w:widowControl/>
      <w:snapToGrid w:val="0"/>
      <w:spacing w:line="240" w:lineRule="auto"/>
      <w:ind w:firstLine="0" w:firstLineChars="0"/>
      <w:jc w:val="center"/>
    </w:pPr>
    <w:rPr>
      <w:kern w:val="0"/>
      <w:sz w:val="18"/>
    </w:rPr>
  </w:style>
  <w:style w:type="paragraph" w:customStyle="1" w:styleId="140">
    <w:name w:val="！正文 Alt+0"/>
    <w:basedOn w:val="1"/>
    <w:autoRedefine/>
    <w:qFormat/>
    <w:uiPriority w:val="0"/>
    <w:rPr>
      <w:szCs w:val="24"/>
    </w:rPr>
  </w:style>
  <w:style w:type="paragraph" w:customStyle="1" w:styleId="141">
    <w:name w:val="No Spacing"/>
    <w:basedOn w:val="117"/>
    <w:next w:val="1"/>
    <w:autoRedefine/>
    <w:qFormat/>
    <w:uiPriority w:val="1"/>
    <w:pPr>
      <w:spacing w:afterLines="0"/>
    </w:pPr>
    <w:rPr>
      <w:snapToGrid w:val="0"/>
      <w:kern w:val="0"/>
      <w:sz w:val="18"/>
    </w:rPr>
  </w:style>
  <w:style w:type="paragraph" w:customStyle="1" w:styleId="142">
    <w:name w:val="Char Char Char Char"/>
    <w:basedOn w:val="1"/>
    <w:autoRedefine/>
    <w:qFormat/>
    <w:uiPriority w:val="0"/>
    <w:pPr>
      <w:spacing w:line="240" w:lineRule="auto"/>
      <w:ind w:firstLine="0" w:firstLineChars="0"/>
      <w:jc w:val="both"/>
    </w:pPr>
    <w:rPr>
      <w:sz w:val="21"/>
      <w:szCs w:val="24"/>
    </w:rPr>
  </w:style>
  <w:style w:type="table" w:customStyle="1" w:styleId="143">
    <w:name w:val="网格型1"/>
    <w:basedOn w:val="4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网格型2"/>
    <w:basedOn w:val="4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5">
    <w:name w:val="font01"/>
    <w:basedOn w:val="44"/>
    <w:autoRedefine/>
    <w:qFormat/>
    <w:uiPriority w:val="0"/>
    <w:rPr>
      <w:rFonts w:hint="default" w:ascii="Arial" w:hAnsi="Arial" w:cs="Arial"/>
      <w:color w:val="000000"/>
      <w:sz w:val="20"/>
      <w:szCs w:val="20"/>
      <w:u w:val="none"/>
    </w:rPr>
  </w:style>
  <w:style w:type="character" w:customStyle="1" w:styleId="146">
    <w:name w:val="font11"/>
    <w:basedOn w:val="44"/>
    <w:autoRedefine/>
    <w:qFormat/>
    <w:uiPriority w:val="0"/>
    <w:rPr>
      <w:rFonts w:hint="eastAsia" w:ascii="宋体" w:hAnsi="宋体" w:eastAsia="宋体" w:cs="宋体"/>
      <w:b/>
      <w:bCs/>
      <w:color w:val="000000"/>
      <w:sz w:val="21"/>
      <w:szCs w:val="21"/>
      <w:u w:val="none"/>
    </w:rPr>
  </w:style>
  <w:style w:type="character" w:customStyle="1" w:styleId="147">
    <w:name w:val="font61"/>
    <w:autoRedefine/>
    <w:qFormat/>
    <w:uiPriority w:val="0"/>
    <w:rPr>
      <w:rFonts w:hint="default" w:ascii="Times New Roman" w:hAnsi="Times New Roman" w:cs="Times New Roman"/>
      <w:b/>
      <w:bCs/>
      <w:color w:val="FF0000"/>
      <w:sz w:val="21"/>
      <w:szCs w:val="21"/>
      <w:u w:val="none"/>
    </w:rPr>
  </w:style>
  <w:style w:type="character" w:customStyle="1" w:styleId="148">
    <w:name w:val="font71"/>
    <w:autoRedefine/>
    <w:qFormat/>
    <w:uiPriority w:val="0"/>
    <w:rPr>
      <w:rFonts w:hint="default" w:ascii="Times New Roman" w:hAnsi="Times New Roman" w:cs="Times New Roman"/>
      <w:b/>
      <w:bCs/>
      <w:color w:val="FF0000"/>
      <w:sz w:val="21"/>
      <w:szCs w:val="21"/>
      <w:u w:val="none"/>
    </w:rPr>
  </w:style>
  <w:style w:type="character" w:customStyle="1" w:styleId="149">
    <w:name w:val="font81"/>
    <w:autoRedefine/>
    <w:qFormat/>
    <w:uiPriority w:val="0"/>
    <w:rPr>
      <w:rFonts w:hint="default" w:ascii="Times New Roman" w:hAnsi="Times New Roman" w:cs="Times New Roman"/>
      <w:color w:val="000000"/>
      <w:sz w:val="21"/>
      <w:szCs w:val="21"/>
      <w:u w:val="none"/>
      <w:vertAlign w:val="superscript"/>
    </w:rPr>
  </w:style>
  <w:style w:type="character" w:customStyle="1" w:styleId="150">
    <w:name w:val="NormalCharacter"/>
    <w:autoRedefine/>
    <w:qFormat/>
    <w:uiPriority w:val="0"/>
  </w:style>
  <w:style w:type="paragraph" w:customStyle="1" w:styleId="151">
    <w:name w:val="表格内容"/>
    <w:basedOn w:val="1"/>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152">
    <w:name w:val="Table Text"/>
    <w:basedOn w:val="1"/>
    <w:autoRedefine/>
    <w:semiHidden/>
    <w:qFormat/>
    <w:uiPriority w:val="0"/>
    <w:rPr>
      <w:rFonts w:ascii="宋体" w:hAnsi="宋体" w:eastAsia="宋体" w:cs="宋体"/>
      <w:sz w:val="24"/>
      <w:szCs w:val="24"/>
      <w:lang w:val="en-US" w:eastAsia="en-US" w:bidi="ar-SA"/>
    </w:rPr>
  </w:style>
  <w:style w:type="character" w:customStyle="1" w:styleId="153">
    <w:name w:val="font91"/>
    <w:basedOn w:val="44"/>
    <w:autoRedefine/>
    <w:qFormat/>
    <w:uiPriority w:val="0"/>
    <w:rPr>
      <w:rFonts w:hint="default" w:ascii="Times New Roman" w:hAnsi="Times New Roman" w:cs="Times New Roman"/>
      <w:b/>
      <w:bCs/>
      <w:color w:val="000000"/>
      <w:sz w:val="21"/>
      <w:szCs w:val="21"/>
      <w:u w:val="none"/>
      <w:vertAlign w:val="superscript"/>
    </w:rPr>
  </w:style>
  <w:style w:type="paragraph" w:customStyle="1" w:styleId="154">
    <w:name w:val="+正文"/>
    <w:basedOn w:val="1"/>
    <w:qFormat/>
    <w:uiPriority w:val="99"/>
    <w:pPr>
      <w:ind w:firstLine="200"/>
    </w:pPr>
  </w:style>
  <w:style w:type="paragraph" w:customStyle="1" w:styleId="155">
    <w:name w:val="表名"/>
    <w:basedOn w:val="154"/>
    <w:next w:val="156"/>
    <w:qFormat/>
    <w:uiPriority w:val="0"/>
    <w:pPr>
      <w:ind w:firstLine="0" w:firstLineChars="0"/>
      <w:jc w:val="center"/>
    </w:pPr>
    <w:rPr>
      <w:b/>
    </w:rPr>
  </w:style>
  <w:style w:type="paragraph" w:customStyle="1" w:styleId="156">
    <w:name w:val="1表格"/>
    <w:basedOn w:val="157"/>
    <w:qFormat/>
    <w:uiPriority w:val="99"/>
    <w:pPr>
      <w:spacing w:line="160" w:lineRule="atLeast"/>
      <w:ind w:firstLine="0"/>
      <w:jc w:val="center"/>
    </w:pPr>
    <w:rPr>
      <w:sz w:val="21"/>
    </w:rPr>
  </w:style>
  <w:style w:type="paragraph" w:customStyle="1" w:styleId="157">
    <w:name w:val="1文章"/>
    <w:basedOn w:val="1"/>
    <w:qFormat/>
    <w:uiPriority w:val="99"/>
    <w:pPr>
      <w:snapToGrid w:val="0"/>
      <w:ind w:firstLine="573"/>
    </w:pPr>
    <w:rPr>
      <w:rFonts w:eastAsia="仿宋_GB2312"/>
      <w:sz w:val="28"/>
    </w:rPr>
  </w:style>
  <w:style w:type="paragraph" w:customStyle="1" w:styleId="158">
    <w:name w:val="！表格文字"/>
    <w:qFormat/>
    <w:uiPriority w:val="0"/>
    <w:pPr>
      <w:spacing w:before="80" w:after="80"/>
      <w:jc w:val="center"/>
    </w:pPr>
    <w:rPr>
      <w:rFonts w:ascii="Times New Roman" w:hAnsi="Times New Roman" w:eastAsia="宋体" w:cs="Times New Roman"/>
      <w:kern w:val="2"/>
      <w:sz w:val="21"/>
      <w:szCs w:val="22"/>
      <w:lang w:val="en-US" w:eastAsia="zh-CN" w:bidi="ar-SA"/>
    </w:rPr>
  </w:style>
  <w:style w:type="paragraph" w:customStyle="1" w:styleId="159">
    <w:name w:val="getiao 正文文本"/>
    <w:basedOn w:val="37"/>
    <w:qFormat/>
    <w:uiPriority w:val="0"/>
    <w:pPr>
      <w:snapToGrid w:val="0"/>
      <w:spacing w:before="100" w:beforeAutospacing="1" w:after="0" w:line="360" w:lineRule="auto"/>
      <w:ind w:firstLine="480" w:firstLineChars="200"/>
    </w:pPr>
    <w:rPr>
      <w:sz w:val="24"/>
      <w:szCs w:val="24"/>
    </w:rPr>
  </w:style>
  <w:style w:type="paragraph" w:customStyle="1" w:styleId="160">
    <w:name w:val="白石岩-表格"/>
    <w:basedOn w:val="1"/>
    <w:qFormat/>
    <w:uiPriority w:val="0"/>
    <w:pPr>
      <w:adjustRightInd/>
      <w:snapToGrid/>
      <w:spacing w:line="240" w:lineRule="auto"/>
      <w:jc w:val="center"/>
    </w:pPr>
    <w:rPr>
      <w:rFonts w:eastAsia="仿宋_GB2312"/>
      <w:sz w:val="18"/>
      <w:szCs w:val="22"/>
    </w:rPr>
  </w:style>
  <w:style w:type="character" w:customStyle="1" w:styleId="161">
    <w:name w:val="font51"/>
    <w:basedOn w:val="44"/>
    <w:qFormat/>
    <w:uiPriority w:val="0"/>
    <w:rPr>
      <w:rFonts w:hint="default" w:ascii="Times New Roman" w:hAnsi="Times New Roman" w:cs="Times New Roman"/>
      <w:b/>
      <w:bCs/>
      <w:color w:val="000000"/>
      <w:sz w:val="21"/>
      <w:szCs w:val="21"/>
      <w:u w:val="none"/>
      <w:vertAlign w:val="superscript"/>
    </w:rPr>
  </w:style>
  <w:style w:type="paragraph" w:customStyle="1" w:styleId="162">
    <w:name w:val=" Char Char Char Char"/>
    <w:basedOn w:val="1"/>
    <w:qFormat/>
    <w:uiPriority w:val="0"/>
    <w:pPr>
      <w:spacing w:line="360" w:lineRule="auto"/>
      <w:ind w:firstLine="200" w:firstLineChars="200"/>
    </w:pPr>
    <w:rPr>
      <w:rFonts w:ascii="宋体" w:hAnsi="宋体" w:cs="宋体"/>
      <w:sz w:val="24"/>
    </w:rPr>
  </w:style>
  <w:style w:type="paragraph" w:customStyle="1" w:styleId="163">
    <w:name w:val="H正文"/>
    <w:basedOn w:val="1"/>
    <w:qFormat/>
    <w:uiPriority w:val="0"/>
    <w:pPr>
      <w:widowControl/>
      <w:adjustRightInd w:val="0"/>
      <w:spacing w:line="400" w:lineRule="exact"/>
      <w:ind w:firstLine="200" w:firstLineChars="200"/>
      <w:textAlignment w:val="baseline"/>
    </w:pPr>
    <w:rPr>
      <w:snapToGrid w:val="0"/>
      <w:spacing w:val="6"/>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emf"/><Relationship Id="rId23" Type="http://schemas.openxmlformats.org/officeDocument/2006/relationships/oleObject" Target="embeddings/oleObject5.bin"/><Relationship Id="rId22" Type="http://schemas.openxmlformats.org/officeDocument/2006/relationships/image" Target="media/image10.emf"/><Relationship Id="rId21" Type="http://schemas.openxmlformats.org/officeDocument/2006/relationships/oleObject" Target="embeddings/oleObject4.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3.bin"/><Relationship Id="rId16" Type="http://schemas.openxmlformats.org/officeDocument/2006/relationships/image" Target="media/image6.wmf"/><Relationship Id="rId15" Type="http://schemas.openxmlformats.org/officeDocument/2006/relationships/oleObject" Target="embeddings/oleObject2.bin"/><Relationship Id="rId14" Type="http://schemas.openxmlformats.org/officeDocument/2006/relationships/image" Target="media/image5.w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134</Pages>
  <Words>2325</Words>
  <Characters>2607</Characters>
  <Lines>1</Lines>
  <Paragraphs>1</Paragraphs>
  <TotalTime>7</TotalTime>
  <ScaleCrop>false</ScaleCrop>
  <LinksUpToDate>false</LinksUpToDate>
  <CharactersWithSpaces>2621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2022-01-21T02:41:00Z</dcterms:created>
  <dc:creator>lhj</dc:creator>
  <cp:lastModifiedBy>陈宝萍</cp:lastModifiedBy>
  <cp:lastPrinted>2021-07-20T09:43:00Z</cp:lastPrinted>
  <dcterms:modified xsi:type="dcterms:W3CDTF">2026-06-09T02:31:42Z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D674988063CC4154900BFDFB187F7FC9_13</vt:lpwstr>
  </property>
  <property fmtid="{D5CDD505-2E9C-101B-9397-08002B2CF9AE}" pid="4" name="commondata">
    <vt:lpwstr>eyJoZGlkIjoiYWNlOGEyMWY5YzcxZDE4Yzc2OWJjNmUzMGY4OGRhNzIifQ==</vt:lpwstr>
  </property>
  <property fmtid="{D5CDD505-2E9C-101B-9397-08002B2CF9AE}" pid="5" name="KSOTemplateDocerSaveRecord">
    <vt:lpwstr>eyJoZGlkIjoiMzUwNmQxM2NjZjU1NjU0MjdmODIwYjYzOGQ4NGU3NmYiLCJ1c2VySWQiOiIxNTE5MTM1NzgwIn0=</vt:lpwstr>
  </property>
</Properties>
</file>