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1F28B">
      <w:pPr>
        <w:rPr>
          <w:rFonts w:ascii="仿宋_GB2312" w:hAnsi="仿宋_GB2312" w:eastAsia="仿宋_GB2312" w:cs="仿宋_GB2312"/>
          <w:sz w:val="36"/>
          <w:szCs w:val="36"/>
        </w:rPr>
      </w:pPr>
    </w:p>
    <w:p w14:paraId="51EEC5A7">
      <w:pPr>
        <w:rPr>
          <w:rFonts w:ascii="仿宋_GB2312" w:hAnsi="仿宋_GB2312" w:eastAsia="仿宋_GB2312" w:cs="仿宋_GB2312"/>
          <w:sz w:val="36"/>
          <w:szCs w:val="36"/>
        </w:rPr>
      </w:pPr>
    </w:p>
    <w:p w14:paraId="1D82152E">
      <w:pPr>
        <w:rPr>
          <w:rFonts w:ascii="仿宋_GB2312" w:hAnsi="仿宋_GB2312" w:eastAsia="仿宋_GB2312" w:cs="仿宋_GB2312"/>
          <w:sz w:val="36"/>
          <w:szCs w:val="36"/>
        </w:rPr>
      </w:pPr>
    </w:p>
    <w:p w14:paraId="30DF90C0">
      <w:pPr>
        <w:rPr>
          <w:rFonts w:ascii="仿宋_GB2312" w:hAnsi="仿宋_GB2312" w:eastAsia="仿宋_GB2312" w:cs="仿宋_GB2312"/>
          <w:sz w:val="36"/>
          <w:szCs w:val="36"/>
        </w:rPr>
      </w:pPr>
    </w:p>
    <w:p w14:paraId="00483BF8">
      <w:pPr>
        <w:adjustRightInd w:val="0"/>
        <w:snapToGrid w:val="0"/>
        <w:jc w:val="center"/>
        <w:outlineLvl w:val="9"/>
        <w:rPr>
          <w:rFonts w:ascii="方正小标宋_GBK" w:eastAsia="方正小标宋_GBK"/>
          <w:bCs/>
          <w:sz w:val="72"/>
          <w:szCs w:val="72"/>
        </w:rPr>
      </w:pPr>
      <w:bookmarkStart w:id="0" w:name="_Toc69399385"/>
      <w:r>
        <w:rPr>
          <w:rFonts w:hint="eastAsia" w:ascii="方正小标宋_GBK" w:eastAsia="方正小标宋_GBK"/>
          <w:bCs/>
          <w:sz w:val="72"/>
          <w:szCs w:val="72"/>
        </w:rPr>
        <w:t>建设项目环境影响报告表</w:t>
      </w:r>
      <w:bookmarkEnd w:id="0"/>
    </w:p>
    <w:p w14:paraId="02F828D4">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14:paraId="074F7E77">
      <w:pPr>
        <w:adjustRightInd w:val="0"/>
        <w:snapToGrid w:val="0"/>
        <w:spacing w:before="192" w:beforeLines="80"/>
        <w:jc w:val="center"/>
        <w:rPr>
          <w:rFonts w:ascii="楷体_GB2312" w:eastAsia="楷体_GB2312"/>
          <w:bCs/>
          <w:sz w:val="48"/>
          <w:szCs w:val="48"/>
        </w:rPr>
      </w:pPr>
    </w:p>
    <w:p w14:paraId="143666CC"/>
    <w:p w14:paraId="75AD4818">
      <w:pPr>
        <w:pStyle w:val="22"/>
      </w:pPr>
    </w:p>
    <w:p w14:paraId="2A99C6C5">
      <w:pPr>
        <w:pStyle w:val="16"/>
      </w:pPr>
    </w:p>
    <w:p w14:paraId="6D9619CA"/>
    <w:p w14:paraId="63362234">
      <w:pPr>
        <w:pStyle w:val="22"/>
      </w:pPr>
    </w:p>
    <w:p w14:paraId="2A8E23E6">
      <w:pPr>
        <w:pStyle w:val="16"/>
      </w:pPr>
    </w:p>
    <w:p w14:paraId="4A85A716"/>
    <w:p w14:paraId="440EA237">
      <w:pPr>
        <w:pStyle w:val="22"/>
      </w:pPr>
    </w:p>
    <w:p w14:paraId="6409E80A"/>
    <w:p w14:paraId="4D821340"/>
    <w:p w14:paraId="15F318B1"/>
    <w:p w14:paraId="7B1AB3CA"/>
    <w:p w14:paraId="7590B2CB"/>
    <w:p w14:paraId="17F74FC9">
      <w:pPr>
        <w:adjustRightInd w:val="0"/>
        <w:snapToGrid w:val="0"/>
        <w:spacing w:line="300" w:lineRule="auto"/>
        <w:ind w:left="1584" w:leftChars="152" w:hanging="1280" w:hangingChars="400"/>
        <w:jc w:val="left"/>
        <w:rPr>
          <w:rFonts w:hint="default" w:eastAsia="宋体"/>
          <w:sz w:val="32"/>
          <w:szCs w:val="32"/>
          <w:u w:val="single"/>
          <w:lang w:val="en-US" w:eastAsia="zh-CN"/>
        </w:rPr>
      </w:pPr>
      <w:r>
        <w:rPr>
          <w:rFonts w:ascii="宋体" w:hAnsi="宋体"/>
          <w:sz w:val="32"/>
          <w:szCs w:val="32"/>
        </w:rPr>
        <w:t>项目名称：</w:t>
      </w:r>
      <w:r>
        <w:rPr>
          <w:rFonts w:ascii="宋体" w:hAnsi="宋体"/>
          <w:sz w:val="32"/>
          <w:szCs w:val="32"/>
          <w:u w:val="single"/>
        </w:rPr>
        <w:t xml:space="preserve"> </w:t>
      </w:r>
      <w:r>
        <w:rPr>
          <w:rFonts w:hint="eastAsia" w:ascii="宋体" w:hAnsi="宋体"/>
          <w:sz w:val="32"/>
          <w:szCs w:val="32"/>
          <w:u w:val="single"/>
        </w:rPr>
        <w:t xml:space="preserve">   寻甸县常青树磷石膏库综合治理项目</w:t>
      </w:r>
      <w:r>
        <w:rPr>
          <w:rFonts w:hint="eastAsia" w:ascii="宋体" w:hAnsi="宋体"/>
          <w:sz w:val="32"/>
          <w:szCs w:val="32"/>
          <w:u w:val="single"/>
          <w:lang w:val="en-US" w:eastAsia="zh-CN"/>
        </w:rPr>
        <w:t xml:space="preserve">      </w:t>
      </w:r>
    </w:p>
    <w:p w14:paraId="37413FC8">
      <w:pPr>
        <w:adjustRightInd w:val="0"/>
        <w:snapToGrid w:val="0"/>
        <w:spacing w:line="300" w:lineRule="auto"/>
        <w:ind w:firstLine="320" w:firstLineChars="100"/>
        <w:rPr>
          <w:rFonts w:ascii="宋体" w:hAnsi="宋体"/>
          <w:sz w:val="32"/>
          <w:szCs w:val="32"/>
          <w:u w:val="single"/>
        </w:rPr>
      </w:pPr>
      <w:r>
        <w:rPr>
          <w:rFonts w:ascii="宋体" w:hAnsi="宋体"/>
          <w:sz w:val="32"/>
          <w:szCs w:val="32"/>
        </w:rPr>
        <w:t>建设单位（盖章）：</w:t>
      </w:r>
      <w:r>
        <w:rPr>
          <w:rFonts w:ascii="宋体" w:hAnsi="宋体"/>
          <w:sz w:val="32"/>
          <w:szCs w:val="32"/>
          <w:u w:val="single"/>
        </w:rPr>
        <w:t xml:space="preserve">    </w:t>
      </w:r>
      <w:r>
        <w:rPr>
          <w:rFonts w:hint="eastAsia" w:ascii="宋体" w:hAnsi="宋体"/>
          <w:sz w:val="32"/>
          <w:szCs w:val="32"/>
          <w:u w:val="single"/>
        </w:rPr>
        <w:t xml:space="preserve">寻甸县科技和工业信息化局  </w:t>
      </w:r>
      <w:r>
        <w:rPr>
          <w:rFonts w:ascii="宋体" w:hAnsi="宋体"/>
          <w:sz w:val="32"/>
          <w:szCs w:val="32"/>
          <w:u w:val="single"/>
        </w:rPr>
        <w:t xml:space="preserve">  </w:t>
      </w:r>
      <w:r>
        <w:rPr>
          <w:rFonts w:hint="eastAsia" w:ascii="宋体" w:hAnsi="宋体"/>
          <w:sz w:val="32"/>
          <w:szCs w:val="32"/>
          <w:u w:val="single"/>
        </w:rPr>
        <w:t xml:space="preserve">  </w:t>
      </w:r>
    </w:p>
    <w:p w14:paraId="39F4B5DE">
      <w:pPr>
        <w:adjustRightInd w:val="0"/>
        <w:snapToGrid w:val="0"/>
        <w:spacing w:line="300" w:lineRule="auto"/>
        <w:ind w:firstLine="320" w:firstLineChars="100"/>
        <w:rPr>
          <w:rFonts w:ascii="仿宋_GB2312" w:eastAsia="仿宋_GB2312"/>
          <w:sz w:val="36"/>
          <w:szCs w:val="36"/>
          <w:u w:val="single"/>
        </w:rPr>
      </w:pPr>
      <w:r>
        <w:rPr>
          <w:rFonts w:ascii="宋体" w:hAnsi="宋体"/>
          <w:sz w:val="32"/>
          <w:szCs w:val="32"/>
        </w:rPr>
        <w:t>编制日期：</w:t>
      </w:r>
      <w:r>
        <w:rPr>
          <w:rFonts w:ascii="宋体" w:hAnsi="宋体"/>
          <w:sz w:val="32"/>
          <w:szCs w:val="32"/>
          <w:u w:val="single"/>
        </w:rPr>
        <w:t xml:space="preserve">            </w:t>
      </w:r>
      <w:r>
        <w:rPr>
          <w:sz w:val="32"/>
          <w:szCs w:val="32"/>
          <w:u w:val="single"/>
        </w:rPr>
        <w:t>202</w:t>
      </w:r>
      <w:r>
        <w:rPr>
          <w:rFonts w:hint="eastAsia"/>
          <w:sz w:val="32"/>
          <w:szCs w:val="32"/>
          <w:u w:val="single"/>
          <w:lang w:val="en-US" w:eastAsia="zh-CN"/>
        </w:rPr>
        <w:t>6</w:t>
      </w:r>
      <w:r>
        <w:rPr>
          <w:rFonts w:hAnsi="宋体"/>
          <w:sz w:val="32"/>
          <w:szCs w:val="32"/>
          <w:u w:val="single"/>
        </w:rPr>
        <w:t>年</w:t>
      </w:r>
      <w:r>
        <w:rPr>
          <w:rFonts w:hint="eastAsia" w:hAnsi="宋体"/>
          <w:sz w:val="32"/>
          <w:szCs w:val="32"/>
          <w:u w:val="single"/>
          <w:lang w:val="en-US" w:eastAsia="zh-CN"/>
        </w:rPr>
        <w:t>6</w:t>
      </w:r>
      <w:r>
        <w:rPr>
          <w:rFonts w:hAnsi="宋体"/>
          <w:sz w:val="32"/>
          <w:szCs w:val="32"/>
          <w:u w:val="single"/>
        </w:rPr>
        <w:t>月</w:t>
      </w:r>
      <w:r>
        <w:rPr>
          <w:rFonts w:ascii="宋体" w:hAnsi="宋体"/>
          <w:sz w:val="32"/>
          <w:szCs w:val="32"/>
          <w:u w:val="single"/>
        </w:rPr>
        <w:t xml:space="preserve">               </w:t>
      </w:r>
      <w:r>
        <w:rPr>
          <w:rFonts w:eastAsia="仿宋_GB2312"/>
          <w:sz w:val="36"/>
          <w:szCs w:val="36"/>
          <w:u w:val="single"/>
        </w:rPr>
        <w:t xml:space="preserve"> </w:t>
      </w:r>
      <w:r>
        <w:rPr>
          <w:rFonts w:hint="eastAsia" w:ascii="仿宋_GB2312" w:eastAsia="仿宋_GB2312"/>
          <w:sz w:val="36"/>
          <w:szCs w:val="36"/>
          <w:u w:val="single"/>
        </w:rPr>
        <w:t xml:space="preserve">   </w:t>
      </w:r>
    </w:p>
    <w:p w14:paraId="313D8D47">
      <w:pPr>
        <w:adjustRightInd w:val="0"/>
        <w:snapToGrid w:val="0"/>
        <w:spacing w:line="288" w:lineRule="auto"/>
        <w:ind w:firstLine="1040"/>
        <w:rPr>
          <w:rFonts w:ascii="仿宋_GB2312" w:eastAsia="仿宋_GB2312"/>
          <w:sz w:val="36"/>
          <w:szCs w:val="36"/>
          <w:u w:val="single"/>
        </w:rPr>
      </w:pPr>
      <w:bookmarkStart w:id="1" w:name="_Hlk57884087"/>
    </w:p>
    <w:p w14:paraId="2D156C8A">
      <w:pPr>
        <w:adjustRightInd w:val="0"/>
        <w:snapToGrid w:val="0"/>
        <w:spacing w:line="288" w:lineRule="auto"/>
        <w:ind w:firstLine="1040"/>
        <w:rPr>
          <w:rFonts w:ascii="仿宋_GB2312" w:eastAsia="仿宋_GB2312"/>
          <w:sz w:val="36"/>
          <w:szCs w:val="36"/>
        </w:rPr>
      </w:pPr>
    </w:p>
    <w:p w14:paraId="1BABD076">
      <w:pPr>
        <w:adjustRightInd w:val="0"/>
        <w:snapToGrid w:val="0"/>
        <w:spacing w:line="288" w:lineRule="auto"/>
        <w:ind w:firstLine="1040"/>
        <w:rPr>
          <w:rFonts w:ascii="仿宋_GB2312" w:eastAsia="仿宋_GB2312"/>
          <w:sz w:val="36"/>
          <w:szCs w:val="36"/>
        </w:rPr>
      </w:pPr>
    </w:p>
    <w:p w14:paraId="36A03046">
      <w:pPr>
        <w:adjustRightInd w:val="0"/>
        <w:snapToGrid w:val="0"/>
        <w:spacing w:line="288" w:lineRule="auto"/>
        <w:ind w:firstLine="1040"/>
        <w:rPr>
          <w:rFonts w:ascii="仿宋_GB2312" w:eastAsia="仿宋_GB2312"/>
          <w:sz w:val="36"/>
          <w:szCs w:val="36"/>
        </w:rPr>
      </w:pPr>
    </w:p>
    <w:bookmarkEnd w:id="1"/>
    <w:p w14:paraId="610F551E">
      <w:pPr>
        <w:adjustRightInd w:val="0"/>
        <w:snapToGrid w:val="0"/>
        <w:spacing w:line="360" w:lineRule="auto"/>
        <w:jc w:val="center"/>
        <w:rPr>
          <w:rFonts w:ascii="楷体_GB2312" w:eastAsia="楷体_GB2312"/>
          <w:sz w:val="36"/>
          <w:szCs w:val="36"/>
        </w:rPr>
      </w:pPr>
      <w:r>
        <w:rPr>
          <w:rFonts w:hint="eastAsia" w:ascii="楷体_GB2312" w:eastAsia="楷体_GB2312"/>
          <w:sz w:val="36"/>
          <w:szCs w:val="36"/>
        </w:rPr>
        <w:t>中华人民共和国生态环境部制</w:t>
      </w:r>
    </w:p>
    <w:p w14:paraId="3F001BEC">
      <w:pPr>
        <w:adjustRightInd w:val="0"/>
        <w:snapToGrid w:val="0"/>
        <w:spacing w:line="288" w:lineRule="auto"/>
        <w:ind w:firstLine="1040"/>
        <w:rPr>
          <w:rFonts w:ascii="仿宋_GB2312" w:eastAsia="仿宋_GB2312"/>
          <w:sz w:val="36"/>
          <w:szCs w:val="36"/>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7F11247B">
      <w:pPr>
        <w:spacing w:line="360" w:lineRule="auto"/>
        <w:jc w:val="center"/>
        <w:rPr>
          <w:b/>
          <w:sz w:val="24"/>
        </w:rPr>
      </w:pPr>
      <w:r>
        <w:rPr>
          <w:rFonts w:hAnsi="宋体"/>
          <w:b/>
          <w:sz w:val="24"/>
        </w:rPr>
        <w:t>目录</w:t>
      </w:r>
    </w:p>
    <w:p w14:paraId="2674EA03">
      <w:pPr>
        <w:pStyle w:val="30"/>
        <w:tabs>
          <w:tab w:val="right" w:leader="dot" w:pos="8834"/>
        </w:tabs>
        <w:spacing w:line="480" w:lineRule="auto"/>
        <w:rPr>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TOC \o "1-3" \h \z \u </w:instrText>
      </w:r>
      <w:r>
        <w:rPr>
          <w:rFonts w:ascii="Times New Roman" w:hAnsi="Times New Roman"/>
          <w:b/>
          <w:sz w:val="24"/>
          <w:szCs w:val="24"/>
        </w:rPr>
        <w:fldChar w:fldCharType="separate"/>
      </w:r>
    </w:p>
    <w:p w14:paraId="570FD059">
      <w:pPr>
        <w:pStyle w:val="30"/>
        <w:tabs>
          <w:tab w:val="right" w:leader="dot" w:pos="8834"/>
        </w:tabs>
        <w:spacing w:line="480" w:lineRule="auto"/>
        <w:rPr>
          <w:rFonts w:ascii="Times New Roman" w:hAnsi="Times New Roman"/>
          <w:b/>
          <w:sz w:val="24"/>
          <w:szCs w:val="24"/>
        </w:rPr>
      </w:pPr>
      <w:r>
        <w:fldChar w:fldCharType="begin"/>
      </w:r>
      <w:r>
        <w:instrText xml:space="preserve"> HYPERLINK \l "_Toc69399386" </w:instrText>
      </w:r>
      <w:r>
        <w:fldChar w:fldCharType="separate"/>
      </w:r>
      <w:r>
        <w:rPr>
          <w:rStyle w:val="54"/>
          <w:rFonts w:ascii="Times New Roman"/>
          <w:b/>
          <w:snapToGrid w:val="0"/>
          <w:color w:val="auto"/>
          <w:sz w:val="24"/>
          <w:szCs w:val="24"/>
        </w:rPr>
        <w:t>一、建设项目基本情况</w:t>
      </w:r>
      <w:r>
        <w:rPr>
          <w:rFonts w:ascii="Times New Roman" w:hAnsi="Times New Roman"/>
          <w:b/>
          <w:sz w:val="24"/>
          <w:szCs w:val="24"/>
        </w:rPr>
        <w:tab/>
      </w:r>
      <w:r>
        <w:rPr>
          <w:rFonts w:hint="eastAsia" w:ascii="Times New Roman" w:hAnsi="Times New Roman"/>
          <w:b/>
          <w:sz w:val="24"/>
          <w:szCs w:val="24"/>
        </w:rPr>
        <w:t>-</w:t>
      </w:r>
      <w:r>
        <w:rPr>
          <w:rFonts w:ascii="Times New Roman" w:hAnsi="Times New Roman"/>
          <w:b/>
          <w:sz w:val="24"/>
          <w:szCs w:val="24"/>
        </w:rPr>
        <w:fldChar w:fldCharType="begin"/>
      </w:r>
      <w:r>
        <w:rPr>
          <w:rFonts w:ascii="Times New Roman" w:hAnsi="Times New Roman"/>
          <w:b/>
          <w:sz w:val="24"/>
          <w:szCs w:val="24"/>
        </w:rPr>
        <w:instrText xml:space="preserve"> PAGEREF _Toc69399386 \h </w:instrText>
      </w:r>
      <w:r>
        <w:rPr>
          <w:rFonts w:ascii="Times New Roman" w:hAnsi="Times New Roman"/>
          <w:b/>
          <w:sz w:val="24"/>
          <w:szCs w:val="24"/>
        </w:rPr>
        <w:fldChar w:fldCharType="separate"/>
      </w:r>
      <w:r>
        <w:rPr>
          <w:rFonts w:ascii="Times New Roman" w:hAnsi="Times New Roman"/>
          <w:b/>
          <w:sz w:val="24"/>
          <w:szCs w:val="24"/>
        </w:rPr>
        <w:t>4</w:t>
      </w:r>
      <w:r>
        <w:rPr>
          <w:rFonts w:ascii="Times New Roman" w:hAnsi="Times New Roman"/>
          <w:b/>
          <w:sz w:val="24"/>
          <w:szCs w:val="24"/>
        </w:rPr>
        <w:fldChar w:fldCharType="end"/>
      </w:r>
      <w:r>
        <w:rPr>
          <w:rFonts w:ascii="Times New Roman" w:hAnsi="Times New Roman"/>
          <w:b/>
          <w:sz w:val="24"/>
          <w:szCs w:val="24"/>
        </w:rPr>
        <w:fldChar w:fldCharType="end"/>
      </w:r>
      <w:r>
        <w:rPr>
          <w:rFonts w:hint="eastAsia" w:ascii="Times New Roman" w:hAnsi="Times New Roman"/>
          <w:b/>
          <w:sz w:val="24"/>
          <w:szCs w:val="24"/>
        </w:rPr>
        <w:t>-</w:t>
      </w:r>
    </w:p>
    <w:p w14:paraId="2003B8AA">
      <w:pPr>
        <w:pStyle w:val="30"/>
        <w:tabs>
          <w:tab w:val="right" w:leader="dot" w:pos="8834"/>
        </w:tabs>
        <w:spacing w:line="480" w:lineRule="auto"/>
        <w:rPr>
          <w:rFonts w:ascii="Times New Roman" w:hAnsi="Times New Roman"/>
          <w:b/>
          <w:sz w:val="24"/>
          <w:szCs w:val="24"/>
        </w:rPr>
      </w:pPr>
      <w:r>
        <w:fldChar w:fldCharType="begin"/>
      </w:r>
      <w:r>
        <w:instrText xml:space="preserve"> HYPERLINK \l "_Toc69399387" </w:instrText>
      </w:r>
      <w:r>
        <w:fldChar w:fldCharType="separate"/>
      </w:r>
      <w:r>
        <w:rPr>
          <w:rStyle w:val="54"/>
          <w:rFonts w:ascii="Times New Roman"/>
          <w:b/>
          <w:snapToGrid w:val="0"/>
          <w:color w:val="auto"/>
          <w:sz w:val="24"/>
          <w:szCs w:val="24"/>
        </w:rPr>
        <w:t>二、建设项目工程分析</w:t>
      </w:r>
      <w:r>
        <w:rPr>
          <w:rFonts w:ascii="Times New Roman" w:hAnsi="Times New Roman"/>
          <w:b/>
          <w:sz w:val="24"/>
          <w:szCs w:val="24"/>
        </w:rPr>
        <w:tab/>
      </w:r>
      <w:r>
        <w:rPr>
          <w:rFonts w:hint="eastAsia" w:ascii="Times New Roman" w:hAnsi="Times New Roman"/>
          <w:b/>
          <w:sz w:val="24"/>
          <w:szCs w:val="24"/>
        </w:rPr>
        <w:t>-3</w:t>
      </w:r>
      <w:r>
        <w:rPr>
          <w:rFonts w:hint="eastAsia" w:ascii="Times New Roman" w:hAnsi="Times New Roman"/>
          <w:b/>
          <w:sz w:val="24"/>
          <w:szCs w:val="24"/>
        </w:rPr>
        <w:fldChar w:fldCharType="end"/>
      </w:r>
      <w:r>
        <w:rPr>
          <w:rFonts w:hint="eastAsia" w:ascii="Times New Roman" w:hAnsi="Times New Roman"/>
          <w:b/>
          <w:sz w:val="24"/>
          <w:szCs w:val="24"/>
        </w:rPr>
        <w:t>0-</w:t>
      </w:r>
    </w:p>
    <w:p w14:paraId="3B74A069">
      <w:pPr>
        <w:pStyle w:val="30"/>
        <w:tabs>
          <w:tab w:val="right" w:leader="dot" w:pos="8834"/>
        </w:tabs>
        <w:spacing w:line="480" w:lineRule="auto"/>
        <w:rPr>
          <w:rFonts w:ascii="Times New Roman" w:hAnsi="Times New Roman"/>
          <w:b/>
          <w:sz w:val="24"/>
          <w:szCs w:val="24"/>
        </w:rPr>
      </w:pPr>
      <w:r>
        <w:fldChar w:fldCharType="begin"/>
      </w:r>
      <w:r>
        <w:instrText xml:space="preserve"> HYPERLINK \l "_Toc69399388" </w:instrText>
      </w:r>
      <w:r>
        <w:fldChar w:fldCharType="separate"/>
      </w:r>
      <w:r>
        <w:rPr>
          <w:rStyle w:val="54"/>
          <w:rFonts w:ascii="Times New Roman"/>
          <w:b/>
          <w:snapToGrid w:val="0"/>
          <w:color w:val="auto"/>
          <w:sz w:val="24"/>
          <w:szCs w:val="24"/>
        </w:rPr>
        <w:t>三、区域环境质量现状、环境保护目标及评价标准</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_Toc69399388 \h </w:instrText>
      </w:r>
      <w:r>
        <w:rPr>
          <w:rFonts w:ascii="Times New Roman" w:hAnsi="Times New Roman"/>
          <w:b/>
          <w:sz w:val="24"/>
          <w:szCs w:val="24"/>
        </w:rPr>
        <w:fldChar w:fldCharType="separate"/>
      </w:r>
      <w:r>
        <w:rPr>
          <w:rFonts w:ascii="Times New Roman" w:hAnsi="Times New Roman"/>
          <w:b/>
          <w:sz w:val="24"/>
          <w:szCs w:val="24"/>
        </w:rPr>
        <w:t>- 57 -</w:t>
      </w:r>
      <w:r>
        <w:rPr>
          <w:rFonts w:ascii="Times New Roman" w:hAnsi="Times New Roman"/>
          <w:b/>
          <w:sz w:val="24"/>
          <w:szCs w:val="24"/>
        </w:rPr>
        <w:fldChar w:fldCharType="end"/>
      </w:r>
      <w:r>
        <w:rPr>
          <w:rFonts w:ascii="Times New Roman" w:hAnsi="Times New Roman"/>
          <w:b/>
          <w:sz w:val="24"/>
          <w:szCs w:val="24"/>
        </w:rPr>
        <w:fldChar w:fldCharType="end"/>
      </w:r>
    </w:p>
    <w:p w14:paraId="57ECF0B5">
      <w:pPr>
        <w:pStyle w:val="30"/>
        <w:tabs>
          <w:tab w:val="right" w:leader="dot" w:pos="8834"/>
        </w:tabs>
        <w:spacing w:line="480" w:lineRule="auto"/>
        <w:rPr>
          <w:rFonts w:ascii="Times New Roman" w:hAnsi="Times New Roman"/>
          <w:b/>
          <w:sz w:val="24"/>
          <w:szCs w:val="24"/>
        </w:rPr>
      </w:pPr>
      <w:r>
        <w:fldChar w:fldCharType="begin"/>
      </w:r>
      <w:r>
        <w:instrText xml:space="preserve"> HYPERLINK \l "_Toc69399390" </w:instrText>
      </w:r>
      <w:r>
        <w:fldChar w:fldCharType="separate"/>
      </w:r>
      <w:r>
        <w:rPr>
          <w:rStyle w:val="54"/>
          <w:rFonts w:ascii="Times New Roman"/>
          <w:b/>
          <w:snapToGrid w:val="0"/>
          <w:color w:val="auto"/>
          <w:sz w:val="24"/>
          <w:szCs w:val="24"/>
        </w:rPr>
        <w:t>四、主要环境影响和保护措施</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_Toc69399390 \h </w:instrText>
      </w:r>
      <w:r>
        <w:rPr>
          <w:rFonts w:ascii="Times New Roman" w:hAnsi="Times New Roman"/>
          <w:b/>
          <w:sz w:val="24"/>
          <w:szCs w:val="24"/>
        </w:rPr>
        <w:fldChar w:fldCharType="separate"/>
      </w:r>
      <w:r>
        <w:rPr>
          <w:rFonts w:ascii="Times New Roman" w:hAnsi="Times New Roman"/>
          <w:b/>
          <w:sz w:val="24"/>
          <w:szCs w:val="24"/>
        </w:rPr>
        <w:t>- 68 -</w:t>
      </w:r>
      <w:r>
        <w:rPr>
          <w:rFonts w:ascii="Times New Roman" w:hAnsi="Times New Roman"/>
          <w:b/>
          <w:sz w:val="24"/>
          <w:szCs w:val="24"/>
        </w:rPr>
        <w:fldChar w:fldCharType="end"/>
      </w:r>
      <w:r>
        <w:rPr>
          <w:rFonts w:ascii="Times New Roman" w:hAnsi="Times New Roman"/>
          <w:b/>
          <w:sz w:val="24"/>
          <w:szCs w:val="24"/>
        </w:rPr>
        <w:fldChar w:fldCharType="end"/>
      </w:r>
    </w:p>
    <w:p w14:paraId="7AE78625">
      <w:pPr>
        <w:pStyle w:val="30"/>
        <w:tabs>
          <w:tab w:val="right" w:leader="dot" w:pos="8834"/>
        </w:tabs>
        <w:spacing w:line="480" w:lineRule="auto"/>
        <w:rPr>
          <w:rFonts w:ascii="Times New Roman" w:hAnsi="Times New Roman"/>
          <w:b/>
          <w:sz w:val="24"/>
          <w:szCs w:val="24"/>
        </w:rPr>
      </w:pPr>
      <w:r>
        <w:fldChar w:fldCharType="begin"/>
      </w:r>
      <w:r>
        <w:instrText xml:space="preserve"> HYPERLINK \l "_Toc69399406" </w:instrText>
      </w:r>
      <w:r>
        <w:fldChar w:fldCharType="separate"/>
      </w:r>
      <w:r>
        <w:rPr>
          <w:rStyle w:val="54"/>
          <w:rFonts w:ascii="Times New Roman"/>
          <w:b/>
          <w:snapToGrid w:val="0"/>
          <w:color w:val="auto"/>
          <w:sz w:val="24"/>
          <w:szCs w:val="24"/>
        </w:rPr>
        <w:t>五、环境保护措施监督检查清单</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_Toc69399406 \h </w:instrText>
      </w:r>
      <w:r>
        <w:rPr>
          <w:rFonts w:ascii="Times New Roman" w:hAnsi="Times New Roman"/>
          <w:b/>
          <w:sz w:val="24"/>
          <w:szCs w:val="24"/>
        </w:rPr>
        <w:fldChar w:fldCharType="separate"/>
      </w:r>
      <w:r>
        <w:rPr>
          <w:rFonts w:ascii="Times New Roman" w:hAnsi="Times New Roman"/>
          <w:b/>
          <w:sz w:val="24"/>
          <w:szCs w:val="24"/>
        </w:rPr>
        <w:t>- 96 -</w:t>
      </w:r>
      <w:r>
        <w:rPr>
          <w:rFonts w:ascii="Times New Roman" w:hAnsi="Times New Roman"/>
          <w:b/>
          <w:sz w:val="24"/>
          <w:szCs w:val="24"/>
        </w:rPr>
        <w:fldChar w:fldCharType="end"/>
      </w:r>
      <w:r>
        <w:rPr>
          <w:rFonts w:ascii="Times New Roman" w:hAnsi="Times New Roman"/>
          <w:b/>
          <w:sz w:val="24"/>
          <w:szCs w:val="24"/>
        </w:rPr>
        <w:fldChar w:fldCharType="end"/>
      </w:r>
    </w:p>
    <w:p w14:paraId="79F53082">
      <w:pPr>
        <w:pStyle w:val="30"/>
        <w:tabs>
          <w:tab w:val="right" w:leader="dot" w:pos="8834"/>
        </w:tabs>
        <w:spacing w:line="480" w:lineRule="auto"/>
        <w:rPr>
          <w:rFonts w:ascii="Times New Roman" w:hAnsi="Times New Roman"/>
          <w:b/>
          <w:sz w:val="24"/>
          <w:szCs w:val="24"/>
        </w:rPr>
      </w:pPr>
      <w:r>
        <w:fldChar w:fldCharType="begin"/>
      </w:r>
      <w:r>
        <w:instrText xml:space="preserve"> HYPERLINK \l "_Toc69399407" </w:instrText>
      </w:r>
      <w:r>
        <w:fldChar w:fldCharType="separate"/>
      </w:r>
      <w:r>
        <w:rPr>
          <w:rStyle w:val="54"/>
          <w:rFonts w:ascii="Times New Roman"/>
          <w:b/>
          <w:snapToGrid w:val="0"/>
          <w:color w:val="auto"/>
          <w:sz w:val="24"/>
          <w:szCs w:val="24"/>
        </w:rPr>
        <w:t>六、结论</w:t>
      </w:r>
      <w:r>
        <w:rPr>
          <w:rFonts w:ascii="Times New Roman" w:hAnsi="Times New Roman"/>
          <w:b/>
          <w:sz w:val="24"/>
          <w:szCs w:val="24"/>
        </w:rPr>
        <w:tab/>
      </w:r>
      <w:r>
        <w:rPr>
          <w:rFonts w:ascii="Times New Roman" w:hAnsi="Times New Roman"/>
          <w:b/>
          <w:sz w:val="24"/>
          <w:szCs w:val="24"/>
        </w:rPr>
        <w:fldChar w:fldCharType="begin"/>
      </w:r>
      <w:r>
        <w:rPr>
          <w:rFonts w:ascii="Times New Roman" w:hAnsi="Times New Roman"/>
          <w:b/>
          <w:sz w:val="24"/>
          <w:szCs w:val="24"/>
        </w:rPr>
        <w:instrText xml:space="preserve"> PAGEREF _Toc69399407 \h </w:instrText>
      </w:r>
      <w:r>
        <w:rPr>
          <w:rFonts w:ascii="Times New Roman" w:hAnsi="Times New Roman"/>
          <w:b/>
          <w:sz w:val="24"/>
          <w:szCs w:val="24"/>
        </w:rPr>
        <w:fldChar w:fldCharType="separate"/>
      </w:r>
      <w:r>
        <w:rPr>
          <w:rFonts w:ascii="Times New Roman" w:hAnsi="Times New Roman"/>
          <w:b/>
          <w:sz w:val="24"/>
          <w:szCs w:val="24"/>
        </w:rPr>
        <w:t>- 98 -</w:t>
      </w:r>
      <w:r>
        <w:rPr>
          <w:rFonts w:ascii="Times New Roman" w:hAnsi="Times New Roman"/>
          <w:b/>
          <w:sz w:val="24"/>
          <w:szCs w:val="24"/>
        </w:rPr>
        <w:fldChar w:fldCharType="end"/>
      </w:r>
      <w:r>
        <w:rPr>
          <w:rFonts w:ascii="Times New Roman" w:hAnsi="Times New Roman"/>
          <w:b/>
          <w:sz w:val="24"/>
          <w:szCs w:val="24"/>
        </w:rPr>
        <w:fldChar w:fldCharType="end"/>
      </w:r>
    </w:p>
    <w:p w14:paraId="7094DE0C">
      <w:pPr>
        <w:spacing w:line="480" w:lineRule="auto"/>
        <w:rPr>
          <w:b/>
          <w:sz w:val="24"/>
        </w:rPr>
      </w:pPr>
      <w:r>
        <w:rPr>
          <w:b/>
          <w:sz w:val="24"/>
        </w:rPr>
        <w:fldChar w:fldCharType="end"/>
      </w:r>
      <w:bookmarkStart w:id="2" w:name="_Toc327197886"/>
    </w:p>
    <w:p w14:paraId="246BA96C">
      <w:pPr>
        <w:spacing w:line="276" w:lineRule="auto"/>
        <w:rPr>
          <w:b/>
          <w:sz w:val="24"/>
        </w:rPr>
      </w:pPr>
      <w:r>
        <w:rPr>
          <w:b/>
          <w:sz w:val="24"/>
        </w:rPr>
        <w:br w:type="page"/>
      </w:r>
      <w:bookmarkEnd w:id="2"/>
      <w:bookmarkStart w:id="3" w:name="_Toc327197887"/>
      <w:r>
        <w:rPr>
          <w:rFonts w:hAnsi="宋体"/>
          <w:b/>
          <w:sz w:val="24"/>
        </w:rPr>
        <w:t>附件</w:t>
      </w:r>
    </w:p>
    <w:bookmarkEnd w:id="3"/>
    <w:p w14:paraId="0A7C1B79">
      <w:pPr>
        <w:spacing w:line="360" w:lineRule="auto"/>
        <w:rPr>
          <w:rFonts w:hint="eastAsia"/>
          <w:bCs/>
          <w:caps/>
          <w:sz w:val="24"/>
          <w:szCs w:val="28"/>
        </w:rPr>
      </w:pPr>
      <w:r>
        <w:rPr>
          <w:rFonts w:hAnsi="宋体"/>
          <w:bCs/>
          <w:caps/>
          <w:sz w:val="24"/>
          <w:szCs w:val="28"/>
        </w:rPr>
        <w:t>附件</w:t>
      </w:r>
      <w:r>
        <w:rPr>
          <w:bCs/>
          <w:caps/>
          <w:sz w:val="24"/>
          <w:szCs w:val="28"/>
        </w:rPr>
        <w:t>1</w:t>
      </w:r>
      <w:r>
        <w:rPr>
          <w:rFonts w:hint="eastAsia"/>
          <w:bCs/>
          <w:caps/>
          <w:sz w:val="24"/>
          <w:szCs w:val="28"/>
        </w:rPr>
        <w:t>：</w:t>
      </w:r>
      <w:r>
        <w:rPr>
          <w:bCs/>
          <w:caps/>
          <w:sz w:val="24"/>
          <w:szCs w:val="28"/>
        </w:rPr>
        <w:t>委托书</w:t>
      </w:r>
    </w:p>
    <w:p w14:paraId="631065D6">
      <w:pPr>
        <w:spacing w:line="360" w:lineRule="auto"/>
        <w:rPr>
          <w:rFonts w:hint="eastAsia" w:eastAsia="宋体"/>
          <w:bCs/>
          <w:caps/>
          <w:sz w:val="24"/>
          <w:szCs w:val="28"/>
          <w:lang w:eastAsia="zh-CN"/>
        </w:rPr>
      </w:pPr>
      <w:r>
        <w:rPr>
          <w:rFonts w:hAnsi="宋体"/>
          <w:bCs/>
          <w:caps/>
          <w:sz w:val="24"/>
          <w:szCs w:val="28"/>
        </w:rPr>
        <w:t>附件</w:t>
      </w:r>
      <w:r>
        <w:rPr>
          <w:rFonts w:hint="eastAsia"/>
          <w:bCs/>
          <w:caps/>
          <w:sz w:val="24"/>
          <w:szCs w:val="28"/>
        </w:rPr>
        <w:t>2：</w:t>
      </w:r>
      <w:r>
        <w:rPr>
          <w:rFonts w:hint="eastAsia" w:hAnsi="宋体"/>
          <w:bCs/>
          <w:caps/>
          <w:sz w:val="24"/>
          <w:szCs w:val="28"/>
          <w:lang w:val="en-US" w:eastAsia="zh-CN"/>
        </w:rPr>
        <w:t>可研批复</w:t>
      </w:r>
    </w:p>
    <w:p w14:paraId="15A4C58C">
      <w:pPr>
        <w:spacing w:line="360" w:lineRule="auto"/>
        <w:rPr>
          <w:bCs/>
          <w:caps/>
          <w:sz w:val="24"/>
          <w:szCs w:val="28"/>
        </w:rPr>
      </w:pPr>
      <w:r>
        <w:rPr>
          <w:rFonts w:hAnsi="宋体"/>
          <w:bCs/>
          <w:caps/>
          <w:sz w:val="24"/>
          <w:szCs w:val="28"/>
        </w:rPr>
        <w:t>附件</w:t>
      </w:r>
      <w:r>
        <w:rPr>
          <w:rFonts w:hint="eastAsia" w:hAnsi="宋体"/>
          <w:bCs/>
          <w:caps/>
          <w:sz w:val="24"/>
          <w:szCs w:val="28"/>
          <w:lang w:val="en-US" w:eastAsia="zh-CN"/>
        </w:rPr>
        <w:t>3</w:t>
      </w:r>
      <w:r>
        <w:rPr>
          <w:rFonts w:hint="eastAsia"/>
          <w:bCs/>
          <w:caps/>
          <w:sz w:val="24"/>
          <w:szCs w:val="28"/>
        </w:rPr>
        <w:t>：</w:t>
      </w:r>
      <w:r>
        <w:rPr>
          <w:rFonts w:hint="eastAsia" w:hAnsi="宋体"/>
          <w:bCs/>
          <w:caps/>
          <w:sz w:val="24"/>
          <w:szCs w:val="28"/>
        </w:rPr>
        <w:t>寻甸县发改委关于可研批复的情况说明</w:t>
      </w:r>
    </w:p>
    <w:p w14:paraId="25F3435D">
      <w:pPr>
        <w:spacing w:line="360" w:lineRule="auto"/>
        <w:rPr>
          <w:rFonts w:hAnsi="宋体"/>
          <w:bCs/>
          <w:sz w:val="24"/>
        </w:rPr>
      </w:pPr>
      <w:r>
        <w:rPr>
          <w:rFonts w:hint="eastAsia" w:hAnsi="宋体"/>
          <w:bCs/>
          <w:sz w:val="24"/>
        </w:rPr>
        <w:t>附件4：“三区三线”查询结果</w:t>
      </w:r>
    </w:p>
    <w:p w14:paraId="12A0CBB4">
      <w:pPr>
        <w:spacing w:line="360" w:lineRule="auto"/>
        <w:rPr>
          <w:rFonts w:hint="eastAsia" w:hAnsi="宋体"/>
          <w:bCs/>
          <w:sz w:val="24"/>
        </w:rPr>
      </w:pPr>
      <w:r>
        <w:rPr>
          <w:rFonts w:hint="eastAsia" w:hAnsi="宋体"/>
          <w:bCs/>
          <w:sz w:val="24"/>
        </w:rPr>
        <w:t>附件5：涉及生态环境分区管控情况查询文件</w:t>
      </w:r>
    </w:p>
    <w:p w14:paraId="170D2046">
      <w:pPr>
        <w:spacing w:line="360" w:lineRule="auto"/>
        <w:rPr>
          <w:rFonts w:hint="eastAsia" w:hAnsi="宋体"/>
          <w:bCs/>
          <w:sz w:val="24"/>
        </w:rPr>
      </w:pPr>
      <w:r>
        <w:rPr>
          <w:rFonts w:hAnsi="宋体"/>
          <w:bCs/>
          <w:sz w:val="24"/>
        </w:rPr>
        <w:t>附件</w:t>
      </w:r>
      <w:r>
        <w:rPr>
          <w:rFonts w:hint="eastAsia" w:hAnsi="宋体"/>
          <w:bCs/>
          <w:sz w:val="24"/>
        </w:rPr>
        <w:t>6：渣场土地使用证</w:t>
      </w:r>
    </w:p>
    <w:p w14:paraId="05A74049">
      <w:pPr>
        <w:spacing w:line="360" w:lineRule="auto"/>
        <w:rPr>
          <w:rFonts w:hint="eastAsia" w:hAnsi="宋体" w:eastAsia="宋体"/>
          <w:bCs/>
          <w:sz w:val="24"/>
          <w:highlight w:val="yellow"/>
          <w:lang w:eastAsia="zh-CN"/>
        </w:rPr>
      </w:pPr>
      <w:r>
        <w:rPr>
          <w:rFonts w:hAnsi="宋体"/>
          <w:bCs/>
          <w:sz w:val="24"/>
        </w:rPr>
        <w:t>附件</w:t>
      </w:r>
      <w:r>
        <w:rPr>
          <w:rFonts w:hint="eastAsia" w:hAnsi="宋体"/>
          <w:bCs/>
          <w:sz w:val="24"/>
          <w:lang w:val="en-US" w:eastAsia="zh-CN"/>
        </w:rPr>
        <w:t>7</w:t>
      </w:r>
      <w:r>
        <w:rPr>
          <w:rFonts w:hint="eastAsia" w:hAnsi="宋体"/>
          <w:bCs/>
          <w:sz w:val="24"/>
        </w:rPr>
        <w:t>：</w:t>
      </w:r>
      <w:r>
        <w:rPr>
          <w:rFonts w:hint="eastAsia" w:hAnsi="宋体"/>
          <w:bCs/>
          <w:sz w:val="24"/>
          <w:lang w:val="en-US" w:eastAsia="zh-CN"/>
        </w:rPr>
        <w:t>场地租赁合同</w:t>
      </w:r>
    </w:p>
    <w:p w14:paraId="5C194317">
      <w:pPr>
        <w:spacing w:line="360" w:lineRule="auto"/>
        <w:rPr>
          <w:rFonts w:hint="eastAsia" w:hAnsi="宋体"/>
          <w:bCs/>
          <w:sz w:val="24"/>
        </w:rPr>
      </w:pPr>
      <w:r>
        <w:rPr>
          <w:rFonts w:hAnsi="宋体"/>
          <w:bCs/>
          <w:sz w:val="24"/>
        </w:rPr>
        <w:t>附件</w:t>
      </w:r>
      <w:r>
        <w:rPr>
          <w:rFonts w:hint="eastAsia" w:hAnsi="宋体"/>
          <w:bCs/>
          <w:sz w:val="24"/>
          <w:lang w:val="en-US" w:eastAsia="zh-CN"/>
        </w:rPr>
        <w:t>8</w:t>
      </w:r>
      <w:r>
        <w:rPr>
          <w:rFonts w:hint="eastAsia" w:hAnsi="宋体"/>
          <w:bCs/>
          <w:sz w:val="24"/>
        </w:rPr>
        <w:t>：寻甸县常青树磷石膏库堆渣体积复核项目物探勘察中间成果</w:t>
      </w:r>
    </w:p>
    <w:p w14:paraId="2BBE0023">
      <w:pPr>
        <w:spacing w:line="360" w:lineRule="auto"/>
        <w:rPr>
          <w:rFonts w:hint="eastAsia" w:hAnsi="宋体"/>
          <w:bCs/>
          <w:sz w:val="24"/>
        </w:rPr>
      </w:pPr>
      <w:r>
        <w:rPr>
          <w:rFonts w:hAnsi="宋体"/>
          <w:bCs/>
          <w:sz w:val="24"/>
        </w:rPr>
        <w:t>附件</w:t>
      </w:r>
      <w:r>
        <w:rPr>
          <w:rFonts w:hint="eastAsia" w:hAnsi="宋体"/>
          <w:bCs/>
          <w:sz w:val="24"/>
          <w:lang w:val="en-US" w:eastAsia="zh-CN"/>
        </w:rPr>
        <w:t>9</w:t>
      </w:r>
      <w:r>
        <w:rPr>
          <w:rFonts w:hint="eastAsia" w:hAnsi="宋体"/>
          <w:bCs/>
          <w:sz w:val="24"/>
        </w:rPr>
        <w:t>：寻甸县常青树磷石膏库堆渣体积复核项目物探勘察成果报告</w:t>
      </w:r>
    </w:p>
    <w:p w14:paraId="4564EFE2">
      <w:pPr>
        <w:spacing w:line="360" w:lineRule="auto"/>
        <w:rPr>
          <w:rFonts w:hint="eastAsia" w:hAnsi="宋体"/>
          <w:bCs/>
          <w:sz w:val="24"/>
        </w:rPr>
      </w:pPr>
      <w:r>
        <w:rPr>
          <w:rFonts w:hint="eastAsia" w:hAnsi="宋体"/>
          <w:bCs/>
          <w:sz w:val="24"/>
        </w:rPr>
        <w:t>附件</w:t>
      </w:r>
      <w:r>
        <w:rPr>
          <w:rFonts w:hint="eastAsia" w:hAnsi="宋体"/>
          <w:bCs/>
          <w:sz w:val="24"/>
          <w:lang w:val="en-US" w:eastAsia="zh-CN"/>
        </w:rPr>
        <w:t>10</w:t>
      </w:r>
      <w:r>
        <w:rPr>
          <w:rFonts w:hint="eastAsia" w:hAnsi="宋体"/>
          <w:bCs/>
          <w:sz w:val="24"/>
        </w:rPr>
        <w:t>：引用现状监测报告</w:t>
      </w:r>
    </w:p>
    <w:p w14:paraId="773EE5AA">
      <w:pPr>
        <w:spacing w:line="360" w:lineRule="auto"/>
        <w:rPr>
          <w:rFonts w:hint="eastAsia" w:hAnsi="宋体"/>
          <w:bCs/>
          <w:sz w:val="24"/>
        </w:rPr>
      </w:pPr>
      <w:r>
        <w:rPr>
          <w:rFonts w:hAnsi="宋体"/>
          <w:bCs/>
          <w:sz w:val="24"/>
        </w:rPr>
        <w:t>附件</w:t>
      </w:r>
      <w:r>
        <w:rPr>
          <w:rFonts w:hint="eastAsia" w:hAnsi="宋体"/>
          <w:bCs/>
          <w:sz w:val="24"/>
          <w:lang w:val="en-US" w:eastAsia="zh-CN"/>
        </w:rPr>
        <w:t>11</w:t>
      </w:r>
      <w:r>
        <w:rPr>
          <w:rFonts w:hint="eastAsia" w:hAnsi="宋体"/>
          <w:bCs/>
          <w:sz w:val="24"/>
        </w:rPr>
        <w:t>：常青树化工2023年3、6、9、12月自行监测报告</w:t>
      </w:r>
    </w:p>
    <w:p w14:paraId="255F538E">
      <w:pPr>
        <w:spacing w:line="360" w:lineRule="auto"/>
        <w:rPr>
          <w:rFonts w:hint="eastAsia" w:hAnsi="宋体"/>
          <w:bCs/>
          <w:sz w:val="24"/>
        </w:rPr>
      </w:pPr>
      <w:r>
        <w:rPr>
          <w:rFonts w:hAnsi="宋体"/>
          <w:bCs/>
          <w:sz w:val="24"/>
        </w:rPr>
        <w:t>附件</w:t>
      </w:r>
      <w:r>
        <w:rPr>
          <w:rFonts w:hint="eastAsia" w:hAnsi="宋体"/>
          <w:bCs/>
          <w:sz w:val="24"/>
          <w:lang w:val="en-US" w:eastAsia="zh-CN"/>
        </w:rPr>
        <w:t>12</w:t>
      </w:r>
      <w:r>
        <w:rPr>
          <w:rFonts w:hint="eastAsia" w:hAnsi="宋体"/>
          <w:bCs/>
          <w:sz w:val="24"/>
        </w:rPr>
        <w:t>：磷石膏库综合治理项目磷石膏无害化处理技术检测报告</w:t>
      </w:r>
    </w:p>
    <w:p w14:paraId="7F95BB88">
      <w:pPr>
        <w:spacing w:line="360" w:lineRule="auto"/>
        <w:rPr>
          <w:rFonts w:hint="eastAsia" w:hAnsi="宋体"/>
          <w:bCs/>
          <w:sz w:val="24"/>
        </w:rPr>
      </w:pPr>
      <w:r>
        <w:rPr>
          <w:rFonts w:hAnsi="宋体"/>
          <w:bCs/>
          <w:sz w:val="24"/>
        </w:rPr>
        <w:t>附件</w:t>
      </w:r>
      <w:r>
        <w:rPr>
          <w:rFonts w:hint="eastAsia" w:hAnsi="宋体"/>
          <w:bCs/>
          <w:sz w:val="24"/>
          <w:lang w:val="en-US" w:eastAsia="zh-CN"/>
        </w:rPr>
        <w:t>13</w:t>
      </w:r>
      <w:r>
        <w:rPr>
          <w:rFonts w:hint="eastAsia" w:hAnsi="宋体"/>
          <w:bCs/>
          <w:sz w:val="24"/>
        </w:rPr>
        <w:t>：《寻甸县常青树磷石膏库综合治理项目环境影响报告表》评估中心公示结果</w:t>
      </w:r>
    </w:p>
    <w:p w14:paraId="7241B3FD">
      <w:pPr>
        <w:pStyle w:val="17"/>
        <w:rPr>
          <w:rFonts w:hint="eastAsia" w:hAnsi="宋体"/>
          <w:bCs/>
          <w:sz w:val="24"/>
          <w:lang w:val="en-US" w:eastAsia="zh-CN"/>
        </w:rPr>
      </w:pPr>
      <w:r>
        <w:rPr>
          <w:rFonts w:hint="eastAsia" w:hAnsi="宋体"/>
          <w:bCs/>
          <w:sz w:val="24"/>
          <w:lang w:val="en-US" w:eastAsia="zh-CN"/>
        </w:rPr>
        <w:t>附件14：项目合同</w:t>
      </w:r>
    </w:p>
    <w:p w14:paraId="00C26B57">
      <w:pPr>
        <w:spacing w:line="360" w:lineRule="auto"/>
        <w:rPr>
          <w:rFonts w:hint="eastAsia" w:hAnsi="宋体"/>
          <w:bCs/>
          <w:sz w:val="24"/>
          <w:lang w:val="en-US" w:eastAsia="zh-CN"/>
        </w:rPr>
      </w:pPr>
      <w:r>
        <w:rPr>
          <w:rFonts w:hint="eastAsia" w:hAnsi="宋体"/>
          <w:bCs/>
          <w:sz w:val="24"/>
          <w:lang w:val="en-US" w:eastAsia="zh-CN"/>
        </w:rPr>
        <w:t>附件15：审核程序表</w:t>
      </w:r>
    </w:p>
    <w:p w14:paraId="746B4B90">
      <w:pPr>
        <w:spacing w:line="360" w:lineRule="auto"/>
        <w:rPr>
          <w:rFonts w:hint="default" w:hAnsi="宋体"/>
          <w:bCs/>
          <w:sz w:val="24"/>
          <w:lang w:val="en-US" w:eastAsia="zh-CN"/>
        </w:rPr>
      </w:pPr>
      <w:r>
        <w:rPr>
          <w:rFonts w:hint="eastAsia" w:hAnsi="宋体"/>
          <w:bCs/>
          <w:sz w:val="24"/>
          <w:lang w:val="en-US" w:eastAsia="zh-CN"/>
        </w:rPr>
        <w:t>附件16：项目进度表</w:t>
      </w:r>
    </w:p>
    <w:p w14:paraId="0D846577">
      <w:pPr>
        <w:rPr>
          <w:rFonts w:hint="default"/>
          <w:lang w:val="en-US" w:eastAsia="zh-CN"/>
        </w:rPr>
      </w:pPr>
    </w:p>
    <w:p w14:paraId="4EAE8930">
      <w:pPr>
        <w:spacing w:line="276" w:lineRule="auto"/>
        <w:rPr>
          <w:b/>
          <w:sz w:val="24"/>
        </w:rPr>
      </w:pPr>
      <w:r>
        <w:rPr>
          <w:rFonts w:hAnsi="宋体"/>
          <w:b/>
          <w:sz w:val="24"/>
        </w:rPr>
        <w:t>附图</w:t>
      </w:r>
    </w:p>
    <w:p w14:paraId="444223FC">
      <w:pPr>
        <w:spacing w:line="360" w:lineRule="auto"/>
        <w:rPr>
          <w:sz w:val="24"/>
        </w:rPr>
      </w:pPr>
      <w:r>
        <w:rPr>
          <w:rFonts w:hAnsi="宋体"/>
          <w:sz w:val="24"/>
        </w:rPr>
        <w:t>附图</w:t>
      </w:r>
      <w:r>
        <w:rPr>
          <w:sz w:val="24"/>
        </w:rPr>
        <w:t>1</w:t>
      </w:r>
      <w:r>
        <w:rPr>
          <w:rFonts w:hint="eastAsia"/>
          <w:sz w:val="24"/>
        </w:rPr>
        <w:t>：</w:t>
      </w:r>
      <w:r>
        <w:rPr>
          <w:rFonts w:hAnsi="宋体"/>
          <w:sz w:val="24"/>
        </w:rPr>
        <w:t>项目</w:t>
      </w:r>
      <w:r>
        <w:rPr>
          <w:rFonts w:hint="eastAsia" w:hAnsi="宋体"/>
          <w:sz w:val="24"/>
          <w:lang w:val="en-US" w:eastAsia="zh-CN"/>
        </w:rPr>
        <w:t>交通</w:t>
      </w:r>
      <w:r>
        <w:rPr>
          <w:rFonts w:hAnsi="宋体"/>
          <w:sz w:val="24"/>
        </w:rPr>
        <w:t>地理位置图</w:t>
      </w:r>
    </w:p>
    <w:p w14:paraId="71363A34">
      <w:pPr>
        <w:spacing w:line="360" w:lineRule="auto"/>
        <w:rPr>
          <w:sz w:val="24"/>
        </w:rPr>
      </w:pPr>
      <w:r>
        <w:rPr>
          <w:rFonts w:hAnsi="宋体"/>
          <w:sz w:val="24"/>
        </w:rPr>
        <w:t>附图</w:t>
      </w:r>
      <w:r>
        <w:rPr>
          <w:sz w:val="24"/>
        </w:rPr>
        <w:t>2</w:t>
      </w:r>
      <w:r>
        <w:rPr>
          <w:rFonts w:hint="eastAsia"/>
          <w:sz w:val="24"/>
        </w:rPr>
        <w:t>：</w:t>
      </w:r>
      <w:r>
        <w:rPr>
          <w:rFonts w:hAnsi="宋体"/>
          <w:sz w:val="24"/>
        </w:rPr>
        <w:t>项目</w:t>
      </w:r>
      <w:r>
        <w:rPr>
          <w:rFonts w:hint="eastAsia" w:hAnsi="宋体"/>
          <w:sz w:val="24"/>
          <w:lang w:val="en-US" w:eastAsia="zh-CN"/>
        </w:rPr>
        <w:t>区域</w:t>
      </w:r>
      <w:r>
        <w:rPr>
          <w:rFonts w:hAnsi="宋体"/>
          <w:sz w:val="24"/>
        </w:rPr>
        <w:t>水系图</w:t>
      </w:r>
    </w:p>
    <w:p w14:paraId="3627EDA8">
      <w:pPr>
        <w:spacing w:line="360" w:lineRule="auto"/>
        <w:rPr>
          <w:rFonts w:hint="eastAsia" w:hAnsi="宋体"/>
          <w:sz w:val="24"/>
        </w:rPr>
      </w:pPr>
      <w:r>
        <w:rPr>
          <w:rFonts w:hAnsi="宋体"/>
          <w:sz w:val="24"/>
        </w:rPr>
        <w:t>附图3</w:t>
      </w:r>
      <w:r>
        <w:rPr>
          <w:rFonts w:hint="eastAsia" w:hAnsi="宋体"/>
          <w:sz w:val="24"/>
        </w:rPr>
        <w:t>：项目改性区周边敏感目标及位置关系图</w:t>
      </w:r>
    </w:p>
    <w:p w14:paraId="64C1D8AB">
      <w:pPr>
        <w:spacing w:line="360" w:lineRule="auto"/>
        <w:rPr>
          <w:rFonts w:hAnsi="宋体"/>
          <w:sz w:val="24"/>
        </w:rPr>
      </w:pPr>
      <w:r>
        <w:rPr>
          <w:rFonts w:hint="eastAsia" w:hAnsi="宋体"/>
          <w:sz w:val="24"/>
        </w:rPr>
        <w:t>附图4</w:t>
      </w:r>
      <w:r>
        <w:rPr>
          <w:rFonts w:hint="eastAsia" w:hAnsi="宋体"/>
          <w:sz w:val="24"/>
          <w:lang w:eastAsia="zh-CN"/>
        </w:rPr>
        <w:t>：</w:t>
      </w:r>
      <w:r>
        <w:rPr>
          <w:rFonts w:hint="eastAsia" w:hAnsi="宋体"/>
          <w:sz w:val="24"/>
        </w:rPr>
        <w:t>项目与云南常青树化工有限公司关系图</w:t>
      </w:r>
    </w:p>
    <w:p w14:paraId="7D2EE5BB">
      <w:pPr>
        <w:spacing w:line="360" w:lineRule="auto"/>
        <w:rPr>
          <w:rFonts w:hAnsi="宋体"/>
          <w:sz w:val="24"/>
        </w:rPr>
      </w:pPr>
      <w:r>
        <w:rPr>
          <w:rFonts w:hint="eastAsia" w:hAnsi="宋体"/>
          <w:sz w:val="24"/>
        </w:rPr>
        <w:t>附图</w:t>
      </w:r>
      <w:r>
        <w:rPr>
          <w:rFonts w:hint="eastAsia" w:hAnsi="宋体"/>
          <w:sz w:val="24"/>
          <w:lang w:val="en-US" w:eastAsia="zh-CN"/>
        </w:rPr>
        <w:t>5</w:t>
      </w:r>
      <w:r>
        <w:rPr>
          <w:rFonts w:hint="eastAsia" w:hAnsi="宋体"/>
          <w:sz w:val="24"/>
        </w:rPr>
        <w:t>：</w:t>
      </w:r>
      <w:r>
        <w:rPr>
          <w:rFonts w:hint="eastAsia" w:hAnsi="宋体"/>
          <w:sz w:val="24"/>
          <w:lang w:val="en-US" w:eastAsia="zh-CN"/>
        </w:rPr>
        <w:t>改性区</w:t>
      </w:r>
      <w:r>
        <w:rPr>
          <w:rFonts w:hAnsi="宋体"/>
          <w:sz w:val="24"/>
        </w:rPr>
        <w:t>平面布置图</w:t>
      </w:r>
    </w:p>
    <w:p w14:paraId="1C336AB3">
      <w:pPr>
        <w:spacing w:line="360" w:lineRule="auto"/>
        <w:rPr>
          <w:rFonts w:hAnsi="宋体"/>
          <w:sz w:val="24"/>
        </w:rPr>
      </w:pPr>
      <w:r>
        <w:rPr>
          <w:rFonts w:hAnsi="宋体"/>
          <w:sz w:val="24"/>
        </w:rPr>
        <w:t>附图</w:t>
      </w:r>
      <w:r>
        <w:rPr>
          <w:rFonts w:hint="eastAsia" w:hAnsi="宋体"/>
          <w:sz w:val="24"/>
          <w:lang w:val="en-US" w:eastAsia="zh-CN"/>
        </w:rPr>
        <w:t>6</w:t>
      </w:r>
      <w:r>
        <w:rPr>
          <w:rFonts w:hint="eastAsia" w:hAnsi="宋体"/>
          <w:sz w:val="24"/>
        </w:rPr>
        <w:t>：项目与牛栏江水系环境规划关系图</w:t>
      </w:r>
    </w:p>
    <w:p w14:paraId="3D4254C0">
      <w:pPr>
        <w:spacing w:line="360" w:lineRule="auto"/>
        <w:rPr>
          <w:rFonts w:hAnsi="宋体"/>
          <w:sz w:val="24"/>
        </w:rPr>
      </w:pPr>
      <w:r>
        <w:rPr>
          <w:rFonts w:hint="eastAsia" w:hAnsi="宋体"/>
          <w:sz w:val="24"/>
        </w:rPr>
        <w:t>附图</w:t>
      </w:r>
      <w:r>
        <w:rPr>
          <w:rFonts w:hint="eastAsia" w:hAnsi="宋体"/>
          <w:sz w:val="24"/>
          <w:lang w:val="en-US" w:eastAsia="zh-CN"/>
        </w:rPr>
        <w:t>7</w:t>
      </w:r>
      <w:r>
        <w:rPr>
          <w:rFonts w:hint="eastAsia" w:hAnsi="宋体"/>
          <w:sz w:val="24"/>
        </w:rPr>
        <w:t>：</w:t>
      </w:r>
      <w:r>
        <w:rPr>
          <w:rFonts w:hAnsi="宋体"/>
          <w:sz w:val="24"/>
        </w:rPr>
        <w:t>项目</w:t>
      </w:r>
      <w:r>
        <w:rPr>
          <w:rFonts w:hint="eastAsia" w:hAnsi="宋体"/>
          <w:sz w:val="24"/>
        </w:rPr>
        <w:t>引用</w:t>
      </w:r>
      <w:r>
        <w:rPr>
          <w:rFonts w:hAnsi="宋体"/>
          <w:sz w:val="24"/>
        </w:rPr>
        <w:t>监测点位布置图</w:t>
      </w:r>
    </w:p>
    <w:p w14:paraId="69B3396C">
      <w:pPr>
        <w:spacing w:line="360" w:lineRule="auto"/>
        <w:rPr>
          <w:rFonts w:hint="eastAsia" w:hAnsi="宋体"/>
          <w:sz w:val="24"/>
          <w:lang w:val="en-US" w:eastAsia="zh-CN"/>
        </w:rPr>
      </w:pPr>
      <w:r>
        <w:rPr>
          <w:rFonts w:hint="eastAsia" w:hAnsi="宋体"/>
          <w:sz w:val="24"/>
          <w:lang w:val="en-US" w:eastAsia="zh-CN"/>
        </w:rPr>
        <w:t>附图8：改性项目运输路线图</w:t>
      </w:r>
    </w:p>
    <w:p w14:paraId="3DD55E19">
      <w:pPr>
        <w:spacing w:line="360" w:lineRule="auto"/>
        <w:rPr>
          <w:rFonts w:hint="eastAsia" w:hAnsi="宋体"/>
          <w:sz w:val="24"/>
          <w:lang w:val="en-US" w:eastAsia="zh-CN"/>
        </w:rPr>
      </w:pPr>
      <w:r>
        <w:rPr>
          <w:rFonts w:hint="eastAsia" w:hAnsi="宋体"/>
          <w:sz w:val="24"/>
          <w:lang w:val="en-US" w:eastAsia="zh-CN"/>
        </w:rPr>
        <w:t>附图9：分区防渗图</w:t>
      </w:r>
    </w:p>
    <w:p w14:paraId="178A5F4A">
      <w:pPr>
        <w:pStyle w:val="17"/>
        <w:rPr>
          <w:rFonts w:hint="default"/>
          <w:lang w:val="en-US" w:eastAsia="zh-CN"/>
        </w:rPr>
      </w:pPr>
    </w:p>
    <w:p w14:paraId="4D471B6E">
      <w:pPr>
        <w:pStyle w:val="40"/>
        <w:spacing w:before="0" w:beforeAutospacing="0" w:after="0" w:afterAutospacing="0"/>
        <w:jc w:val="center"/>
        <w:outlineLvl w:val="0"/>
        <w:rPr>
          <w:b/>
          <w:snapToGrid w:val="0"/>
          <w:sz w:val="30"/>
          <w:szCs w:val="30"/>
        </w:rPr>
      </w:pPr>
      <w:bookmarkStart w:id="4" w:name="_Toc69399386"/>
      <w:r>
        <w:rPr>
          <w:rFonts w:hint="eastAsia"/>
          <w:b/>
          <w:snapToGrid w:val="0"/>
          <w:sz w:val="30"/>
          <w:szCs w:val="30"/>
        </w:rPr>
        <w:t>一、建设项目基本情况</w:t>
      </w:r>
      <w:bookmarkEnd w:id="4"/>
    </w:p>
    <w:tbl>
      <w:tblPr>
        <w:tblStyle w:val="44"/>
        <w:tblW w:w="9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03"/>
        <w:gridCol w:w="27"/>
        <w:gridCol w:w="615"/>
        <w:gridCol w:w="2813"/>
        <w:gridCol w:w="1839"/>
        <w:gridCol w:w="3128"/>
      </w:tblGrid>
      <w:tr w14:paraId="19EDF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45" w:type="dxa"/>
            <w:gridSpan w:val="3"/>
            <w:tcMar>
              <w:top w:w="16" w:type="dxa"/>
              <w:left w:w="16" w:type="dxa"/>
              <w:right w:w="16" w:type="dxa"/>
            </w:tcMar>
            <w:vAlign w:val="center"/>
          </w:tcPr>
          <w:p w14:paraId="08D73A39">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建设项目名称</w:t>
            </w:r>
          </w:p>
        </w:tc>
        <w:tc>
          <w:tcPr>
            <w:tcW w:w="7780" w:type="dxa"/>
            <w:gridSpan w:val="3"/>
            <w:vAlign w:val="center"/>
          </w:tcPr>
          <w:p w14:paraId="3C00C58A">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寻甸县常青树磷石膏库综合治理项目</w:t>
            </w:r>
          </w:p>
        </w:tc>
      </w:tr>
      <w:tr w14:paraId="71D26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45" w:type="dxa"/>
            <w:gridSpan w:val="3"/>
            <w:tcMar>
              <w:top w:w="16" w:type="dxa"/>
              <w:left w:w="16" w:type="dxa"/>
              <w:right w:w="16" w:type="dxa"/>
            </w:tcMar>
            <w:vAlign w:val="center"/>
          </w:tcPr>
          <w:p w14:paraId="109242DF">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项目代码</w:t>
            </w:r>
          </w:p>
        </w:tc>
        <w:tc>
          <w:tcPr>
            <w:tcW w:w="7780" w:type="dxa"/>
            <w:gridSpan w:val="3"/>
            <w:vAlign w:val="center"/>
          </w:tcPr>
          <w:p w14:paraId="1739A88F">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2502-530129-04-05-901566</w:t>
            </w:r>
          </w:p>
        </w:tc>
      </w:tr>
      <w:tr w14:paraId="67AF8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45" w:type="dxa"/>
            <w:gridSpan w:val="3"/>
            <w:tcMar>
              <w:top w:w="16" w:type="dxa"/>
              <w:left w:w="16" w:type="dxa"/>
              <w:right w:w="16" w:type="dxa"/>
            </w:tcMar>
            <w:vAlign w:val="center"/>
          </w:tcPr>
          <w:p w14:paraId="7E5A70BB">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建设单位</w:t>
            </w:r>
          </w:p>
          <w:p w14:paraId="45F50046">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bookmarkStart w:id="23" w:name="_GoBack"/>
            <w:bookmarkEnd w:id="23"/>
            <w:r>
              <w:rPr>
                <w:rFonts w:hint="default"/>
                <w:color w:val="000000" w:themeColor="text1"/>
                <w:sz w:val="24"/>
                <w:szCs w:val="20"/>
                <w:highlight w:val="none"/>
                <w14:textFill>
                  <w14:solidFill>
                    <w14:schemeClr w14:val="tx1"/>
                  </w14:solidFill>
                </w14:textFill>
              </w:rPr>
              <w:t>联系人</w:t>
            </w:r>
          </w:p>
        </w:tc>
        <w:tc>
          <w:tcPr>
            <w:tcW w:w="2813" w:type="dxa"/>
            <w:vAlign w:val="center"/>
          </w:tcPr>
          <w:p w14:paraId="2460A70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themeColor="text1"/>
                <w:sz w:val="24"/>
                <w:szCs w:val="24"/>
                <w:highlight w:val="none"/>
                <w14:textFill>
                  <w14:solidFill>
                    <w14:schemeClr w14:val="tx1"/>
                  </w14:solidFill>
                </w14:textFill>
              </w:rPr>
            </w:pPr>
          </w:p>
        </w:tc>
        <w:tc>
          <w:tcPr>
            <w:tcW w:w="1839" w:type="dxa"/>
            <w:vAlign w:val="center"/>
          </w:tcPr>
          <w:p w14:paraId="3809E65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w:t>
            </w:r>
          </w:p>
        </w:tc>
        <w:tc>
          <w:tcPr>
            <w:tcW w:w="3128" w:type="dxa"/>
            <w:vAlign w:val="center"/>
          </w:tcPr>
          <w:p w14:paraId="2E511FD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themeColor="text1"/>
                <w:sz w:val="24"/>
                <w:szCs w:val="24"/>
                <w:highlight w:val="none"/>
                <w14:textFill>
                  <w14:solidFill>
                    <w14:schemeClr w14:val="tx1"/>
                  </w14:solidFill>
                </w14:textFill>
              </w:rPr>
            </w:pPr>
          </w:p>
        </w:tc>
      </w:tr>
      <w:tr w14:paraId="0C2AB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45" w:type="dxa"/>
            <w:gridSpan w:val="3"/>
            <w:tcMar>
              <w:top w:w="16" w:type="dxa"/>
              <w:left w:w="16" w:type="dxa"/>
              <w:right w:w="16" w:type="dxa"/>
            </w:tcMar>
            <w:vAlign w:val="center"/>
          </w:tcPr>
          <w:p w14:paraId="3A0302BB">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建设地点</w:t>
            </w:r>
          </w:p>
        </w:tc>
        <w:tc>
          <w:tcPr>
            <w:tcW w:w="7780" w:type="dxa"/>
            <w:gridSpan w:val="3"/>
            <w:vAlign w:val="center"/>
          </w:tcPr>
          <w:p w14:paraId="09E8D8E1">
            <w:pPr>
              <w:keepNext w:val="0"/>
              <w:keepLines w:val="0"/>
              <w:suppressLineNumbers w:val="0"/>
              <w:adjustRightInd w:val="0"/>
              <w:snapToGrid w:val="0"/>
              <w:spacing w:before="0" w:beforeAutospacing="0" w:after="0" w:afterAutospacing="0" w:line="276" w:lineRule="auto"/>
              <w:ind w:left="0" w:right="0"/>
              <w:jc w:val="center"/>
              <w:rPr>
                <w:rFonts w:hint="eastAsia" w:eastAsia="宋体"/>
                <w:color w:val="000000" w:themeColor="text1"/>
                <w:sz w:val="24"/>
                <w:szCs w:val="20"/>
                <w:highlight w:val="none"/>
                <w:lang w:val="en-US" w:eastAsia="zh-CN"/>
                <w14:textFill>
                  <w14:solidFill>
                    <w14:schemeClr w14:val="tx1"/>
                  </w14:solidFill>
                </w14:textFill>
              </w:rPr>
            </w:pPr>
            <w:r>
              <w:rPr>
                <w:rFonts w:hint="eastAsia" w:cs="宋体"/>
                <w:color w:val="000000" w:themeColor="text1"/>
                <w:sz w:val="24"/>
                <w:szCs w:val="21"/>
                <w:highlight w:val="none"/>
                <w:u w:val="none"/>
                <w14:textFill>
                  <w14:solidFill>
                    <w14:schemeClr w14:val="tx1"/>
                  </w14:solidFill>
                </w14:textFill>
              </w:rPr>
              <w:t>云南省昆明市寻甸县塘子街道原泰康化工厂区</w:t>
            </w:r>
            <w:r>
              <w:rPr>
                <w:rFonts w:hint="eastAsia" w:cs="宋体"/>
                <w:color w:val="000000" w:themeColor="text1"/>
                <w:sz w:val="24"/>
                <w:szCs w:val="21"/>
                <w:highlight w:val="none"/>
                <w:u w:val="none"/>
                <w:lang w:val="en-US" w:eastAsia="zh-CN"/>
                <w14:textFill>
                  <w14:solidFill>
                    <w14:schemeClr w14:val="tx1"/>
                  </w14:solidFill>
                </w14:textFill>
              </w:rPr>
              <w:t>内</w:t>
            </w:r>
          </w:p>
        </w:tc>
      </w:tr>
      <w:tr w14:paraId="7C2F9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45" w:type="dxa"/>
            <w:gridSpan w:val="3"/>
            <w:tcMar>
              <w:top w:w="16" w:type="dxa"/>
              <w:left w:w="16" w:type="dxa"/>
              <w:right w:w="16" w:type="dxa"/>
            </w:tcMar>
            <w:vAlign w:val="center"/>
          </w:tcPr>
          <w:p w14:paraId="07AA7F08">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地理坐标</w:t>
            </w:r>
          </w:p>
        </w:tc>
        <w:tc>
          <w:tcPr>
            <w:tcW w:w="7780" w:type="dxa"/>
            <w:gridSpan w:val="3"/>
            <w:vAlign w:val="center"/>
          </w:tcPr>
          <w:p w14:paraId="259F98B6">
            <w:pPr>
              <w:keepNext w:val="0"/>
              <w:keepLines w:val="0"/>
              <w:suppressLineNumbers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东经</w:t>
            </w:r>
            <w:r>
              <w:rPr>
                <w:rFonts w:hint="eastAsia"/>
                <w:color w:val="000000" w:themeColor="text1"/>
                <w:sz w:val="24"/>
                <w:szCs w:val="20"/>
                <w:highlight w:val="none"/>
                <w:u w:val="single"/>
                <w14:textFill>
                  <w14:solidFill>
                    <w14:schemeClr w14:val="tx1"/>
                  </w14:solidFill>
                </w14:textFill>
              </w:rPr>
              <w:t>103°15' 41.072"</w:t>
            </w:r>
            <w:r>
              <w:rPr>
                <w:rFonts w:hint="eastAsia"/>
                <w:color w:val="000000" w:themeColor="text1"/>
                <w:sz w:val="24"/>
                <w:szCs w:val="20"/>
                <w:highlight w:val="none"/>
                <w14:textFill>
                  <w14:solidFill>
                    <w14:schemeClr w14:val="tx1"/>
                  </w14:solidFill>
                </w14:textFill>
              </w:rPr>
              <w:t>，北纬</w:t>
            </w:r>
            <w:r>
              <w:rPr>
                <w:rFonts w:hint="eastAsia"/>
                <w:color w:val="000000" w:themeColor="text1"/>
                <w:sz w:val="24"/>
                <w:szCs w:val="20"/>
                <w:highlight w:val="none"/>
                <w:u w:val="single"/>
                <w14:textFill>
                  <w14:solidFill>
                    <w14:schemeClr w14:val="tx1"/>
                  </w14:solidFill>
                </w14:textFill>
              </w:rPr>
              <w:t>25°25' 25.851"</w:t>
            </w:r>
          </w:p>
        </w:tc>
      </w:tr>
      <w:tr w14:paraId="7C1FB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45" w:type="dxa"/>
            <w:gridSpan w:val="3"/>
            <w:tcMar>
              <w:top w:w="16" w:type="dxa"/>
              <w:left w:w="16" w:type="dxa"/>
              <w:right w:w="16" w:type="dxa"/>
            </w:tcMar>
            <w:vAlign w:val="center"/>
          </w:tcPr>
          <w:p w14:paraId="2A1A6DFF">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国民经济</w:t>
            </w:r>
          </w:p>
          <w:p w14:paraId="0ECB0D0D">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行业类别</w:t>
            </w:r>
          </w:p>
        </w:tc>
        <w:tc>
          <w:tcPr>
            <w:tcW w:w="2813" w:type="dxa"/>
            <w:vAlign w:val="center"/>
          </w:tcPr>
          <w:p w14:paraId="6D00D100">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固体废物治理（N7723）</w:t>
            </w:r>
          </w:p>
        </w:tc>
        <w:tc>
          <w:tcPr>
            <w:tcW w:w="1839" w:type="dxa"/>
            <w:vAlign w:val="center"/>
          </w:tcPr>
          <w:p w14:paraId="3C220AAF">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bookmarkStart w:id="5" w:name="_Hlk49843745"/>
            <w:r>
              <w:rPr>
                <w:rFonts w:hint="default"/>
                <w:color w:val="000000" w:themeColor="text1"/>
                <w:sz w:val="24"/>
                <w:szCs w:val="20"/>
                <w:highlight w:val="none"/>
                <w14:textFill>
                  <w14:solidFill>
                    <w14:schemeClr w14:val="tx1"/>
                  </w14:solidFill>
                </w14:textFill>
              </w:rPr>
              <w:t>建设项目</w:t>
            </w:r>
          </w:p>
          <w:p w14:paraId="523F02CB">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行业类别</w:t>
            </w:r>
            <w:bookmarkEnd w:id="5"/>
          </w:p>
        </w:tc>
        <w:tc>
          <w:tcPr>
            <w:tcW w:w="3128" w:type="dxa"/>
            <w:vAlign w:val="center"/>
          </w:tcPr>
          <w:p w14:paraId="1FE8FAA2">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四十七、生态保护和环境治理业103一般工业固体废物（含污水处理淤泥）、建筑施工废弃物处置及综合利用</w:t>
            </w:r>
          </w:p>
        </w:tc>
      </w:tr>
      <w:tr w14:paraId="49ABE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45" w:type="dxa"/>
            <w:gridSpan w:val="3"/>
            <w:tcMar>
              <w:top w:w="16" w:type="dxa"/>
              <w:left w:w="16" w:type="dxa"/>
              <w:right w:w="16" w:type="dxa"/>
            </w:tcMar>
            <w:vAlign w:val="center"/>
          </w:tcPr>
          <w:p w14:paraId="18EF5279">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建设性质</w:t>
            </w:r>
          </w:p>
        </w:tc>
        <w:tc>
          <w:tcPr>
            <w:tcW w:w="2813" w:type="dxa"/>
            <w:vAlign w:val="center"/>
          </w:tcPr>
          <w:p w14:paraId="1D884848">
            <w:pPr>
              <w:keepNext w:val="0"/>
              <w:keepLines w:val="0"/>
              <w:suppressLineNumbers w:val="0"/>
              <w:spacing w:before="0" w:beforeAutospacing="0" w:after="0" w:afterAutospacing="0" w:line="276" w:lineRule="auto"/>
              <w:ind w:left="0" w:right="0"/>
              <w:jc w:val="left"/>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sym w:font="Wingdings 2" w:char="0052"/>
            </w:r>
            <w:r>
              <w:rPr>
                <w:rFonts w:hint="default"/>
                <w:color w:val="000000" w:themeColor="text1"/>
                <w:sz w:val="24"/>
                <w:szCs w:val="20"/>
                <w:highlight w:val="none"/>
                <w14:textFill>
                  <w14:solidFill>
                    <w14:schemeClr w14:val="tx1"/>
                  </w14:solidFill>
                </w14:textFill>
              </w:rPr>
              <w:t>新建（迁建）</w:t>
            </w:r>
          </w:p>
          <w:p w14:paraId="304FD07F">
            <w:pPr>
              <w:keepNext w:val="0"/>
              <w:keepLines w:val="0"/>
              <w:suppressLineNumbers w:val="0"/>
              <w:spacing w:before="0" w:beforeAutospacing="0" w:after="0" w:afterAutospacing="0" w:line="276" w:lineRule="auto"/>
              <w:ind w:left="0" w:right="0"/>
              <w:jc w:val="left"/>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sym w:font="Wingdings 2" w:char="00A3"/>
            </w:r>
            <w:r>
              <w:rPr>
                <w:rFonts w:hint="default"/>
                <w:color w:val="000000" w:themeColor="text1"/>
                <w:sz w:val="24"/>
                <w:szCs w:val="20"/>
                <w:highlight w:val="none"/>
                <w14:textFill>
                  <w14:solidFill>
                    <w14:schemeClr w14:val="tx1"/>
                  </w14:solidFill>
                </w14:textFill>
              </w:rPr>
              <w:t>改建</w:t>
            </w:r>
          </w:p>
          <w:p w14:paraId="4696D5B9">
            <w:pPr>
              <w:keepNext w:val="0"/>
              <w:keepLines w:val="0"/>
              <w:suppressLineNumbers w:val="0"/>
              <w:spacing w:before="0" w:beforeAutospacing="0" w:after="0" w:afterAutospacing="0" w:line="276" w:lineRule="auto"/>
              <w:ind w:left="0" w:right="0"/>
              <w:jc w:val="left"/>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sym w:font="Wingdings 2" w:char="00A3"/>
            </w:r>
            <w:r>
              <w:rPr>
                <w:rFonts w:hint="default"/>
                <w:color w:val="000000" w:themeColor="text1"/>
                <w:sz w:val="24"/>
                <w:szCs w:val="20"/>
                <w:highlight w:val="none"/>
                <w14:textFill>
                  <w14:solidFill>
                    <w14:schemeClr w14:val="tx1"/>
                  </w14:solidFill>
                </w14:textFill>
              </w:rPr>
              <w:t>扩建</w:t>
            </w:r>
          </w:p>
          <w:p w14:paraId="459F05DA">
            <w:pPr>
              <w:keepNext w:val="0"/>
              <w:keepLines w:val="0"/>
              <w:suppressLineNumbers w:val="0"/>
              <w:spacing w:before="0" w:beforeAutospacing="0" w:after="0" w:afterAutospacing="0" w:line="276" w:lineRule="auto"/>
              <w:ind w:left="0" w:right="0"/>
              <w:jc w:val="left"/>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sym w:font="Wingdings 2" w:char="00A3"/>
            </w:r>
            <w:r>
              <w:rPr>
                <w:rFonts w:hint="default"/>
                <w:color w:val="000000" w:themeColor="text1"/>
                <w:sz w:val="24"/>
                <w:szCs w:val="20"/>
                <w:highlight w:val="none"/>
                <w14:textFill>
                  <w14:solidFill>
                    <w14:schemeClr w14:val="tx1"/>
                  </w14:solidFill>
                </w14:textFill>
              </w:rPr>
              <w:t>技术改造</w:t>
            </w:r>
          </w:p>
        </w:tc>
        <w:tc>
          <w:tcPr>
            <w:tcW w:w="1839" w:type="dxa"/>
            <w:vAlign w:val="center"/>
          </w:tcPr>
          <w:p w14:paraId="07BA4DD9">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建设项目</w:t>
            </w:r>
          </w:p>
          <w:p w14:paraId="337F717D">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申报情形</w:t>
            </w:r>
          </w:p>
        </w:tc>
        <w:tc>
          <w:tcPr>
            <w:tcW w:w="3128" w:type="dxa"/>
            <w:vAlign w:val="center"/>
          </w:tcPr>
          <w:p w14:paraId="43EDD317">
            <w:pPr>
              <w:keepNext w:val="0"/>
              <w:keepLines w:val="0"/>
              <w:suppressLineNumbers w:val="0"/>
              <w:spacing w:before="0" w:beforeAutospacing="0" w:after="0" w:afterAutospacing="0" w:line="276" w:lineRule="auto"/>
              <w:ind w:left="0" w:right="0"/>
              <w:jc w:val="left"/>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sym w:font="Wingdings 2" w:char="0052"/>
            </w:r>
            <w:r>
              <w:rPr>
                <w:rFonts w:hint="default"/>
                <w:color w:val="000000" w:themeColor="text1"/>
                <w:sz w:val="24"/>
                <w:szCs w:val="20"/>
                <w:highlight w:val="none"/>
                <w14:textFill>
                  <w14:solidFill>
                    <w14:schemeClr w14:val="tx1"/>
                  </w14:solidFill>
                </w14:textFill>
              </w:rPr>
              <w:t xml:space="preserve">首次申报项目             </w:t>
            </w:r>
          </w:p>
          <w:p w14:paraId="4BCB469C">
            <w:pPr>
              <w:keepNext w:val="0"/>
              <w:keepLines w:val="0"/>
              <w:suppressLineNumbers w:val="0"/>
              <w:spacing w:before="0" w:beforeAutospacing="0" w:after="0" w:afterAutospacing="0" w:line="276" w:lineRule="auto"/>
              <w:ind w:left="0" w:right="0"/>
              <w:jc w:val="left"/>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sym w:font="Wingdings 2" w:char="00A3"/>
            </w:r>
            <w:r>
              <w:rPr>
                <w:rFonts w:hint="default"/>
                <w:color w:val="000000" w:themeColor="text1"/>
                <w:sz w:val="24"/>
                <w:szCs w:val="20"/>
                <w:highlight w:val="none"/>
                <w14:textFill>
                  <w14:solidFill>
                    <w14:schemeClr w14:val="tx1"/>
                  </w14:solidFill>
                </w14:textFill>
              </w:rPr>
              <w:t>不予批准后再次申报项目</w:t>
            </w:r>
          </w:p>
          <w:p w14:paraId="216B7EB2">
            <w:pPr>
              <w:keepNext w:val="0"/>
              <w:keepLines w:val="0"/>
              <w:suppressLineNumbers w:val="0"/>
              <w:spacing w:before="0" w:beforeAutospacing="0" w:after="0" w:afterAutospacing="0" w:line="276" w:lineRule="auto"/>
              <w:ind w:left="0" w:right="0"/>
              <w:jc w:val="left"/>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sym w:font="Wingdings 2" w:char="00A3"/>
            </w:r>
            <w:r>
              <w:rPr>
                <w:rFonts w:hint="default"/>
                <w:color w:val="000000" w:themeColor="text1"/>
                <w:sz w:val="24"/>
                <w:szCs w:val="20"/>
                <w:highlight w:val="none"/>
                <w14:textFill>
                  <w14:solidFill>
                    <w14:schemeClr w14:val="tx1"/>
                  </w14:solidFill>
                </w14:textFill>
              </w:rPr>
              <w:t xml:space="preserve">超五年重新审核项目     </w:t>
            </w:r>
          </w:p>
          <w:p w14:paraId="189C13AF">
            <w:pPr>
              <w:keepNext w:val="0"/>
              <w:keepLines w:val="0"/>
              <w:suppressLineNumbers w:val="0"/>
              <w:spacing w:before="0" w:beforeAutospacing="0" w:after="0" w:afterAutospacing="0" w:line="276" w:lineRule="auto"/>
              <w:ind w:left="0" w:right="0"/>
              <w:jc w:val="left"/>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sym w:font="Wingdings 2" w:char="00A3"/>
            </w:r>
            <w:r>
              <w:rPr>
                <w:rFonts w:hint="default"/>
                <w:color w:val="000000" w:themeColor="text1"/>
                <w:sz w:val="24"/>
                <w:szCs w:val="20"/>
                <w:highlight w:val="none"/>
                <w14:textFill>
                  <w14:solidFill>
                    <w14:schemeClr w14:val="tx1"/>
                  </w14:solidFill>
                </w14:textFill>
              </w:rPr>
              <w:t>重大变动重新报批项目</w:t>
            </w:r>
          </w:p>
        </w:tc>
      </w:tr>
      <w:tr w14:paraId="2DBB4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45" w:type="dxa"/>
            <w:gridSpan w:val="3"/>
            <w:tcMar>
              <w:top w:w="16" w:type="dxa"/>
              <w:left w:w="16" w:type="dxa"/>
              <w:right w:w="16" w:type="dxa"/>
            </w:tcMar>
            <w:vAlign w:val="center"/>
          </w:tcPr>
          <w:p w14:paraId="5DC55E56">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项目审批（核准/备案）部门（选填）</w:t>
            </w:r>
          </w:p>
        </w:tc>
        <w:tc>
          <w:tcPr>
            <w:tcW w:w="2813" w:type="dxa"/>
            <w:vAlign w:val="center"/>
          </w:tcPr>
          <w:p w14:paraId="500A4BAD">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寻甸回族彝族自治县发展和改革局</w:t>
            </w:r>
          </w:p>
        </w:tc>
        <w:tc>
          <w:tcPr>
            <w:tcW w:w="1839" w:type="dxa"/>
            <w:vAlign w:val="center"/>
          </w:tcPr>
          <w:p w14:paraId="5433F09E">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项目审批（核准/</w:t>
            </w:r>
          </w:p>
          <w:p w14:paraId="606B40A6">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备案）文号（选填）</w:t>
            </w:r>
          </w:p>
        </w:tc>
        <w:tc>
          <w:tcPr>
            <w:tcW w:w="3128" w:type="dxa"/>
            <w:vAlign w:val="center"/>
          </w:tcPr>
          <w:p w14:paraId="671245C7">
            <w:pPr>
              <w:pStyle w:val="22"/>
              <w:keepNext w:val="0"/>
              <w:keepLines w:val="0"/>
              <w:suppressLineNumbers w:val="0"/>
              <w:spacing w:before="0" w:beforeAutospacing="0" w:after="0" w:afterAutospacing="0"/>
              <w:ind w:left="0" w:right="0"/>
              <w:jc w:val="center"/>
              <w:rPr>
                <w:rFonts w:hint="default"/>
                <w:color w:val="000000" w:themeColor="text1"/>
                <w:sz w:val="20"/>
                <w:highlight w:val="none"/>
                <w14:textFill>
                  <w14:solidFill>
                    <w14:schemeClr w14:val="tx1"/>
                  </w14:solidFill>
                </w14:textFill>
              </w:rPr>
            </w:pPr>
            <w:r>
              <w:rPr>
                <w:rFonts w:hint="eastAsia"/>
                <w:color w:val="000000" w:themeColor="text1"/>
                <w:sz w:val="20"/>
                <w:highlight w:val="none"/>
                <w14:textFill>
                  <w14:solidFill>
                    <w14:schemeClr w14:val="tx1"/>
                  </w14:solidFill>
                </w14:textFill>
              </w:rPr>
              <w:t>/</w:t>
            </w:r>
          </w:p>
        </w:tc>
      </w:tr>
      <w:tr w14:paraId="6C2CF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45" w:type="dxa"/>
            <w:gridSpan w:val="3"/>
            <w:shd w:val="clear" w:color="auto" w:fill="auto"/>
            <w:tcMar>
              <w:top w:w="16" w:type="dxa"/>
              <w:left w:w="16" w:type="dxa"/>
              <w:right w:w="16" w:type="dxa"/>
            </w:tcMar>
            <w:vAlign w:val="center"/>
          </w:tcPr>
          <w:p w14:paraId="453FC675">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总投资（万元）</w:t>
            </w:r>
          </w:p>
        </w:tc>
        <w:tc>
          <w:tcPr>
            <w:tcW w:w="2813" w:type="dxa"/>
            <w:shd w:val="clear" w:color="auto" w:fill="auto"/>
            <w:vAlign w:val="center"/>
          </w:tcPr>
          <w:p w14:paraId="11AD7C8B">
            <w:pPr>
              <w:keepNext w:val="0"/>
              <w:keepLines w:val="0"/>
              <w:suppressLineNumbers w:val="0"/>
              <w:adjustRightInd w:val="0"/>
              <w:snapToGrid w:val="0"/>
              <w:spacing w:before="0" w:beforeAutospacing="0" w:after="0" w:afterAutospacing="0" w:line="276" w:lineRule="auto"/>
              <w:ind w:left="0" w:right="0"/>
              <w:jc w:val="center"/>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6029</w:t>
            </w:r>
          </w:p>
        </w:tc>
        <w:tc>
          <w:tcPr>
            <w:tcW w:w="1839" w:type="dxa"/>
            <w:shd w:val="clear" w:color="auto" w:fill="auto"/>
            <w:tcMar>
              <w:top w:w="16" w:type="dxa"/>
              <w:left w:w="16" w:type="dxa"/>
              <w:right w:w="16" w:type="dxa"/>
            </w:tcMar>
            <w:vAlign w:val="center"/>
          </w:tcPr>
          <w:p w14:paraId="0304DA77">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环保投资（万元）</w:t>
            </w:r>
          </w:p>
        </w:tc>
        <w:tc>
          <w:tcPr>
            <w:tcW w:w="3128" w:type="dxa"/>
            <w:shd w:val="clear" w:color="auto" w:fill="auto"/>
            <w:vAlign w:val="center"/>
          </w:tcPr>
          <w:p w14:paraId="51FC87FD">
            <w:pPr>
              <w:keepNext w:val="0"/>
              <w:keepLines w:val="0"/>
              <w:suppressLineNumbers w:val="0"/>
              <w:adjustRightInd w:val="0"/>
              <w:snapToGrid w:val="0"/>
              <w:spacing w:before="0" w:beforeAutospacing="0" w:after="0" w:afterAutospacing="0" w:line="276" w:lineRule="auto"/>
              <w:ind w:left="0" w:right="0"/>
              <w:jc w:val="center"/>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113</w:t>
            </w:r>
          </w:p>
        </w:tc>
      </w:tr>
      <w:tr w14:paraId="73CFB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45" w:type="dxa"/>
            <w:gridSpan w:val="3"/>
            <w:shd w:val="clear" w:color="auto" w:fill="auto"/>
            <w:tcMar>
              <w:top w:w="16" w:type="dxa"/>
              <w:left w:w="16" w:type="dxa"/>
              <w:right w:w="16" w:type="dxa"/>
            </w:tcMar>
            <w:vAlign w:val="center"/>
          </w:tcPr>
          <w:p w14:paraId="7C8095C1">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环保投资占比（%）</w:t>
            </w:r>
          </w:p>
        </w:tc>
        <w:tc>
          <w:tcPr>
            <w:tcW w:w="2813" w:type="dxa"/>
            <w:shd w:val="clear" w:color="auto" w:fill="auto"/>
            <w:vAlign w:val="center"/>
          </w:tcPr>
          <w:p w14:paraId="48101CA4">
            <w:pPr>
              <w:keepNext w:val="0"/>
              <w:keepLines w:val="0"/>
              <w:suppressLineNumbers w:val="0"/>
              <w:adjustRightInd w:val="0"/>
              <w:snapToGrid w:val="0"/>
              <w:spacing w:before="0" w:beforeAutospacing="0" w:after="0" w:afterAutospacing="0" w:line="276" w:lineRule="auto"/>
              <w:ind w:left="0" w:right="0"/>
              <w:jc w:val="center"/>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1.87</w:t>
            </w:r>
          </w:p>
        </w:tc>
        <w:tc>
          <w:tcPr>
            <w:tcW w:w="1839" w:type="dxa"/>
            <w:shd w:val="clear" w:color="auto" w:fill="auto"/>
            <w:tcMar>
              <w:top w:w="16" w:type="dxa"/>
              <w:left w:w="16" w:type="dxa"/>
              <w:right w:w="16" w:type="dxa"/>
            </w:tcMar>
            <w:vAlign w:val="center"/>
          </w:tcPr>
          <w:p w14:paraId="371B4D54">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施工工期</w:t>
            </w:r>
          </w:p>
        </w:tc>
        <w:tc>
          <w:tcPr>
            <w:tcW w:w="3128" w:type="dxa"/>
            <w:shd w:val="clear" w:color="auto" w:fill="auto"/>
            <w:vAlign w:val="center"/>
          </w:tcPr>
          <w:p w14:paraId="7ED4EC89">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300天（约10个月）</w:t>
            </w:r>
          </w:p>
        </w:tc>
      </w:tr>
      <w:tr w14:paraId="6424F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45" w:type="dxa"/>
            <w:gridSpan w:val="3"/>
            <w:tcMar>
              <w:top w:w="16" w:type="dxa"/>
              <w:left w:w="16" w:type="dxa"/>
              <w:right w:w="16" w:type="dxa"/>
            </w:tcMar>
            <w:vAlign w:val="center"/>
          </w:tcPr>
          <w:p w14:paraId="2A19CD21">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是否开工建设</w:t>
            </w:r>
          </w:p>
        </w:tc>
        <w:tc>
          <w:tcPr>
            <w:tcW w:w="2813" w:type="dxa"/>
            <w:vAlign w:val="center"/>
          </w:tcPr>
          <w:p w14:paraId="615DCC47">
            <w:pPr>
              <w:keepNext w:val="0"/>
              <w:keepLines w:val="0"/>
              <w:suppressLineNumbers w:val="0"/>
              <w:adjustRightInd w:val="0"/>
              <w:snapToGrid w:val="0"/>
              <w:spacing w:before="0" w:beforeAutospacing="0" w:after="0" w:afterAutospacing="0" w:line="276" w:lineRule="auto"/>
              <w:ind w:left="0" w:right="0"/>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sym w:font="Wingdings 2" w:char="0052"/>
            </w:r>
            <w:r>
              <w:rPr>
                <w:rFonts w:hint="default"/>
                <w:color w:val="000000" w:themeColor="text1"/>
                <w:sz w:val="24"/>
                <w:szCs w:val="20"/>
                <w:highlight w:val="none"/>
                <w14:textFill>
                  <w14:solidFill>
                    <w14:schemeClr w14:val="tx1"/>
                  </w14:solidFill>
                </w14:textFill>
              </w:rPr>
              <w:t>否</w:t>
            </w:r>
          </w:p>
          <w:p w14:paraId="462E0A3E">
            <w:pPr>
              <w:keepNext w:val="0"/>
              <w:keepLines w:val="0"/>
              <w:suppressLineNumbers w:val="0"/>
              <w:adjustRightInd w:val="0"/>
              <w:snapToGrid w:val="0"/>
              <w:spacing w:before="0" w:beforeAutospacing="0" w:after="0" w:afterAutospacing="0" w:line="276" w:lineRule="auto"/>
              <w:ind w:left="0" w:right="0"/>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
                <w14:textFill>
                  <w14:solidFill>
                    <w14:schemeClr w14:val="tx1"/>
                  </w14:solidFill>
                </w14:textFill>
              </w:rPr>
              <w:sym w:font="Wingdings 2" w:char="00A3"/>
            </w:r>
            <w:r>
              <w:rPr>
                <w:rFonts w:hint="default"/>
                <w:color w:val="000000" w:themeColor="text1"/>
                <w:sz w:val="24"/>
                <w:szCs w:val="20"/>
                <w:highlight w:val="none"/>
                <w14:textFill>
                  <w14:solidFill>
                    <w14:schemeClr w14:val="tx1"/>
                  </w14:solidFill>
                </w14:textFill>
              </w:rPr>
              <w:t>是：</w:t>
            </w:r>
            <w:r>
              <w:rPr>
                <w:rFonts w:hint="default"/>
                <w:color w:val="000000" w:themeColor="text1"/>
                <w:sz w:val="24"/>
                <w:szCs w:val="20"/>
                <w:highlight w:val="none"/>
                <w:u w:val="single"/>
                <w14:textFill>
                  <w14:solidFill>
                    <w14:schemeClr w14:val="tx1"/>
                  </w14:solidFill>
                </w14:textFill>
              </w:rPr>
              <w:t xml:space="preserve">             </w:t>
            </w:r>
          </w:p>
        </w:tc>
        <w:tc>
          <w:tcPr>
            <w:tcW w:w="1839" w:type="dxa"/>
            <w:tcMar>
              <w:top w:w="16" w:type="dxa"/>
              <w:left w:w="16" w:type="dxa"/>
              <w:right w:w="16" w:type="dxa"/>
            </w:tcMar>
            <w:vAlign w:val="center"/>
          </w:tcPr>
          <w:p w14:paraId="45DCFFFB">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pacing w:val="-6"/>
                <w:sz w:val="24"/>
                <w:szCs w:val="20"/>
                <w:highlight w:val="none"/>
                <w14:textFill>
                  <w14:solidFill>
                    <w14:schemeClr w14:val="tx1"/>
                  </w14:solidFill>
                </w14:textFill>
              </w:rPr>
            </w:pPr>
            <w:r>
              <w:rPr>
                <w:rFonts w:hint="default"/>
                <w:color w:val="000000" w:themeColor="text1"/>
                <w:spacing w:val="-6"/>
                <w:sz w:val="24"/>
                <w:szCs w:val="20"/>
                <w:highlight w:val="none"/>
                <w14:textFill>
                  <w14:solidFill>
                    <w14:schemeClr w14:val="tx1"/>
                  </w14:solidFill>
                </w14:textFill>
              </w:rPr>
              <w:t>用地（用海）</w:t>
            </w:r>
          </w:p>
          <w:p w14:paraId="773C0A0F">
            <w:pPr>
              <w:keepNext w:val="0"/>
              <w:keepLines w:val="0"/>
              <w:suppressLineNumbers w:val="0"/>
              <w:adjustRightInd w:val="0"/>
              <w:snapToGrid w:val="0"/>
              <w:spacing w:before="0" w:beforeAutospacing="0" w:after="0" w:afterAutospacing="0" w:line="276"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pacing w:val="-6"/>
                <w:sz w:val="24"/>
                <w:szCs w:val="20"/>
                <w:highlight w:val="none"/>
                <w14:textFill>
                  <w14:solidFill>
                    <w14:schemeClr w14:val="tx1"/>
                  </w14:solidFill>
                </w14:textFill>
              </w:rPr>
              <w:t>面积（m</w:t>
            </w:r>
            <w:r>
              <w:rPr>
                <w:rFonts w:hint="default"/>
                <w:color w:val="000000" w:themeColor="text1"/>
                <w:spacing w:val="-6"/>
                <w:sz w:val="24"/>
                <w:szCs w:val="20"/>
                <w:highlight w:val="none"/>
                <w:vertAlign w:val="superscript"/>
                <w14:textFill>
                  <w14:solidFill>
                    <w14:schemeClr w14:val="tx1"/>
                  </w14:solidFill>
                </w14:textFill>
              </w:rPr>
              <w:t>2</w:t>
            </w:r>
            <w:r>
              <w:rPr>
                <w:rFonts w:hint="default"/>
                <w:color w:val="000000" w:themeColor="text1"/>
                <w:spacing w:val="-6"/>
                <w:sz w:val="24"/>
                <w:szCs w:val="20"/>
                <w:highlight w:val="none"/>
                <w14:textFill>
                  <w14:solidFill>
                    <w14:schemeClr w14:val="tx1"/>
                  </w14:solidFill>
                </w14:textFill>
              </w:rPr>
              <w:t>）</w:t>
            </w:r>
          </w:p>
        </w:tc>
        <w:tc>
          <w:tcPr>
            <w:tcW w:w="3128" w:type="dxa"/>
            <w:vAlign w:val="center"/>
          </w:tcPr>
          <w:p w14:paraId="1325EEA0">
            <w:pPr>
              <w:keepNext w:val="0"/>
              <w:keepLines w:val="0"/>
              <w:suppressLineNumbers w:val="0"/>
              <w:adjustRightInd w:val="0"/>
              <w:snapToGrid w:val="0"/>
              <w:spacing w:before="0" w:beforeAutospacing="0" w:after="0" w:afterAutospacing="0" w:line="276" w:lineRule="auto"/>
              <w:ind w:left="0" w:right="0"/>
              <w:jc w:val="center"/>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23656</w:t>
            </w:r>
          </w:p>
        </w:tc>
      </w:tr>
      <w:tr w14:paraId="3D405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30" w:type="dxa"/>
            <w:gridSpan w:val="2"/>
            <w:vAlign w:val="center"/>
          </w:tcPr>
          <w:p w14:paraId="130F3181">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专项评价</w:t>
            </w:r>
          </w:p>
          <w:p w14:paraId="1DB44C33">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设置情况</w:t>
            </w:r>
          </w:p>
        </w:tc>
        <w:tc>
          <w:tcPr>
            <w:tcW w:w="8395" w:type="dxa"/>
            <w:gridSpan w:val="4"/>
            <w:vAlign w:val="center"/>
          </w:tcPr>
          <w:p w14:paraId="33A5CF23">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根据《建设环境影响评价报告表编制技术指南》（污染影响类）“表1 专项评价设置原则表”，判断本项目是否设置专项评价。</w:t>
            </w:r>
          </w:p>
          <w:p w14:paraId="4D0F0816">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表1-1  专项评价设置分析对照表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806"/>
              <w:gridCol w:w="3312"/>
              <w:gridCol w:w="773"/>
            </w:tblGrid>
            <w:tr w14:paraId="6400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pct"/>
                  <w:vAlign w:val="center"/>
                </w:tcPr>
                <w:p w14:paraId="4FB6FDA1">
                  <w:pPr>
                    <w:keepNext w:val="0"/>
                    <w:keepLines w:val="0"/>
                    <w:suppressLineNumbers w:val="0"/>
                    <w:autoSpaceDE w:val="0"/>
                    <w:autoSpaceDN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专项评价类别</w:t>
                  </w:r>
                </w:p>
              </w:tc>
              <w:tc>
                <w:tcPr>
                  <w:tcW w:w="1718" w:type="pct"/>
                  <w:vAlign w:val="center"/>
                </w:tcPr>
                <w:p w14:paraId="6B6EF825">
                  <w:pPr>
                    <w:keepNext w:val="0"/>
                    <w:keepLines w:val="0"/>
                    <w:suppressLineNumbers w:val="0"/>
                    <w:autoSpaceDE w:val="0"/>
                    <w:autoSpaceDN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设置原则</w:t>
                  </w:r>
                </w:p>
              </w:tc>
              <w:tc>
                <w:tcPr>
                  <w:tcW w:w="2028" w:type="pct"/>
                  <w:vAlign w:val="center"/>
                </w:tcPr>
                <w:p w14:paraId="69231971">
                  <w:pPr>
                    <w:keepNext w:val="0"/>
                    <w:keepLines w:val="0"/>
                    <w:suppressLineNumbers w:val="0"/>
                    <w:autoSpaceDE w:val="0"/>
                    <w:autoSpaceDN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项目情况</w:t>
                  </w:r>
                </w:p>
              </w:tc>
              <w:tc>
                <w:tcPr>
                  <w:tcW w:w="471" w:type="pct"/>
                  <w:vAlign w:val="center"/>
                </w:tcPr>
                <w:p w14:paraId="1A440349">
                  <w:pPr>
                    <w:keepNext w:val="0"/>
                    <w:keepLines w:val="0"/>
                    <w:suppressLineNumbers w:val="0"/>
                    <w:autoSpaceDE w:val="0"/>
                    <w:autoSpaceDN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是否设置</w:t>
                  </w:r>
                </w:p>
              </w:tc>
            </w:tr>
            <w:tr w14:paraId="2CD1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pct"/>
                  <w:vAlign w:val="center"/>
                </w:tcPr>
                <w:p w14:paraId="3911F8DE">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大气</w:t>
                  </w:r>
                </w:p>
              </w:tc>
              <w:tc>
                <w:tcPr>
                  <w:tcW w:w="1718" w:type="pct"/>
                  <w:vAlign w:val="center"/>
                </w:tcPr>
                <w:p w14:paraId="3A79C118">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排放废气含有毒有害污染物</w:t>
                  </w:r>
                  <w:r>
                    <w:rPr>
                      <w:rFonts w:hint="eastAsia"/>
                      <w:color w:val="000000" w:themeColor="text1"/>
                      <w:sz w:val="21"/>
                      <w:szCs w:val="21"/>
                      <w:highlight w:val="none"/>
                      <w:vertAlign w:val="superscript"/>
                      <w14:textFill>
                        <w14:solidFill>
                          <w14:schemeClr w14:val="tx1"/>
                        </w14:solidFill>
                      </w14:textFill>
                    </w:rPr>
                    <w:t>1</w:t>
                  </w:r>
                  <w:r>
                    <w:rPr>
                      <w:rFonts w:hint="eastAsia"/>
                      <w:color w:val="000000" w:themeColor="text1"/>
                      <w:sz w:val="21"/>
                      <w:szCs w:val="21"/>
                      <w:highlight w:val="none"/>
                      <w14:textFill>
                        <w14:solidFill>
                          <w14:schemeClr w14:val="tx1"/>
                        </w14:solidFill>
                      </w14:textFill>
                    </w:rPr>
                    <w:t>、二噁英、苯并[a]芘、氰化物、氯气且厂界外500米范围内有环境空气保护目标</w:t>
                  </w:r>
                  <w:r>
                    <w:rPr>
                      <w:rFonts w:hint="eastAsia"/>
                      <w:color w:val="000000" w:themeColor="text1"/>
                      <w:sz w:val="21"/>
                      <w:szCs w:val="21"/>
                      <w:highlight w:val="none"/>
                      <w:vertAlign w:val="superscript"/>
                      <w14:textFill>
                        <w14:solidFill>
                          <w14:schemeClr w14:val="tx1"/>
                        </w14:solidFill>
                      </w14:textFill>
                    </w:rPr>
                    <w:t>2</w:t>
                  </w:r>
                  <w:r>
                    <w:rPr>
                      <w:rFonts w:hint="eastAsia"/>
                      <w:color w:val="000000" w:themeColor="text1"/>
                      <w:sz w:val="21"/>
                      <w:szCs w:val="21"/>
                      <w:highlight w:val="none"/>
                      <w14:textFill>
                        <w14:solidFill>
                          <w14:schemeClr w14:val="tx1"/>
                        </w14:solidFill>
                      </w14:textFill>
                    </w:rPr>
                    <w:t>的建设项目</w:t>
                  </w:r>
                </w:p>
              </w:tc>
              <w:tc>
                <w:tcPr>
                  <w:tcW w:w="2028" w:type="pct"/>
                  <w:vAlign w:val="center"/>
                </w:tcPr>
                <w:p w14:paraId="2CDE9859">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本项目废气排放中仅涉及颗粒物，</w:t>
                  </w:r>
                  <w:r>
                    <w:rPr>
                      <w:rFonts w:hint="eastAsia"/>
                      <w:color w:val="000000" w:themeColor="text1"/>
                      <w:sz w:val="21"/>
                      <w:szCs w:val="21"/>
                      <w:highlight w:val="none"/>
                      <w14:textFill>
                        <w14:solidFill>
                          <w14:schemeClr w14:val="tx1"/>
                        </w14:solidFill>
                      </w14:textFill>
                    </w:rPr>
                    <w:t>不含有毒有害污染物，也不含二噁英、苯并[a]芘、氰化物、氯气</w:t>
                  </w:r>
                </w:p>
              </w:tc>
              <w:tc>
                <w:tcPr>
                  <w:tcW w:w="471" w:type="pct"/>
                  <w:vAlign w:val="center"/>
                </w:tcPr>
                <w:p w14:paraId="172F27B0">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否</w:t>
                  </w:r>
                </w:p>
              </w:tc>
            </w:tr>
            <w:tr w14:paraId="171B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pct"/>
                  <w:vAlign w:val="center"/>
                </w:tcPr>
                <w:p w14:paraId="6C1F8AC7">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地表水</w:t>
                  </w:r>
                </w:p>
              </w:tc>
              <w:tc>
                <w:tcPr>
                  <w:tcW w:w="1718" w:type="pct"/>
                  <w:vAlign w:val="center"/>
                </w:tcPr>
                <w:p w14:paraId="3C579F07">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新增工业废水直排建设项目（槽罐车外送污水处理厂的除外）；新增废水直排的污水集中处理厂</w:t>
                  </w:r>
                </w:p>
              </w:tc>
              <w:tc>
                <w:tcPr>
                  <w:tcW w:w="2028" w:type="pct"/>
                  <w:vAlign w:val="center"/>
                </w:tcPr>
                <w:p w14:paraId="49371A87">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kern w:val="0"/>
                      <w:sz w:val="21"/>
                      <w:szCs w:val="21"/>
                      <w:highlight w:val="none"/>
                      <w:lang w:eastAsia="zh-CN"/>
                      <w14:textFill>
                        <w14:solidFill>
                          <w14:schemeClr w14:val="tx1"/>
                        </w14:solidFill>
                      </w14:textFill>
                    </w:rPr>
                    <w:t>本项目无废水外排</w:t>
                  </w:r>
                </w:p>
              </w:tc>
              <w:tc>
                <w:tcPr>
                  <w:tcW w:w="471" w:type="pct"/>
                  <w:vAlign w:val="center"/>
                </w:tcPr>
                <w:p w14:paraId="7A7125C4">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否</w:t>
                  </w:r>
                </w:p>
              </w:tc>
            </w:tr>
            <w:tr w14:paraId="3E45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pct"/>
                  <w:vAlign w:val="center"/>
                </w:tcPr>
                <w:p w14:paraId="5EA5CA75">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环境风险</w:t>
                  </w:r>
                </w:p>
              </w:tc>
              <w:tc>
                <w:tcPr>
                  <w:tcW w:w="1718" w:type="pct"/>
                  <w:vAlign w:val="center"/>
                </w:tcPr>
                <w:p w14:paraId="7B43937C">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有毒有害和易燃易爆危险物质存储量超过临界量</w:t>
                  </w:r>
                  <w:r>
                    <w:rPr>
                      <w:rFonts w:hint="eastAsia"/>
                      <w:color w:val="000000" w:themeColor="text1"/>
                      <w:sz w:val="21"/>
                      <w:szCs w:val="21"/>
                      <w:highlight w:val="none"/>
                      <w:vertAlign w:val="superscript"/>
                      <w14:textFill>
                        <w14:solidFill>
                          <w14:schemeClr w14:val="tx1"/>
                        </w14:solidFill>
                      </w14:textFill>
                    </w:rPr>
                    <w:t>3</w:t>
                  </w:r>
                  <w:r>
                    <w:rPr>
                      <w:rFonts w:hint="eastAsia"/>
                      <w:color w:val="000000" w:themeColor="text1"/>
                      <w:sz w:val="21"/>
                      <w:szCs w:val="21"/>
                      <w:highlight w:val="none"/>
                      <w14:textFill>
                        <w14:solidFill>
                          <w14:schemeClr w14:val="tx1"/>
                        </w14:solidFill>
                      </w14:textFill>
                    </w:rPr>
                    <w:t>的建设项目</w:t>
                  </w:r>
                </w:p>
              </w:tc>
              <w:tc>
                <w:tcPr>
                  <w:tcW w:w="2028" w:type="pct"/>
                  <w:vAlign w:val="center"/>
                </w:tcPr>
                <w:p w14:paraId="1C14F03D">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hAnsi="宋体"/>
                      <w:color w:val="000000" w:themeColor="text1"/>
                      <w:sz w:val="21"/>
                      <w:szCs w:val="21"/>
                      <w:highlight w:val="none"/>
                      <w14:textFill>
                        <w14:solidFill>
                          <w14:schemeClr w14:val="tx1"/>
                        </w14:solidFill>
                      </w14:textFill>
                    </w:rPr>
                    <w:t>本项目不储存有毒有害和易燃易爆危险物质</w:t>
                  </w:r>
                </w:p>
              </w:tc>
              <w:tc>
                <w:tcPr>
                  <w:tcW w:w="471" w:type="pct"/>
                  <w:vAlign w:val="center"/>
                </w:tcPr>
                <w:p w14:paraId="09684DB6">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否</w:t>
                  </w:r>
                </w:p>
              </w:tc>
            </w:tr>
            <w:tr w14:paraId="1A14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pct"/>
                  <w:vAlign w:val="center"/>
                </w:tcPr>
                <w:p w14:paraId="6ACED8C2">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生态</w:t>
                  </w:r>
                </w:p>
              </w:tc>
              <w:tc>
                <w:tcPr>
                  <w:tcW w:w="1718" w:type="pct"/>
                  <w:vAlign w:val="center"/>
                </w:tcPr>
                <w:p w14:paraId="1DD9019B">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取水口下游500米范围内有重要水生生物的自然产卵场、索饵场、越冬场和洄游通道的新增河道取水的污染类建设项目</w:t>
                  </w:r>
                </w:p>
              </w:tc>
              <w:tc>
                <w:tcPr>
                  <w:tcW w:w="2028" w:type="pct"/>
                  <w:vAlign w:val="center"/>
                </w:tcPr>
                <w:p w14:paraId="563FBDC4">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本项目不涉及河道取水</w:t>
                  </w:r>
                </w:p>
              </w:tc>
              <w:tc>
                <w:tcPr>
                  <w:tcW w:w="471" w:type="pct"/>
                  <w:vAlign w:val="center"/>
                </w:tcPr>
                <w:p w14:paraId="0614612C">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否</w:t>
                  </w:r>
                </w:p>
              </w:tc>
            </w:tr>
            <w:tr w14:paraId="58C9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pct"/>
                  <w:vAlign w:val="center"/>
                </w:tcPr>
                <w:p w14:paraId="4E3E9359">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海洋</w:t>
                  </w:r>
                </w:p>
              </w:tc>
              <w:tc>
                <w:tcPr>
                  <w:tcW w:w="1718" w:type="pct"/>
                  <w:vAlign w:val="center"/>
                </w:tcPr>
                <w:p w14:paraId="496717B8">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直接向海排放污染物的海洋工程建设项目</w:t>
                  </w:r>
                </w:p>
              </w:tc>
              <w:tc>
                <w:tcPr>
                  <w:tcW w:w="2028" w:type="pct"/>
                  <w:vAlign w:val="center"/>
                </w:tcPr>
                <w:p w14:paraId="0017D9A5">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本项目不涉及海洋工程建设项目</w:t>
                  </w:r>
                </w:p>
              </w:tc>
              <w:tc>
                <w:tcPr>
                  <w:tcW w:w="471" w:type="pct"/>
                  <w:vAlign w:val="center"/>
                </w:tcPr>
                <w:p w14:paraId="318C0778">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否</w:t>
                  </w:r>
                </w:p>
              </w:tc>
            </w:tr>
            <w:tr w14:paraId="6EC7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vAlign w:val="center"/>
                </w:tcPr>
                <w:p w14:paraId="07678135">
                  <w:pPr>
                    <w:pStyle w:val="273"/>
                    <w:keepNext w:val="0"/>
                    <w:keepLines w:val="0"/>
                    <w:suppressLineNumbers w:val="0"/>
                    <w:spacing w:before="0" w:beforeAutospacing="0" w:after="0" w:afterAutospacing="0"/>
                    <w:ind w:left="0" w:right="0"/>
                    <w:jc w:val="left"/>
                    <w:rPr>
                      <w:rFonts w:hint="eastAsia" w:ascii="Times New Roman" w:hAnsi="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color w:val="000000" w:themeColor="text1"/>
                      <w:kern w:val="0"/>
                      <w:sz w:val="21"/>
                      <w:szCs w:val="21"/>
                      <w:highlight w:val="none"/>
                      <w:lang w:eastAsia="zh-CN"/>
                      <w14:textFill>
                        <w14:solidFill>
                          <w14:schemeClr w14:val="tx1"/>
                        </w14:solidFill>
                      </w14:textFill>
                    </w:rPr>
                    <w:t>注：1.废气中有毒有害污染物指纳入《有毒有害大气污染物名录》的污染物（不包括无排放标准的污染物）。</w:t>
                  </w:r>
                </w:p>
                <w:p w14:paraId="0D15F59F">
                  <w:pPr>
                    <w:pStyle w:val="273"/>
                    <w:keepNext w:val="0"/>
                    <w:keepLines w:val="0"/>
                    <w:suppressLineNumbers w:val="0"/>
                    <w:spacing w:before="0" w:beforeAutospacing="0" w:after="0" w:afterAutospacing="0"/>
                    <w:ind w:left="0" w:right="0"/>
                    <w:jc w:val="left"/>
                    <w:rPr>
                      <w:rFonts w:hint="eastAsia" w:ascii="Times New Roman" w:hAnsi="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color w:val="000000" w:themeColor="text1"/>
                      <w:kern w:val="0"/>
                      <w:sz w:val="21"/>
                      <w:szCs w:val="21"/>
                      <w:highlight w:val="none"/>
                      <w:lang w:eastAsia="zh-CN"/>
                      <w14:textFill>
                        <w14:solidFill>
                          <w14:schemeClr w14:val="tx1"/>
                        </w14:solidFill>
                      </w14:textFill>
                    </w:rPr>
                    <w:t>2.环境空气保护目标指自然保护区、风景名胜区、居住区、文化区和农村地区中人群较集中的区域。</w:t>
                  </w:r>
                </w:p>
                <w:p w14:paraId="4B7FCD87">
                  <w:pPr>
                    <w:keepNext w:val="0"/>
                    <w:keepLines w:val="0"/>
                    <w:suppressLineNumbers w:val="0"/>
                    <w:autoSpaceDE w:val="0"/>
                    <w:autoSpaceDN w:val="0"/>
                    <w:spacing w:before="0" w:beforeAutospacing="0" w:after="0" w:afterAutospacing="0"/>
                    <w:ind w:left="0" w:right="0"/>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3.临界量及其计算方法可参考《建设项目环境风险评价技术导则》（HJ169）附录B、附录C。</w:t>
                  </w:r>
                </w:p>
              </w:tc>
            </w:tr>
          </w:tbl>
          <w:p w14:paraId="06EE1E20">
            <w:pPr>
              <w:pStyle w:val="2"/>
              <w:keepLines w:val="0"/>
              <w:suppressLineNumbers w:val="0"/>
              <w:spacing w:before="0" w:beforeAutospacing="0" w:after="0" w:afterAutospacing="0" w:line="360" w:lineRule="auto"/>
              <w:ind w:left="200" w:leftChars="100" w:right="0" w:firstLine="480" w:firstLineChars="200"/>
              <w:rPr>
                <w:rFonts w:hint="default" w:ascii="宋体" w:hAnsi="宋体" w:eastAsia="宋体"/>
                <w:b w:val="0"/>
                <w:color w:val="000000" w:themeColor="text1"/>
                <w:sz w:val="24"/>
                <w:szCs w:val="24"/>
                <w:highlight w:val="none"/>
                <w14:textFill>
                  <w14:solidFill>
                    <w14:schemeClr w14:val="tx1"/>
                  </w14:solidFill>
                </w14:textFill>
              </w:rPr>
            </w:pPr>
            <w:r>
              <w:rPr>
                <w:rFonts w:hint="eastAsia" w:ascii="宋体" w:hAnsi="宋体" w:eastAsia="宋体"/>
                <w:b w:val="0"/>
                <w:color w:val="000000" w:themeColor="text1"/>
                <w:sz w:val="24"/>
                <w:szCs w:val="24"/>
                <w:highlight w:val="none"/>
                <w14:textFill>
                  <w14:solidFill>
                    <w14:schemeClr w14:val="tx1"/>
                  </w14:solidFill>
                </w14:textFill>
              </w:rPr>
              <w:t>根据上表，本项目不需要设置专项评价。</w:t>
            </w:r>
          </w:p>
        </w:tc>
      </w:tr>
      <w:tr w14:paraId="5DFBF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45" w:type="dxa"/>
            <w:gridSpan w:val="3"/>
            <w:vAlign w:val="center"/>
          </w:tcPr>
          <w:p w14:paraId="312907E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规划情况</w:t>
            </w:r>
          </w:p>
        </w:tc>
        <w:tc>
          <w:tcPr>
            <w:tcW w:w="7780" w:type="dxa"/>
            <w:gridSpan w:val="3"/>
            <w:vAlign w:val="center"/>
          </w:tcPr>
          <w:p w14:paraId="70B441F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无</w:t>
            </w:r>
          </w:p>
        </w:tc>
      </w:tr>
      <w:tr w14:paraId="190EE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45" w:type="dxa"/>
            <w:gridSpan w:val="3"/>
            <w:vAlign w:val="center"/>
          </w:tcPr>
          <w:p w14:paraId="56CFE52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规划环境影响</w:t>
            </w:r>
          </w:p>
          <w:p w14:paraId="660206D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评价情况</w:t>
            </w:r>
          </w:p>
        </w:tc>
        <w:tc>
          <w:tcPr>
            <w:tcW w:w="7780" w:type="dxa"/>
            <w:gridSpan w:val="3"/>
            <w:vAlign w:val="center"/>
          </w:tcPr>
          <w:p w14:paraId="7A23D14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无</w:t>
            </w:r>
          </w:p>
        </w:tc>
      </w:tr>
      <w:tr w14:paraId="29F5C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45" w:type="dxa"/>
            <w:gridSpan w:val="3"/>
            <w:vAlign w:val="center"/>
          </w:tcPr>
          <w:p w14:paraId="2141438B">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规划及规划环境影响评价符合性分析</w:t>
            </w:r>
          </w:p>
        </w:tc>
        <w:tc>
          <w:tcPr>
            <w:tcW w:w="7780" w:type="dxa"/>
            <w:gridSpan w:val="3"/>
            <w:vAlign w:val="center"/>
          </w:tcPr>
          <w:p w14:paraId="1825B2A5">
            <w:pPr>
              <w:keepNext w:val="0"/>
              <w:keepLines w:val="0"/>
              <w:suppressLineNumbers w:val="0"/>
              <w:spacing w:before="0" w:beforeAutospacing="0" w:after="0" w:afterAutospacing="0" w:line="360" w:lineRule="auto"/>
              <w:ind w:left="0" w:right="0"/>
              <w:jc w:val="center"/>
              <w:rPr>
                <w:rFonts w:hint="default" w:hAnsi="宋体"/>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无</w:t>
            </w:r>
          </w:p>
        </w:tc>
      </w:tr>
      <w:tr w14:paraId="3A925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03" w:type="dxa"/>
            <w:vAlign w:val="center"/>
          </w:tcPr>
          <w:p w14:paraId="062BB2B4">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其他符合性分析</w:t>
            </w:r>
          </w:p>
        </w:tc>
        <w:tc>
          <w:tcPr>
            <w:tcW w:w="8422" w:type="dxa"/>
            <w:gridSpan w:val="5"/>
            <w:vAlign w:val="center"/>
          </w:tcPr>
          <w:p w14:paraId="22830887">
            <w:pPr>
              <w:keepNext w:val="0"/>
              <w:keepLines w:val="0"/>
              <w:suppressLineNumbers w:val="0"/>
              <w:spacing w:before="0" w:beforeAutospacing="0" w:after="0" w:afterAutospacing="0" w:line="360" w:lineRule="auto"/>
              <w:ind w:left="0" w:right="0" w:firstLine="482" w:firstLineChars="200"/>
              <w:rPr>
                <w:rFonts w:hint="default"/>
                <w:b/>
                <w:color w:val="000000" w:themeColor="text1"/>
                <w:sz w:val="24"/>
                <w:szCs w:val="28"/>
                <w:highlight w:val="none"/>
                <w14:textFill>
                  <w14:solidFill>
                    <w14:schemeClr w14:val="tx1"/>
                  </w14:solidFill>
                </w14:textFill>
              </w:rPr>
            </w:pPr>
            <w:r>
              <w:rPr>
                <w:rFonts w:hint="eastAsia" w:hAnsi="宋体"/>
                <w:b/>
                <w:color w:val="000000" w:themeColor="text1"/>
                <w:sz w:val="24"/>
                <w:szCs w:val="28"/>
                <w:highlight w:val="none"/>
                <w14:textFill>
                  <w14:solidFill>
                    <w14:schemeClr w14:val="tx1"/>
                  </w14:solidFill>
                </w14:textFill>
              </w:rPr>
              <w:t>1</w:t>
            </w:r>
            <w:r>
              <w:rPr>
                <w:rFonts w:hint="eastAsia" w:hAnsi="宋体"/>
                <w:b/>
                <w:color w:val="000000" w:themeColor="text1"/>
                <w:sz w:val="24"/>
                <w:szCs w:val="28"/>
                <w:highlight w:val="none"/>
                <w:lang w:val="en-US" w:eastAsia="zh-CN"/>
                <w14:textFill>
                  <w14:solidFill>
                    <w14:schemeClr w14:val="tx1"/>
                  </w14:solidFill>
                </w14:textFill>
              </w:rPr>
              <w:t>.</w:t>
            </w:r>
            <w:r>
              <w:rPr>
                <w:rFonts w:hint="default" w:hAnsi="宋体"/>
                <w:b/>
                <w:color w:val="000000" w:themeColor="text1"/>
                <w:sz w:val="24"/>
                <w:szCs w:val="28"/>
                <w:highlight w:val="none"/>
                <w14:textFill>
                  <w14:solidFill>
                    <w14:schemeClr w14:val="tx1"/>
                  </w14:solidFill>
                </w14:textFill>
              </w:rPr>
              <w:t>产业政策</w:t>
            </w:r>
          </w:p>
          <w:p w14:paraId="0D54DBD0">
            <w:pPr>
              <w:keepNext w:val="0"/>
              <w:keepLines w:val="0"/>
              <w:suppressLineNumbers w:val="0"/>
              <w:topLinePunct/>
              <w:spacing w:before="0" w:beforeAutospacing="0" w:after="0" w:afterAutospacing="0" w:line="360" w:lineRule="auto"/>
              <w:ind w:left="0" w:right="0" w:firstLine="480" w:firstLineChars="200"/>
              <w:rPr>
                <w:rFonts w:hint="default" w:ascii="Times New Roman" w:hAnsi="宋体" w:eastAsia="宋体" w:cs="Times New Roman"/>
                <w:color w:val="000000" w:themeColor="text1"/>
                <w:sz w:val="24"/>
                <w:szCs w:val="20"/>
                <w:highlight w:val="none"/>
                <w14:textFill>
                  <w14:solidFill>
                    <w14:schemeClr w14:val="tx1"/>
                  </w14:solidFill>
                </w14:textFill>
              </w:rPr>
            </w:pPr>
            <w:r>
              <w:rPr>
                <w:rFonts w:hint="default" w:ascii="Times New Roman" w:hAnsi="宋体" w:eastAsia="宋体" w:cs="Times New Roman"/>
                <w:color w:val="000000" w:themeColor="text1"/>
                <w:sz w:val="24"/>
                <w:szCs w:val="20"/>
                <w:highlight w:val="none"/>
                <w:lang w:val="zh-CN"/>
                <w14:textFill>
                  <w14:solidFill>
                    <w14:schemeClr w14:val="tx1"/>
                  </w14:solidFill>
                </w14:textFill>
              </w:rPr>
              <w:t>本项目</w:t>
            </w:r>
            <w:r>
              <w:rPr>
                <w:rFonts w:hint="eastAsia" w:ascii="Times New Roman" w:hAnsi="宋体" w:eastAsia="宋体" w:cs="Times New Roman"/>
                <w:color w:val="000000" w:themeColor="text1"/>
                <w:sz w:val="24"/>
                <w:szCs w:val="20"/>
                <w:highlight w:val="none"/>
                <w14:textFill>
                  <w14:solidFill>
                    <w14:schemeClr w14:val="tx1"/>
                  </w14:solidFill>
                </w14:textFill>
              </w:rPr>
              <w:t>为N7723固体废物治理，采用以磷石膏为原料进行</w:t>
            </w:r>
            <w:r>
              <w:rPr>
                <w:rFonts w:hint="default" w:ascii="Times New Roman" w:hAnsi="宋体" w:eastAsia="宋体" w:cs="Times New Roman"/>
                <w:color w:val="000000" w:themeColor="text1"/>
                <w:sz w:val="24"/>
                <w:szCs w:val="20"/>
                <w:highlight w:val="none"/>
                <w14:textFill>
                  <w14:solidFill>
                    <w14:schemeClr w14:val="tx1"/>
                  </w14:solidFill>
                </w14:textFill>
              </w:rPr>
              <w:t>生态修复材料</w:t>
            </w:r>
            <w:r>
              <w:rPr>
                <w:rFonts w:hint="eastAsia" w:ascii="Times New Roman" w:hAnsi="宋体" w:eastAsia="宋体" w:cs="Times New Roman"/>
                <w:color w:val="000000" w:themeColor="text1"/>
                <w:sz w:val="24"/>
                <w:szCs w:val="20"/>
                <w:highlight w:val="none"/>
                <w14:textFill>
                  <w14:solidFill>
                    <w14:schemeClr w14:val="tx1"/>
                  </w14:solidFill>
                </w14:textFill>
              </w:rPr>
              <w:t>的生产，</w:t>
            </w:r>
            <w:r>
              <w:rPr>
                <w:rFonts w:hint="default" w:ascii="Times New Roman" w:hAnsi="宋体" w:eastAsia="宋体" w:cs="Times New Roman"/>
                <w:color w:val="000000" w:themeColor="text1"/>
                <w:sz w:val="24"/>
                <w:szCs w:val="20"/>
                <w:highlight w:val="none"/>
                <w14:textFill>
                  <w14:solidFill>
                    <w14:schemeClr w14:val="tx1"/>
                  </w14:solidFill>
                </w14:textFill>
              </w:rPr>
              <w:t>对照国家发展和改革委员会《产业结构调整指导目录（20</w:t>
            </w:r>
            <w:r>
              <w:rPr>
                <w:rFonts w:hint="eastAsia" w:ascii="Times New Roman" w:hAnsi="宋体" w:eastAsia="宋体" w:cs="Times New Roman"/>
                <w:color w:val="000000" w:themeColor="text1"/>
                <w:sz w:val="24"/>
                <w:szCs w:val="20"/>
                <w:highlight w:val="none"/>
                <w14:textFill>
                  <w14:solidFill>
                    <w14:schemeClr w14:val="tx1"/>
                  </w14:solidFill>
                </w14:textFill>
              </w:rPr>
              <w:t>24</w:t>
            </w:r>
            <w:r>
              <w:rPr>
                <w:rFonts w:hint="default" w:ascii="Times New Roman" w:hAnsi="宋体" w:eastAsia="宋体" w:cs="Times New Roman"/>
                <w:color w:val="000000" w:themeColor="text1"/>
                <w:sz w:val="24"/>
                <w:szCs w:val="20"/>
                <w:highlight w:val="none"/>
                <w14:textFill>
                  <w14:solidFill>
                    <w14:schemeClr w14:val="tx1"/>
                  </w14:solidFill>
                </w14:textFill>
              </w:rPr>
              <w:t>年本）》，</w:t>
            </w:r>
            <w:r>
              <w:rPr>
                <w:rFonts w:hint="eastAsia" w:ascii="Times New Roman" w:hAnsi="宋体" w:eastAsia="宋体" w:cs="Times New Roman"/>
                <w:color w:val="000000" w:themeColor="text1"/>
                <w:sz w:val="24"/>
                <w:szCs w:val="20"/>
                <w:highlight w:val="none"/>
                <w14:textFill>
                  <w14:solidFill>
                    <w14:schemeClr w14:val="tx1"/>
                  </w14:solidFill>
                </w14:textFill>
              </w:rPr>
              <w:t>本项目属于鼓励类“</w:t>
            </w:r>
            <w:r>
              <w:rPr>
                <w:rFonts w:hint="eastAsia" w:hAnsi="宋体"/>
                <w:color w:val="000000" w:themeColor="text1"/>
                <w:sz w:val="24"/>
                <w:szCs w:val="20"/>
                <w:highlight w:val="none"/>
                <w14:textFill>
                  <w14:solidFill>
                    <w14:schemeClr w14:val="tx1"/>
                  </w14:solidFill>
                </w14:textFill>
              </w:rPr>
              <w:t>四十七、生态保护和环境治理业103一般工业固体废物（含污水处理淤泥）、建筑施工废弃物处置及综合利用</w:t>
            </w:r>
            <w:r>
              <w:rPr>
                <w:rFonts w:hint="default" w:ascii="Times New Roman" w:hAnsi="宋体" w:eastAsia="宋体" w:cs="Times New Roman"/>
                <w:color w:val="000000" w:themeColor="text1"/>
                <w:sz w:val="24"/>
                <w:szCs w:val="20"/>
                <w:highlight w:val="none"/>
                <w14:textFill>
                  <w14:solidFill>
                    <w14:schemeClr w14:val="tx1"/>
                  </w14:solidFill>
                </w14:textFill>
              </w:rPr>
              <w:t>”</w:t>
            </w:r>
            <w:r>
              <w:rPr>
                <w:rFonts w:hint="eastAsia" w:ascii="Times New Roman" w:hAnsi="宋体" w:eastAsia="宋体" w:cs="Times New Roman"/>
                <w:color w:val="000000" w:themeColor="text1"/>
                <w:sz w:val="24"/>
                <w:szCs w:val="20"/>
                <w:highlight w:val="none"/>
                <w14:textFill>
                  <w14:solidFill>
                    <w14:schemeClr w14:val="tx1"/>
                  </w14:solidFill>
                </w14:textFill>
              </w:rPr>
              <w:t>项目。</w:t>
            </w:r>
            <w:r>
              <w:rPr>
                <w:rFonts w:hint="default" w:ascii="Times New Roman" w:hAnsi="宋体" w:eastAsia="宋体" w:cs="Times New Roman"/>
                <w:color w:val="000000" w:themeColor="text1"/>
                <w:sz w:val="24"/>
                <w:szCs w:val="20"/>
                <w:highlight w:val="none"/>
                <w14:textFill>
                  <w14:solidFill>
                    <w14:schemeClr w14:val="tx1"/>
                  </w14:solidFill>
                </w14:textFill>
              </w:rPr>
              <w:t>20</w:t>
            </w:r>
            <w:r>
              <w:rPr>
                <w:rFonts w:hint="eastAsia" w:ascii="Times New Roman" w:hAnsi="宋体" w:eastAsia="宋体" w:cs="Times New Roman"/>
                <w:color w:val="000000" w:themeColor="text1"/>
                <w:sz w:val="24"/>
                <w:szCs w:val="20"/>
                <w:highlight w:val="none"/>
                <w14:textFill>
                  <w14:solidFill>
                    <w14:schemeClr w14:val="tx1"/>
                  </w14:solidFill>
                </w14:textFill>
              </w:rPr>
              <w:t>25</w:t>
            </w:r>
            <w:r>
              <w:rPr>
                <w:rFonts w:hint="default" w:ascii="Times New Roman" w:hAnsi="宋体" w:eastAsia="宋体" w:cs="Times New Roman"/>
                <w:color w:val="000000" w:themeColor="text1"/>
                <w:sz w:val="24"/>
                <w:szCs w:val="20"/>
                <w:highlight w:val="none"/>
                <w14:textFill>
                  <w14:solidFill>
                    <w14:schemeClr w14:val="tx1"/>
                  </w14:solidFill>
                </w14:textFill>
              </w:rPr>
              <w:t>年3月</w:t>
            </w:r>
            <w:r>
              <w:rPr>
                <w:rFonts w:hint="eastAsia" w:ascii="Times New Roman" w:hAnsi="宋体" w:eastAsia="宋体" w:cs="Times New Roman"/>
                <w:color w:val="000000" w:themeColor="text1"/>
                <w:sz w:val="24"/>
                <w:szCs w:val="20"/>
                <w:highlight w:val="none"/>
                <w14:textFill>
                  <w14:solidFill>
                    <w14:schemeClr w14:val="tx1"/>
                  </w14:solidFill>
                </w14:textFill>
              </w:rPr>
              <w:t>10</w:t>
            </w:r>
            <w:r>
              <w:rPr>
                <w:rFonts w:hint="default" w:ascii="Times New Roman" w:hAnsi="宋体" w:eastAsia="宋体" w:cs="Times New Roman"/>
                <w:color w:val="000000" w:themeColor="text1"/>
                <w:sz w:val="24"/>
                <w:szCs w:val="20"/>
                <w:highlight w:val="none"/>
                <w14:textFill>
                  <w14:solidFill>
                    <w14:schemeClr w14:val="tx1"/>
                  </w14:solidFill>
                </w14:textFill>
              </w:rPr>
              <w:t>日</w:t>
            </w:r>
            <w:r>
              <w:rPr>
                <w:rFonts w:hint="eastAsia" w:ascii="Times New Roman" w:hAnsi="宋体" w:eastAsia="宋体" w:cs="Times New Roman"/>
                <w:color w:val="000000" w:themeColor="text1"/>
                <w:sz w:val="24"/>
                <w:szCs w:val="20"/>
                <w:highlight w:val="none"/>
                <w:lang w:eastAsia="zh-CN"/>
                <w14:textFill>
                  <w14:solidFill>
                    <w14:schemeClr w14:val="tx1"/>
                  </w14:solidFill>
                </w14:textFill>
              </w:rPr>
              <w:t>，</w:t>
            </w:r>
            <w:r>
              <w:rPr>
                <w:rFonts w:hint="eastAsia" w:hAnsi="宋体" w:cs="Times New Roman"/>
                <w:color w:val="000000" w:themeColor="text1"/>
                <w:sz w:val="24"/>
                <w:szCs w:val="20"/>
                <w:highlight w:val="none"/>
                <w:lang w:val="en-US" w:eastAsia="zh-CN"/>
                <w14:textFill>
                  <w14:solidFill>
                    <w14:schemeClr w14:val="tx1"/>
                  </w14:solidFill>
                </w14:textFill>
              </w:rPr>
              <w:t>项目</w:t>
            </w:r>
            <w:r>
              <w:rPr>
                <w:rFonts w:hint="default" w:ascii="Times New Roman" w:hAnsi="宋体" w:eastAsia="宋体" w:cs="Times New Roman"/>
                <w:color w:val="000000" w:themeColor="text1"/>
                <w:sz w:val="24"/>
                <w:szCs w:val="20"/>
                <w:highlight w:val="none"/>
                <w14:textFill>
                  <w14:solidFill>
                    <w14:schemeClr w14:val="tx1"/>
                  </w14:solidFill>
                </w14:textFill>
              </w:rPr>
              <w:t>取得</w:t>
            </w:r>
            <w:r>
              <w:rPr>
                <w:rFonts w:hint="eastAsia" w:ascii="Times New Roman" w:hAnsi="宋体" w:eastAsia="宋体" w:cs="Times New Roman"/>
                <w:color w:val="000000" w:themeColor="text1"/>
                <w:sz w:val="24"/>
                <w:szCs w:val="20"/>
                <w:highlight w:val="none"/>
                <w14:textFill>
                  <w14:solidFill>
                    <w14:schemeClr w14:val="tx1"/>
                  </w14:solidFill>
                </w14:textFill>
              </w:rPr>
              <w:t>《寻甸回族彝族自治县发展和改革局关于寻甸县常青树磷石膏库综合治理项目可行性研究报告批复》（寻发改投资〔2025〕1号）</w:t>
            </w:r>
            <w:r>
              <w:rPr>
                <w:rFonts w:hint="eastAsia" w:ascii="Times New Roman" w:hAnsi="宋体" w:eastAsia="宋体" w:cs="Times New Roman"/>
                <w:color w:val="000000" w:themeColor="text1"/>
                <w:sz w:val="24"/>
                <w:szCs w:val="20"/>
                <w:highlight w:val="none"/>
                <w:lang w:val="en-US" w:eastAsia="zh-CN"/>
                <w14:textFill>
                  <w14:solidFill>
                    <w14:schemeClr w14:val="tx1"/>
                  </w14:solidFill>
                </w14:textFill>
              </w:rPr>
              <w:t>。</w:t>
            </w:r>
            <w:r>
              <w:rPr>
                <w:rFonts w:hint="default" w:ascii="Times New Roman" w:hAnsi="宋体" w:eastAsia="宋体" w:cs="Times New Roman"/>
                <w:color w:val="000000" w:themeColor="text1"/>
                <w:sz w:val="24"/>
                <w:szCs w:val="20"/>
                <w:highlight w:val="none"/>
                <w14:textFill>
                  <w14:solidFill>
                    <w14:schemeClr w14:val="tx1"/>
                  </w14:solidFill>
                </w14:textFill>
              </w:rPr>
              <w:t>项目代码：2502-530129-04-05-901566</w:t>
            </w:r>
            <w:r>
              <w:rPr>
                <w:rFonts w:hint="eastAsia" w:ascii="Times New Roman" w:hAnsi="宋体" w:eastAsia="宋体" w:cs="Times New Roman"/>
                <w:color w:val="000000" w:themeColor="text1"/>
                <w:sz w:val="24"/>
                <w:szCs w:val="20"/>
                <w:highlight w:val="none"/>
                <w:lang w:eastAsia="zh-CN"/>
                <w14:textFill>
                  <w14:solidFill>
                    <w14:schemeClr w14:val="tx1"/>
                  </w14:solidFill>
                </w14:textFill>
              </w:rPr>
              <w:t>。</w:t>
            </w:r>
          </w:p>
          <w:p w14:paraId="1BC93A97">
            <w:pPr>
              <w:keepNext w:val="0"/>
              <w:keepLines w:val="0"/>
              <w:suppressLineNumbers w:val="0"/>
              <w:spacing w:before="0" w:beforeAutospacing="0" w:after="0" w:afterAutospacing="0" w:line="360" w:lineRule="auto"/>
              <w:ind w:left="0" w:right="0" w:firstLine="480" w:firstLineChars="200"/>
              <w:rPr>
                <w:rFonts w:hint="default"/>
                <w:color w:val="000000" w:themeColor="text1"/>
                <w:kern w:val="52"/>
                <w:sz w:val="24"/>
                <w:szCs w:val="20"/>
                <w:highlight w:val="none"/>
                <w14:textFill>
                  <w14:solidFill>
                    <w14:schemeClr w14:val="tx1"/>
                  </w14:solidFill>
                </w14:textFill>
              </w:rPr>
            </w:pPr>
            <w:r>
              <w:rPr>
                <w:rFonts w:hint="default" w:hAnsi="宋体"/>
                <w:color w:val="000000" w:themeColor="text1"/>
                <w:sz w:val="24"/>
                <w:szCs w:val="20"/>
                <w:highlight w:val="none"/>
                <w14:textFill>
                  <w14:solidFill>
                    <w14:schemeClr w14:val="tx1"/>
                  </w14:solidFill>
                </w14:textFill>
              </w:rPr>
              <w:t>因此，本项目的建设符合国家及地方产业政策。</w:t>
            </w:r>
          </w:p>
          <w:p w14:paraId="039895A0">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2</w:t>
            </w:r>
            <w:r>
              <w:rPr>
                <w:rFonts w:hint="eastAsia"/>
                <w:b/>
                <w:bCs/>
                <w:color w:val="000000" w:themeColor="text1"/>
                <w:sz w:val="24"/>
                <w:szCs w:val="20"/>
                <w:highlight w:val="none"/>
                <w:lang w:val="en-US" w:eastAsia="zh-CN"/>
                <w14:textFill>
                  <w14:solidFill>
                    <w14:schemeClr w14:val="tx1"/>
                  </w14:solidFill>
                </w14:textFill>
              </w:rPr>
              <w:t>.</w:t>
            </w:r>
            <w:r>
              <w:rPr>
                <w:rFonts w:hint="eastAsia"/>
                <w:b/>
                <w:bCs/>
                <w:color w:val="000000" w:themeColor="text1"/>
                <w:sz w:val="24"/>
                <w:szCs w:val="20"/>
                <w:highlight w:val="none"/>
                <w14:textFill>
                  <w14:solidFill>
                    <w14:schemeClr w14:val="tx1"/>
                  </w14:solidFill>
                </w14:textFill>
              </w:rPr>
              <w:t>项目与昆明市</w:t>
            </w:r>
            <w:r>
              <w:rPr>
                <w:rFonts w:hint="eastAsia"/>
                <w:b/>
                <w:bCs/>
                <w:color w:val="000000" w:themeColor="text1"/>
                <w:kern w:val="2"/>
                <w:sz w:val="24"/>
                <w:szCs w:val="20"/>
                <w:highlight w:val="none"/>
                <w14:textFill>
                  <w14:solidFill>
                    <w14:schemeClr w14:val="tx1"/>
                  </w14:solidFill>
                </w14:textFill>
              </w:rPr>
              <w:t>生态环境分区管控</w:t>
            </w:r>
            <w:r>
              <w:rPr>
                <w:rFonts w:hint="default"/>
                <w:b/>
                <w:bCs/>
                <w:color w:val="000000" w:themeColor="text1"/>
                <w:kern w:val="2"/>
                <w:sz w:val="24"/>
                <w:szCs w:val="20"/>
                <w:highlight w:val="none"/>
                <w14:textFill>
                  <w14:solidFill>
                    <w14:schemeClr w14:val="tx1"/>
                  </w14:solidFill>
                </w14:textFill>
              </w:rPr>
              <w:t>符合性分析</w:t>
            </w:r>
          </w:p>
          <w:p w14:paraId="642CF178">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《昆明市生态环境分区管控动态更新方案（2023年）》于2024年11月12日由昆明市生态环境局印发，更新后，全市环境管控单元数量由原有的129个调整为132个。</w:t>
            </w:r>
          </w:p>
          <w:p w14:paraId="2F79B76D">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color w:val="000000" w:themeColor="text1"/>
                <w:sz w:val="24"/>
                <w:szCs w:val="20"/>
                <w:highlight w:val="none"/>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（1）</w:t>
            </w:r>
            <w:r>
              <w:rPr>
                <w:rFonts w:hint="eastAsia"/>
                <w:b/>
                <w:bCs/>
                <w:color w:val="000000" w:themeColor="text1"/>
                <w:sz w:val="24"/>
                <w:szCs w:val="20"/>
                <w:highlight w:val="none"/>
                <w14:textFill>
                  <w14:solidFill>
                    <w14:schemeClr w14:val="tx1"/>
                  </w14:solidFill>
                </w14:textFill>
              </w:rPr>
              <w:t>生态保护红线和一般生态空间</w:t>
            </w:r>
          </w:p>
          <w:p w14:paraId="421AC981">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更新后，生态保护红线全面与《昆明市国土空间总体规划（2021—2035年）》衔接，全市生态保护红线面积4274.70平方公里，占全市国土面积的20.34%，较原有面积占比减少1.85%。全市一般生态空间面积5151.56平方公里，占国土空间面积的24.37%，较原有面积占比增加2.45%。</w:t>
            </w:r>
          </w:p>
          <w:p w14:paraId="0A912304">
            <w:pPr>
              <w:keepNext w:val="0"/>
              <w:keepLines w:val="0"/>
              <w:suppressLineNumbers w:val="0"/>
              <w:spacing w:before="0" w:beforeAutospacing="0" w:after="0" w:afterAutospacing="0" w:line="360" w:lineRule="auto"/>
              <w:ind w:left="0" w:right="0" w:firstLine="480" w:firstLineChars="200"/>
              <w:rPr>
                <w:rFonts w:hint="default"/>
                <w:b/>
                <w:bCs/>
                <w:color w:val="000000" w:themeColor="text1"/>
                <w:sz w:val="24"/>
                <w:szCs w:val="20"/>
                <w:highlight w:val="none"/>
                <w14:textFill>
                  <w14:solidFill>
                    <w14:schemeClr w14:val="tx1"/>
                  </w14:solidFill>
                </w14:textFill>
              </w:rPr>
            </w:pPr>
            <w:r>
              <w:rPr>
                <w:rFonts w:hint="default"/>
                <w:color w:val="000000" w:themeColor="text1"/>
                <w:sz w:val="24"/>
                <w:szCs w:val="21"/>
                <w:highlight w:val="none"/>
                <w14:textFill>
                  <w14:solidFill>
                    <w14:schemeClr w14:val="tx1"/>
                  </w14:solidFill>
                </w14:textFill>
              </w:rPr>
              <w:t>项目</w:t>
            </w:r>
            <w:r>
              <w:rPr>
                <w:rFonts w:hint="default"/>
                <w:color w:val="000000" w:themeColor="text1"/>
                <w:sz w:val="24"/>
                <w:szCs w:val="20"/>
                <w:highlight w:val="none"/>
                <w14:textFill>
                  <w14:solidFill>
                    <w14:schemeClr w14:val="tx1"/>
                  </w14:solidFill>
                </w14:textFill>
              </w:rPr>
              <w:t>位于</w:t>
            </w:r>
            <w:r>
              <w:rPr>
                <w:rFonts w:hint="eastAsia" w:ascii="Times New Roman" w:hAnsi="Times New Roman" w:eastAsia="宋体" w:cs="Times New Roman"/>
                <w:color w:val="000000" w:themeColor="text1"/>
                <w:sz w:val="24"/>
                <w:szCs w:val="20"/>
                <w:highlight w:val="none"/>
                <w14:textFill>
                  <w14:solidFill>
                    <w14:schemeClr w14:val="tx1"/>
                  </w14:solidFill>
                </w14:textFill>
              </w:rPr>
              <w:t>昆明市寻甸县塘子街道原泰康化工厂区</w:t>
            </w:r>
            <w:r>
              <w:rPr>
                <w:rFonts w:hint="eastAsia" w:cs="Times New Roman"/>
                <w:color w:val="000000" w:themeColor="text1"/>
                <w:sz w:val="24"/>
                <w:szCs w:val="20"/>
                <w:highlight w:val="none"/>
                <w:lang w:val="en-US" w:eastAsia="zh-CN"/>
                <w14:textFill>
                  <w14:solidFill>
                    <w14:schemeClr w14:val="tx1"/>
                  </w14:solidFill>
                </w14:textFill>
              </w:rPr>
              <w:t>内</w:t>
            </w:r>
            <w:r>
              <w:rPr>
                <w:rFonts w:hint="eastAsia" w:ascii="Times New Roman" w:hAnsi="Times New Roman" w:eastAsia="宋体" w:cs="Times New Roman"/>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根据</w:t>
            </w:r>
            <w:r>
              <w:rPr>
                <w:rFonts w:hint="eastAsia"/>
                <w:color w:val="000000" w:themeColor="text1"/>
                <w:sz w:val="24"/>
                <w:szCs w:val="20"/>
                <w:highlight w:val="none"/>
                <w:lang w:val="en-US" w:eastAsia="zh-CN"/>
                <w14:textFill>
                  <w14:solidFill>
                    <w14:schemeClr w14:val="tx1"/>
                  </w14:solidFill>
                </w14:textFill>
              </w:rPr>
              <w:t>在云南省生态环境分区管控公共服务查询平台的查询结果，以及在云南省国土空间规划“一张图”信息系统（公示版）的查询结果</w:t>
            </w:r>
            <w:r>
              <w:rPr>
                <w:rFonts w:hint="default"/>
                <w:color w:val="000000" w:themeColor="text1"/>
                <w:sz w:val="24"/>
                <w:szCs w:val="20"/>
                <w:highlight w:val="none"/>
                <w14:textFill>
                  <w14:solidFill>
                    <w14:schemeClr w14:val="tx1"/>
                  </w14:solidFill>
                </w14:textFill>
              </w:rPr>
              <w:t>，项目不</w:t>
            </w:r>
            <w:r>
              <w:rPr>
                <w:rFonts w:hint="eastAsia" w:ascii="宋体" w:hAnsi="宋体"/>
                <w:color w:val="000000" w:themeColor="text1"/>
                <w:sz w:val="24"/>
                <w:szCs w:val="20"/>
                <w:highlight w:val="none"/>
                <w14:textFill>
                  <w14:solidFill>
                    <w14:schemeClr w14:val="tx1"/>
                  </w14:solidFill>
                </w14:textFill>
              </w:rPr>
              <w:t>涉及基本农田，不在禁止开发区域，不在生态保护红线范围内。</w:t>
            </w:r>
          </w:p>
          <w:p w14:paraId="3C075485">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color w:val="000000" w:themeColor="text1"/>
                <w:sz w:val="24"/>
                <w:szCs w:val="20"/>
                <w:highlight w:val="none"/>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（2）环境质量底线</w:t>
            </w:r>
          </w:p>
          <w:p w14:paraId="4A9ACD1F">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到2025年，昆明市地表水国控断面达到或好于Ⅲ类水体比例应达到81.5%，45个省控断面达到或好于Ⅲ类水体比例应达到80%，劣V类水体全面消除，县级及以上集中式饮用水水源地水质达标率100%；空气质量优良天数比率达99.1%，细颗粒物（PM</w:t>
            </w:r>
            <w:r>
              <w:rPr>
                <w:rFonts w:hint="eastAsia"/>
                <w:color w:val="000000" w:themeColor="text1"/>
                <w:sz w:val="24"/>
                <w:szCs w:val="20"/>
                <w:highlight w:val="none"/>
                <w:vertAlign w:val="subscript"/>
                <w14:textFill>
                  <w14:solidFill>
                    <w14:schemeClr w14:val="tx1"/>
                  </w14:solidFill>
                </w14:textFill>
              </w:rPr>
              <w:t>2.5</w:t>
            </w:r>
            <w:r>
              <w:rPr>
                <w:rFonts w:hint="eastAsia"/>
                <w:color w:val="000000" w:themeColor="text1"/>
                <w:sz w:val="24"/>
                <w:szCs w:val="20"/>
                <w:highlight w:val="none"/>
                <w14:textFill>
                  <w14:solidFill>
                    <w14:schemeClr w14:val="tx1"/>
                  </w14:solidFill>
                </w14:textFill>
              </w:rPr>
              <w:t>）浓度不高于24微克/立方米，重污染天数为0；全市土壤环境质量总体保持稳定，局部稳中向好，受污染耕地安全利用率不低于90%，重点建设用地安全利用得到有效保障。</w:t>
            </w:r>
          </w:p>
          <w:p w14:paraId="71B131C9">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项目评价区域内</w:t>
            </w:r>
            <w:r>
              <w:rPr>
                <w:rFonts w:hint="eastAsia"/>
                <w:color w:val="000000" w:themeColor="text1"/>
                <w:sz w:val="24"/>
                <w:szCs w:val="20"/>
                <w:highlight w:val="none"/>
                <w14:textFill>
                  <w14:solidFill>
                    <w14:schemeClr w14:val="tx1"/>
                  </w14:solidFill>
                </w14:textFill>
              </w:rPr>
              <w:t>空气质量</w:t>
            </w:r>
            <w:r>
              <w:rPr>
                <w:rFonts w:hint="default"/>
                <w:color w:val="000000" w:themeColor="text1"/>
                <w:sz w:val="24"/>
                <w:szCs w:val="20"/>
                <w:highlight w:val="none"/>
                <w14:textFill>
                  <w14:solidFill>
                    <w14:schemeClr w14:val="tx1"/>
                  </w14:solidFill>
                </w14:textFill>
              </w:rPr>
              <w:t>满足《环境空气质量标准》（GB3095-</w:t>
            </w:r>
            <w:r>
              <w:rPr>
                <w:rFonts w:hint="eastAsia"/>
                <w:color w:val="000000" w:themeColor="text1"/>
                <w:sz w:val="24"/>
                <w:szCs w:val="20"/>
                <w:highlight w:val="none"/>
                <w:lang w:val="en-US" w:eastAsia="zh-CN"/>
                <w14:textFill>
                  <w14:solidFill>
                    <w14:schemeClr w14:val="tx1"/>
                  </w14:solidFill>
                </w14:textFill>
              </w:rPr>
              <w:t>2012</w:t>
            </w:r>
            <w:r>
              <w:rPr>
                <w:rFonts w:hint="default"/>
                <w:color w:val="000000" w:themeColor="text1"/>
                <w:sz w:val="24"/>
                <w:szCs w:val="20"/>
                <w:highlight w:val="none"/>
                <w14:textFill>
                  <w14:solidFill>
                    <w14:schemeClr w14:val="tx1"/>
                  </w14:solidFill>
                </w14:textFill>
              </w:rPr>
              <w:t>）二级标准。项目区声环境质量现状能够达到</w:t>
            </w:r>
            <w:r>
              <w:rPr>
                <w:rFonts w:hint="eastAsia"/>
                <w:bCs/>
                <w:color w:val="000000" w:themeColor="text1"/>
                <w:sz w:val="24"/>
                <w:szCs w:val="20"/>
                <w:highlight w:val="none"/>
                <w14:textFill>
                  <w14:solidFill>
                    <w14:schemeClr w14:val="tx1"/>
                  </w14:solidFill>
                </w14:textFill>
              </w:rPr>
              <w:t>《</w:t>
            </w:r>
            <w:r>
              <w:rPr>
                <w:rFonts w:hint="default" w:cs="宋体"/>
                <w:color w:val="000000" w:themeColor="text1"/>
                <w:sz w:val="24"/>
                <w:szCs w:val="22"/>
                <w:highlight w:val="none"/>
                <w14:textFill>
                  <w14:solidFill>
                    <w14:schemeClr w14:val="tx1"/>
                  </w14:solidFill>
                </w14:textFill>
              </w:rPr>
              <w:t>声环境质量标准</w:t>
            </w:r>
            <w:r>
              <w:rPr>
                <w:rFonts w:hint="eastAsia"/>
                <w:bCs/>
                <w:color w:val="000000" w:themeColor="text1"/>
                <w:sz w:val="24"/>
                <w:szCs w:val="20"/>
                <w:highlight w:val="none"/>
                <w14:textFill>
                  <w14:solidFill>
                    <w14:schemeClr w14:val="tx1"/>
                  </w14:solidFill>
                </w14:textFill>
              </w:rPr>
              <w:t>》</w:t>
            </w:r>
            <w:r>
              <w:rPr>
                <w:rFonts w:hint="eastAsia"/>
                <w:bCs/>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2"/>
                <w:highlight w:val="none"/>
                <w14:textFill>
                  <w14:solidFill>
                    <w14:schemeClr w14:val="tx1"/>
                  </w14:solidFill>
                </w14:textFill>
              </w:rPr>
              <w:t>GB</w:t>
            </w:r>
            <w:r>
              <w:rPr>
                <w:rFonts w:hint="eastAsia" w:cs="宋体"/>
                <w:color w:val="000000" w:themeColor="text1"/>
                <w:sz w:val="24"/>
                <w:szCs w:val="22"/>
                <w:highlight w:val="none"/>
                <w14:textFill>
                  <w14:solidFill>
                    <w14:schemeClr w14:val="tx1"/>
                  </w14:solidFill>
                </w14:textFill>
              </w:rPr>
              <w:t xml:space="preserve"> </w:t>
            </w:r>
            <w:r>
              <w:rPr>
                <w:rFonts w:hint="default" w:cs="宋体"/>
                <w:color w:val="000000" w:themeColor="text1"/>
                <w:sz w:val="24"/>
                <w:szCs w:val="22"/>
                <w:highlight w:val="none"/>
                <w14:textFill>
                  <w14:solidFill>
                    <w14:schemeClr w14:val="tx1"/>
                  </w14:solidFill>
                </w14:textFill>
              </w:rPr>
              <w:t>3096-2008</w:t>
            </w:r>
            <w:r>
              <w:rPr>
                <w:rFonts w:hint="eastAsia"/>
                <w:bCs/>
                <w:color w:val="000000" w:themeColor="text1"/>
                <w:sz w:val="24"/>
                <w:szCs w:val="20"/>
                <w:highlight w:val="none"/>
                <w:lang w:eastAsia="zh-CN"/>
                <w14:textFill>
                  <w14:solidFill>
                    <w14:schemeClr w14:val="tx1"/>
                  </w14:solidFill>
                </w14:textFill>
              </w:rPr>
              <w:t>）</w:t>
            </w:r>
            <w:r>
              <w:rPr>
                <w:rFonts w:hint="eastAsia"/>
                <w:bCs/>
                <w:color w:val="000000" w:themeColor="text1"/>
                <w:sz w:val="24"/>
                <w:szCs w:val="20"/>
                <w:highlight w:val="none"/>
                <w14:textFill>
                  <w14:solidFill>
                    <w14:schemeClr w14:val="tx1"/>
                  </w14:solidFill>
                </w14:textFill>
              </w:rPr>
              <w:t>中2类区标准</w:t>
            </w:r>
            <w:r>
              <w:rPr>
                <w:rFonts w:hint="default"/>
                <w:color w:val="000000" w:themeColor="text1"/>
                <w:sz w:val="24"/>
                <w:szCs w:val="20"/>
                <w:highlight w:val="none"/>
                <w14:textFill>
                  <w14:solidFill>
                    <w14:schemeClr w14:val="tx1"/>
                  </w14:solidFill>
                </w14:textFill>
              </w:rPr>
              <w:t>。</w:t>
            </w:r>
          </w:p>
          <w:p w14:paraId="3A7F68CB">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项目最近地表水体为</w:t>
            </w:r>
            <w:r>
              <w:rPr>
                <w:rFonts w:hint="eastAsia"/>
                <w:color w:val="000000" w:themeColor="text1"/>
                <w:sz w:val="24"/>
                <w:szCs w:val="20"/>
                <w:highlight w:val="none"/>
                <w:lang w:val="en-US" w:eastAsia="zh-CN"/>
                <w14:textFill>
                  <w14:solidFill>
                    <w14:schemeClr w14:val="tx1"/>
                  </w14:solidFill>
                </w14:textFill>
              </w:rPr>
              <w:t>厂区西北侧的</w:t>
            </w:r>
            <w:r>
              <w:rPr>
                <w:rFonts w:hint="eastAsia"/>
                <w:color w:val="000000" w:themeColor="text1"/>
                <w:sz w:val="24"/>
                <w:szCs w:val="20"/>
                <w:highlight w:val="none"/>
                <w14:textFill>
                  <w14:solidFill>
                    <w14:schemeClr w14:val="tx1"/>
                  </w14:solidFill>
                </w14:textFill>
              </w:rPr>
              <w:t>聂鼠龙河（牛栏江一级支流），距离项目厂界约</w:t>
            </w:r>
            <w:r>
              <w:rPr>
                <w:rFonts w:hint="eastAsia"/>
                <w:color w:val="000000" w:themeColor="text1"/>
                <w:sz w:val="24"/>
                <w:szCs w:val="20"/>
                <w:highlight w:val="none"/>
                <w:lang w:val="en-US" w:eastAsia="zh-CN"/>
                <w14:textFill>
                  <w14:solidFill>
                    <w14:schemeClr w14:val="tx1"/>
                  </w14:solidFill>
                </w14:textFill>
              </w:rPr>
              <w:t>182</w:t>
            </w:r>
            <w:r>
              <w:rPr>
                <w:rFonts w:hint="eastAsia"/>
                <w:color w:val="000000" w:themeColor="text1"/>
                <w:sz w:val="24"/>
                <w:szCs w:val="20"/>
                <w:highlight w:val="none"/>
                <w14:textFill>
                  <w14:solidFill>
                    <w14:schemeClr w14:val="tx1"/>
                  </w14:solidFill>
                </w14:textFill>
              </w:rPr>
              <w:t>m。根据《昆明市和滇中产业新区水功能区划》（2010~2030年），聂鼠龙河执行《地表水环境质量标准》（GB 3838-2002）Ⅲ类水质标准。</w:t>
            </w:r>
          </w:p>
          <w:p w14:paraId="188A4C35">
            <w:pPr>
              <w:keepNext w:val="0"/>
              <w:keepLines w:val="0"/>
              <w:suppressLineNumbers w:val="0"/>
              <w:spacing w:before="0" w:beforeAutospacing="0" w:after="0" w:afterAutospacing="0" w:line="360" w:lineRule="auto"/>
              <w:ind w:left="0" w:right="0" w:firstLine="480" w:firstLineChars="200"/>
              <w:rPr>
                <w:rFonts w:hint="default" w:ascii="宋体" w:hAnsi="宋体"/>
                <w:bCs/>
                <w:color w:val="000000" w:themeColor="text1"/>
                <w:sz w:val="24"/>
                <w:szCs w:val="20"/>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项目运行过程经采取</w:t>
            </w:r>
            <w:r>
              <w:rPr>
                <w:rFonts w:hint="eastAsia" w:cs="宋体"/>
                <w:color w:val="000000" w:themeColor="text1"/>
                <w:sz w:val="24"/>
                <w:szCs w:val="22"/>
                <w:highlight w:val="none"/>
                <w14:textFill>
                  <w14:solidFill>
                    <w14:schemeClr w14:val="tx1"/>
                  </w14:solidFill>
                </w14:textFill>
              </w:rPr>
              <w:t>全封闭钢结构厂房</w:t>
            </w:r>
            <w:r>
              <w:rPr>
                <w:rFonts w:hint="eastAsia" w:cs="宋体"/>
                <w:color w:val="000000" w:themeColor="text1"/>
                <w:sz w:val="24"/>
                <w:szCs w:val="22"/>
                <w:highlight w:val="none"/>
                <w:lang w:eastAsia="zh-CN"/>
                <w14:textFill>
                  <w14:solidFill>
                    <w14:schemeClr w14:val="tx1"/>
                  </w14:solidFill>
                </w14:textFill>
              </w:rPr>
              <w:t>、</w:t>
            </w:r>
            <w:r>
              <w:rPr>
                <w:rFonts w:hint="eastAsia" w:cs="宋体"/>
                <w:color w:val="000000" w:themeColor="text1"/>
                <w:sz w:val="24"/>
                <w:szCs w:val="22"/>
                <w:highlight w:val="none"/>
                <w14:textFill>
                  <w14:solidFill>
                    <w14:schemeClr w14:val="tx1"/>
                  </w14:solidFill>
                </w14:textFill>
              </w:rPr>
              <w:t>喷淋抑尘系统</w:t>
            </w:r>
            <w:r>
              <w:rPr>
                <w:rFonts w:hint="eastAsia" w:cs="宋体"/>
                <w:color w:val="000000" w:themeColor="text1"/>
                <w:sz w:val="24"/>
                <w:szCs w:val="22"/>
                <w:highlight w:val="none"/>
                <w:lang w:eastAsia="zh-CN"/>
                <w14:textFill>
                  <w14:solidFill>
                    <w14:schemeClr w14:val="tx1"/>
                  </w14:solidFill>
                </w14:textFill>
              </w:rPr>
              <w:t>、</w:t>
            </w:r>
            <w:r>
              <w:rPr>
                <w:rFonts w:hint="eastAsia" w:cs="宋体"/>
                <w:color w:val="000000" w:themeColor="text1"/>
                <w:sz w:val="24"/>
                <w:szCs w:val="22"/>
                <w:highlight w:val="none"/>
                <w14:textFill>
                  <w14:solidFill>
                    <w14:schemeClr w14:val="tx1"/>
                  </w14:solidFill>
                </w14:textFill>
              </w:rPr>
              <w:t>彩钢瓦全封闭</w:t>
            </w:r>
            <w:r>
              <w:rPr>
                <w:rFonts w:hint="eastAsia" w:cs="宋体"/>
                <w:color w:val="000000" w:themeColor="text1"/>
                <w:sz w:val="24"/>
                <w:szCs w:val="22"/>
                <w:highlight w:val="none"/>
                <w:lang w:eastAsia="zh-CN"/>
                <w14:textFill>
                  <w14:solidFill>
                    <w14:schemeClr w14:val="tx1"/>
                  </w14:solidFill>
                </w14:textFill>
              </w:rPr>
              <w:t>等抑尘措施，颗粒物排放量较少，对周边环境影响较小；无废水外排；选用</w:t>
            </w:r>
            <w:r>
              <w:rPr>
                <w:rFonts w:hint="eastAsia"/>
                <w:color w:val="000000" w:themeColor="text1"/>
                <w:sz w:val="24"/>
                <w:szCs w:val="20"/>
                <w:highlight w:val="none"/>
                <w14:textFill>
                  <w14:solidFill>
                    <w14:schemeClr w14:val="tx1"/>
                  </w14:solidFill>
                </w14:textFill>
              </w:rPr>
              <w:t>低噪音设备</w:t>
            </w:r>
            <w:r>
              <w:rPr>
                <w:rFonts w:hint="eastAsia"/>
                <w:color w:val="000000" w:themeColor="text1"/>
                <w:sz w:val="24"/>
                <w:szCs w:val="20"/>
                <w:highlight w:val="none"/>
                <w:lang w:eastAsia="zh-CN"/>
                <w14:textFill>
                  <w14:solidFill>
                    <w14:schemeClr w14:val="tx1"/>
                  </w14:solidFill>
                </w14:textFill>
              </w:rPr>
              <w:t>、采取减振措施并</w:t>
            </w:r>
            <w:r>
              <w:rPr>
                <w:rFonts w:hint="eastAsia"/>
                <w:color w:val="000000" w:themeColor="text1"/>
                <w:sz w:val="24"/>
                <w:szCs w:val="20"/>
                <w:highlight w:val="none"/>
                <w14:textFill>
                  <w14:solidFill>
                    <w14:schemeClr w14:val="tx1"/>
                  </w14:solidFill>
                </w14:textFill>
              </w:rPr>
              <w:t>加强</w:t>
            </w:r>
            <w:r>
              <w:rPr>
                <w:rFonts w:hint="eastAsia"/>
                <w:color w:val="000000" w:themeColor="text1"/>
                <w:sz w:val="24"/>
                <w:szCs w:val="20"/>
                <w:highlight w:val="none"/>
                <w:lang w:eastAsia="zh-CN"/>
                <w14:textFill>
                  <w14:solidFill>
                    <w14:schemeClr w14:val="tx1"/>
                  </w14:solidFill>
                </w14:textFill>
              </w:rPr>
              <w:t>设备维护，可使设备噪声对周边环境影响较小；固废均得到妥善处置。</w:t>
            </w:r>
            <w:r>
              <w:rPr>
                <w:rFonts w:hint="default"/>
                <w:color w:val="000000" w:themeColor="text1"/>
                <w:sz w:val="24"/>
                <w:szCs w:val="20"/>
                <w:highlight w:val="none"/>
                <w14:textFill>
                  <w14:solidFill>
                    <w14:schemeClr w14:val="tx1"/>
                  </w14:solidFill>
                </w14:textFill>
              </w:rPr>
              <w:t>项目建设不会改变区域环境功能区划的要求，故本项目</w:t>
            </w:r>
            <w:r>
              <w:rPr>
                <w:rFonts w:hint="eastAsia" w:ascii="宋体" w:hAnsi="宋体"/>
                <w:color w:val="000000" w:themeColor="text1"/>
                <w:sz w:val="24"/>
                <w:szCs w:val="20"/>
                <w:highlight w:val="none"/>
                <w14:textFill>
                  <w14:solidFill>
                    <w14:schemeClr w14:val="tx1"/>
                  </w14:solidFill>
                </w14:textFill>
              </w:rPr>
              <w:t>的实施不会影响环境质量底线。</w:t>
            </w:r>
          </w:p>
          <w:p w14:paraId="274B1FB3">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highlight w:val="none"/>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（3）资源利用上线</w:t>
            </w:r>
          </w:p>
          <w:p w14:paraId="03FCA43E">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到2025年，按照国家、省、市有关要求和规划，按时完成全市用水总量、用水效率、限制纳污“三条红线”水资源上限控制指标；按时完成耕地保有量、基本农田保护面积、建设用地总规模等土地资源利用上限控制指标；按时完成单位GDP能耗下降率、能源消费总量等能源控制指标；矿产资源开采与保护达到预期目标；河湖岸线资源管控达到相关要求。</w:t>
            </w:r>
          </w:p>
          <w:p w14:paraId="5C995A81">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本项目用地位于昆明市寻甸县塘子街道，原为云南泰康消防化工集团寻甸有限公司</w:t>
            </w:r>
            <w:r>
              <w:rPr>
                <w:rFonts w:hint="eastAsia"/>
                <w:color w:val="000000" w:themeColor="text1"/>
                <w:sz w:val="24"/>
                <w:szCs w:val="20"/>
                <w:highlight w:val="none"/>
                <w:lang w:val="en-US" w:eastAsia="zh-CN"/>
                <w14:textFill>
                  <w14:solidFill>
                    <w14:schemeClr w14:val="tx1"/>
                  </w14:solidFill>
                </w14:textFill>
              </w:rPr>
              <w:t>闲置用地</w:t>
            </w:r>
            <w:r>
              <w:rPr>
                <w:rFonts w:hint="eastAsia"/>
                <w:color w:val="000000" w:themeColor="text1"/>
                <w:sz w:val="24"/>
                <w:szCs w:val="20"/>
                <w:highlight w:val="none"/>
                <w:lang w:eastAsia="zh-CN"/>
                <w14:textFill>
                  <w14:solidFill>
                    <w14:schemeClr w14:val="tx1"/>
                  </w14:solidFill>
                </w14:textFill>
              </w:rPr>
              <w:t>，不涉及耕地、基本农田</w:t>
            </w:r>
            <w:r>
              <w:rPr>
                <w:rFonts w:hint="eastAsia"/>
                <w:color w:val="000000" w:themeColor="text1"/>
                <w:sz w:val="24"/>
                <w:szCs w:val="20"/>
                <w:highlight w:val="none"/>
                <w14:textFill>
                  <w14:solidFill>
                    <w14:schemeClr w14:val="tx1"/>
                  </w14:solidFill>
                </w14:textFill>
              </w:rPr>
              <w:t>。该公司破产后，云南亿鑫芳商贸有限公司通过司法拍卖依法取得该地块土地使用权及地上附着物使用权。2025年，中国有色金属工业昆明勘察设计研究院有限公司（以下简称</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昆明勘察院</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）与云南亿鑫芳商贸有限公司签订场地租赁合同，承租该地块用于项目实施。</w:t>
            </w:r>
          </w:p>
          <w:p w14:paraId="41EBAEC1">
            <w:pPr>
              <w:keepNext w:val="0"/>
              <w:keepLines w:val="0"/>
              <w:suppressLineNumbers w:val="0"/>
              <w:spacing w:before="0" w:beforeAutospacing="0" w:after="0" w:afterAutospacing="0" w:line="360" w:lineRule="auto"/>
              <w:ind w:left="0" w:right="0" w:firstLine="480" w:firstLineChars="200"/>
              <w:rPr>
                <w:rFonts w:hint="default"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项目利用</w:t>
            </w:r>
            <w:r>
              <w:rPr>
                <w:rFonts w:hint="eastAsia" w:ascii="宋体" w:hAnsi="宋体"/>
                <w:color w:val="000000" w:themeColor="text1"/>
                <w:sz w:val="24"/>
                <w:szCs w:val="20"/>
                <w:highlight w:val="none"/>
                <w:lang w:val="en-US" w:eastAsia="zh-CN"/>
                <w14:textFill>
                  <w14:solidFill>
                    <w14:schemeClr w14:val="tx1"/>
                  </w14:solidFill>
                </w14:textFill>
              </w:rPr>
              <w:t>磷石膏</w:t>
            </w:r>
            <w:r>
              <w:rPr>
                <w:rFonts w:hint="eastAsia" w:ascii="宋体" w:hAnsi="宋体"/>
                <w:color w:val="000000" w:themeColor="text1"/>
                <w:sz w:val="24"/>
                <w:szCs w:val="20"/>
                <w:highlight w:val="none"/>
                <w14:textFill>
                  <w14:solidFill>
                    <w14:schemeClr w14:val="tx1"/>
                  </w14:solidFill>
                </w14:textFill>
              </w:rPr>
              <w:t>进行</w:t>
            </w:r>
            <w:r>
              <w:rPr>
                <w:rFonts w:hint="eastAsia" w:ascii="宋体" w:hAnsi="宋体"/>
                <w:color w:val="000000" w:themeColor="text1"/>
                <w:sz w:val="24"/>
                <w:szCs w:val="20"/>
                <w:highlight w:val="none"/>
                <w:lang w:val="en-US" w:eastAsia="zh-CN"/>
                <w14:textFill>
                  <w14:solidFill>
                    <w14:schemeClr w14:val="tx1"/>
                  </w14:solidFill>
                </w14:textFill>
              </w:rPr>
              <w:t>改性</w:t>
            </w:r>
            <w:r>
              <w:rPr>
                <w:rFonts w:hint="eastAsia" w:ascii="宋体" w:hAnsi="宋体"/>
                <w:color w:val="000000" w:themeColor="text1"/>
                <w:sz w:val="24"/>
                <w:szCs w:val="20"/>
                <w:highlight w:val="none"/>
                <w14:textFill>
                  <w14:solidFill>
                    <w14:schemeClr w14:val="tx1"/>
                  </w14:solidFill>
                </w14:textFill>
              </w:rPr>
              <w:t>生产</w:t>
            </w:r>
            <w:r>
              <w:rPr>
                <w:rFonts w:hint="eastAsia" w:ascii="宋体" w:hAnsi="宋体"/>
                <w:color w:val="000000" w:themeColor="text1"/>
                <w:sz w:val="24"/>
                <w:szCs w:val="20"/>
                <w:highlight w:val="none"/>
                <w:lang w:eastAsia="zh-CN"/>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生产工艺满足节能降耗要求，项目实施</w:t>
            </w:r>
            <w:r>
              <w:rPr>
                <w:rFonts w:hint="eastAsia" w:ascii="宋体" w:hAnsi="宋体"/>
                <w:color w:val="000000" w:themeColor="text1"/>
                <w:sz w:val="24"/>
                <w:szCs w:val="20"/>
                <w:highlight w:val="none"/>
                <w:lang w:eastAsia="zh-CN"/>
                <w14:textFill>
                  <w14:solidFill>
                    <w14:schemeClr w14:val="tx1"/>
                  </w14:solidFill>
                </w14:textFill>
              </w:rPr>
              <w:t>将进一步</w:t>
            </w:r>
            <w:r>
              <w:rPr>
                <w:rFonts w:hint="eastAsia" w:ascii="宋体" w:hAnsi="宋体"/>
                <w:color w:val="000000" w:themeColor="text1"/>
                <w:sz w:val="24"/>
                <w:szCs w:val="20"/>
                <w:highlight w:val="none"/>
                <w14:textFill>
                  <w14:solidFill>
                    <w14:schemeClr w14:val="tx1"/>
                  </w14:solidFill>
                </w14:textFill>
              </w:rPr>
              <w:t>提升资源利用效率。项目供水、供电依托</w:t>
            </w:r>
            <w:r>
              <w:rPr>
                <w:rFonts w:hint="eastAsia" w:ascii="宋体" w:hAnsi="宋体"/>
                <w:color w:val="000000" w:themeColor="text1"/>
                <w:sz w:val="24"/>
                <w:szCs w:val="20"/>
                <w:highlight w:val="none"/>
                <w:lang w:val="en-US" w:eastAsia="zh-CN"/>
                <w14:textFill>
                  <w14:solidFill>
                    <w14:schemeClr w14:val="tx1"/>
                  </w14:solidFill>
                </w14:textFill>
              </w:rPr>
              <w:t>租赁场地</w:t>
            </w:r>
            <w:r>
              <w:rPr>
                <w:rFonts w:hint="eastAsia" w:ascii="宋体" w:hAnsi="宋体"/>
                <w:color w:val="000000" w:themeColor="text1"/>
                <w:sz w:val="24"/>
                <w:szCs w:val="20"/>
                <w:highlight w:val="none"/>
                <w14:textFill>
                  <w14:solidFill>
                    <w14:schemeClr w14:val="tx1"/>
                  </w14:solidFill>
                </w14:textFill>
              </w:rPr>
              <w:t>现有</w:t>
            </w:r>
            <w:r>
              <w:rPr>
                <w:rFonts w:hint="eastAsia" w:ascii="宋体" w:hAnsi="宋体"/>
                <w:color w:val="000000" w:themeColor="text1"/>
                <w:sz w:val="24"/>
                <w:szCs w:val="20"/>
                <w:highlight w:val="none"/>
                <w:lang w:val="en-US" w:eastAsia="zh-CN"/>
                <w14:textFill>
                  <w14:solidFill>
                    <w14:schemeClr w14:val="tx1"/>
                  </w14:solidFill>
                </w14:textFill>
              </w:rPr>
              <w:t>设施</w:t>
            </w:r>
            <w:r>
              <w:rPr>
                <w:rFonts w:hint="eastAsia" w:ascii="宋体" w:hAnsi="宋体"/>
                <w:color w:val="000000" w:themeColor="text1"/>
                <w:sz w:val="24"/>
                <w:szCs w:val="20"/>
                <w:highlight w:val="none"/>
                <w14:textFill>
                  <w14:solidFill>
                    <w14:schemeClr w14:val="tx1"/>
                  </w14:solidFill>
                </w14:textFill>
              </w:rPr>
              <w:t>解决，项目</w:t>
            </w:r>
            <w:r>
              <w:rPr>
                <w:rFonts w:hint="eastAsia" w:ascii="宋体" w:hAnsi="宋体"/>
                <w:color w:val="000000" w:themeColor="text1"/>
                <w:sz w:val="24"/>
                <w:szCs w:val="20"/>
                <w:highlight w:val="none"/>
                <w:lang w:eastAsia="zh-CN"/>
                <w14:textFill>
                  <w14:solidFill>
                    <w14:schemeClr w14:val="tx1"/>
                  </w14:solidFill>
                </w14:textFill>
              </w:rPr>
              <w:t>从</w:t>
            </w:r>
            <w:r>
              <w:rPr>
                <w:rFonts w:hint="eastAsia" w:ascii="宋体" w:hAnsi="宋体"/>
                <w:color w:val="000000" w:themeColor="text1"/>
                <w:sz w:val="24"/>
                <w:szCs w:val="20"/>
                <w:highlight w:val="none"/>
                <w14:textFill>
                  <w14:solidFill>
                    <w14:schemeClr w14:val="tx1"/>
                  </w14:solidFill>
                </w14:textFill>
              </w:rPr>
              <w:t>内部管理、设备选择、原辅材料的选用和管理、废物回收利用和污染治理等多方面采取合理可行的防治措施，以“节能、降耗、减污”为目标，项目所在地不属于资源、能源紧缺区域，项目在租用工业用地上建设，不新增占地，不占用耕地及基本农田。项目运营期间水、电资源消耗量小，依托现有设施供应，不会突破区域资源利用</w:t>
            </w:r>
            <w:r>
              <w:rPr>
                <w:rFonts w:hint="eastAsia" w:ascii="宋体" w:hAnsi="宋体"/>
                <w:color w:val="000000" w:themeColor="text1"/>
                <w:sz w:val="24"/>
                <w:szCs w:val="20"/>
                <w:highlight w:val="none"/>
                <w:lang w:eastAsia="zh-CN"/>
                <w14:textFill>
                  <w14:solidFill>
                    <w14:schemeClr w14:val="tx1"/>
                  </w14:solidFill>
                </w14:textFill>
              </w:rPr>
              <w:t>上限</w:t>
            </w:r>
            <w:r>
              <w:rPr>
                <w:rFonts w:hint="eastAsia" w:ascii="宋体" w:hAnsi="宋体"/>
                <w:color w:val="000000" w:themeColor="text1"/>
                <w:sz w:val="24"/>
                <w:szCs w:val="20"/>
                <w:highlight w:val="none"/>
                <w14:textFill>
                  <w14:solidFill>
                    <w14:schemeClr w14:val="tx1"/>
                  </w14:solidFill>
                </w14:textFill>
              </w:rPr>
              <w:t>。项目运营期间水、电、土地资源等用量不会超过资源利用</w:t>
            </w:r>
            <w:r>
              <w:rPr>
                <w:rFonts w:hint="eastAsia" w:ascii="宋体" w:hAnsi="宋体"/>
                <w:color w:val="000000" w:themeColor="text1"/>
                <w:sz w:val="24"/>
                <w:szCs w:val="20"/>
                <w:highlight w:val="none"/>
                <w:lang w:eastAsia="zh-CN"/>
                <w14:textFill>
                  <w14:solidFill>
                    <w14:schemeClr w14:val="tx1"/>
                  </w14:solidFill>
                </w14:textFill>
              </w:rPr>
              <w:t>上限</w:t>
            </w:r>
            <w:r>
              <w:rPr>
                <w:rFonts w:hint="eastAsia" w:ascii="宋体" w:hAnsi="宋体"/>
                <w:color w:val="000000" w:themeColor="text1"/>
                <w:sz w:val="24"/>
                <w:szCs w:val="20"/>
                <w:highlight w:val="none"/>
                <w14:textFill>
                  <w14:solidFill>
                    <w14:schemeClr w14:val="tx1"/>
                  </w14:solidFill>
                </w14:textFill>
              </w:rPr>
              <w:t>。</w:t>
            </w:r>
          </w:p>
          <w:p w14:paraId="01DCA9C8">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color w:val="000000" w:themeColor="text1"/>
                <w:sz w:val="24"/>
                <w:szCs w:val="20"/>
                <w:highlight w:val="none"/>
                <w14:textFill>
                  <w14:solidFill>
                    <w14:schemeClr w14:val="tx1"/>
                  </w14:solidFill>
                </w14:textFill>
              </w:rPr>
            </w:pPr>
            <w:r>
              <w:rPr>
                <w:rFonts w:hint="eastAsia" w:ascii="宋体" w:hAnsi="宋体"/>
                <w:b/>
                <w:bCs/>
                <w:color w:val="000000" w:themeColor="text1"/>
                <w:sz w:val="24"/>
                <w:szCs w:val="20"/>
                <w:highlight w:val="none"/>
                <w14:textFill>
                  <w14:solidFill>
                    <w14:schemeClr w14:val="tx1"/>
                  </w14:solidFill>
                </w14:textFill>
              </w:rPr>
              <w:t>（</w:t>
            </w:r>
            <w:r>
              <w:rPr>
                <w:rFonts w:hint="default"/>
                <w:b/>
                <w:bCs/>
                <w:color w:val="000000" w:themeColor="text1"/>
                <w:sz w:val="24"/>
                <w:szCs w:val="20"/>
                <w:highlight w:val="none"/>
                <w14:textFill>
                  <w14:solidFill>
                    <w14:schemeClr w14:val="tx1"/>
                  </w14:solidFill>
                </w14:textFill>
              </w:rPr>
              <w:t>4）环境准入负面清单</w:t>
            </w:r>
          </w:p>
          <w:p w14:paraId="48BF71E9">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项目与昆明市生态环境管控总体准入要求符合性见表1-2。</w:t>
            </w:r>
          </w:p>
          <w:p w14:paraId="02DF25A7">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表</w:t>
            </w:r>
            <w:r>
              <w:rPr>
                <w:rFonts w:hint="eastAsia"/>
                <w:b/>
                <w:color w:val="000000" w:themeColor="text1"/>
                <w:sz w:val="24"/>
                <w:szCs w:val="20"/>
                <w:highlight w:val="none"/>
                <w14:textFill>
                  <w14:solidFill>
                    <w14:schemeClr w14:val="tx1"/>
                  </w14:solidFill>
                </w14:textFill>
              </w:rPr>
              <w:t xml:space="preserve">1-2  </w:t>
            </w:r>
            <w:r>
              <w:rPr>
                <w:rFonts w:hint="eastAsia" w:ascii="宋体" w:hAnsi="宋体"/>
                <w:b/>
                <w:color w:val="000000" w:themeColor="text1"/>
                <w:sz w:val="24"/>
                <w:szCs w:val="20"/>
                <w:highlight w:val="none"/>
                <w14:textFill>
                  <w14:solidFill>
                    <w14:schemeClr w14:val="tx1"/>
                  </w14:solidFill>
                </w14:textFill>
              </w:rPr>
              <w:t>与</w:t>
            </w:r>
            <w:r>
              <w:rPr>
                <w:rFonts w:hint="eastAsia"/>
                <w:b/>
                <w:bCs/>
                <w:color w:val="000000" w:themeColor="text1"/>
                <w:sz w:val="24"/>
                <w:szCs w:val="20"/>
                <w:highlight w:val="none"/>
                <w14:textFill>
                  <w14:solidFill>
                    <w14:schemeClr w14:val="tx1"/>
                  </w14:solidFill>
                </w14:textFill>
              </w:rPr>
              <w:t>昆明市生态环境管控总体准入要求</w:t>
            </w:r>
            <w:r>
              <w:rPr>
                <w:rFonts w:hint="eastAsia" w:ascii="宋体" w:hAnsi="宋体"/>
                <w:b/>
                <w:color w:val="000000" w:themeColor="text1"/>
                <w:sz w:val="24"/>
                <w:szCs w:val="20"/>
                <w:highlight w:val="none"/>
                <w14:textFill>
                  <w14:solidFill>
                    <w14:schemeClr w14:val="tx1"/>
                  </w14:solidFill>
                </w14:textFill>
              </w:rPr>
              <w:t>的符合性分析</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355"/>
              <w:gridCol w:w="2383"/>
              <w:gridCol w:w="675"/>
            </w:tblGrid>
            <w:tr w14:paraId="176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4" w:space="0"/>
                    <w:left w:val="single" w:color="auto" w:sz="4" w:space="0"/>
                    <w:bottom w:val="single" w:color="auto" w:sz="4" w:space="0"/>
                    <w:right w:val="single" w:color="auto" w:sz="4" w:space="0"/>
                  </w:tcBorders>
                  <w:vAlign w:val="center"/>
                </w:tcPr>
                <w:p w14:paraId="2179BEDE">
                  <w:pPr>
                    <w:keepNext w:val="0"/>
                    <w:keepLines w:val="0"/>
                    <w:suppressLineNumbers w:val="0"/>
                    <w:adjustRightIn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管控领域</w:t>
                  </w:r>
                </w:p>
              </w:tc>
              <w:tc>
                <w:tcPr>
                  <w:tcW w:w="2657" w:type="pct"/>
                  <w:tcBorders>
                    <w:top w:val="single" w:color="auto" w:sz="4" w:space="0"/>
                    <w:left w:val="single" w:color="auto" w:sz="4" w:space="0"/>
                    <w:bottom w:val="single" w:color="auto" w:sz="4" w:space="0"/>
                    <w:right w:val="single" w:color="auto" w:sz="4" w:space="0"/>
                  </w:tcBorders>
                  <w:vAlign w:val="center"/>
                </w:tcPr>
                <w:p w14:paraId="4A2E4D0C">
                  <w:pPr>
                    <w:keepNext w:val="0"/>
                    <w:keepLines w:val="0"/>
                    <w:suppressLineNumbers w:val="0"/>
                    <w:adjustRightIn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管控要求</w:t>
                  </w:r>
                </w:p>
              </w:tc>
              <w:tc>
                <w:tcPr>
                  <w:tcW w:w="1454" w:type="pct"/>
                  <w:tcBorders>
                    <w:top w:val="single" w:color="auto" w:sz="4" w:space="0"/>
                    <w:left w:val="single" w:color="auto" w:sz="4" w:space="0"/>
                    <w:bottom w:val="single" w:color="auto" w:sz="4" w:space="0"/>
                    <w:right w:val="single" w:color="auto" w:sz="4" w:space="0"/>
                  </w:tcBorders>
                  <w:vAlign w:val="center"/>
                </w:tcPr>
                <w:p w14:paraId="2F6FE80C">
                  <w:pPr>
                    <w:keepNext w:val="0"/>
                    <w:keepLines w:val="0"/>
                    <w:suppressLineNumbers w:val="0"/>
                    <w:adjustRightIn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本项目情况</w:t>
                  </w:r>
                </w:p>
              </w:tc>
              <w:tc>
                <w:tcPr>
                  <w:tcW w:w="411" w:type="pct"/>
                  <w:tcBorders>
                    <w:top w:val="single" w:color="auto" w:sz="4" w:space="0"/>
                    <w:left w:val="single" w:color="auto" w:sz="4" w:space="0"/>
                    <w:bottom w:val="single" w:color="auto" w:sz="4" w:space="0"/>
                    <w:right w:val="single" w:color="auto" w:sz="4" w:space="0"/>
                  </w:tcBorders>
                  <w:vAlign w:val="center"/>
                </w:tcPr>
                <w:p w14:paraId="23BB6D36">
                  <w:pPr>
                    <w:keepNext w:val="0"/>
                    <w:keepLines w:val="0"/>
                    <w:suppressLineNumbers w:val="0"/>
                    <w:adjustRightInd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符合性</w:t>
                  </w:r>
                </w:p>
              </w:tc>
            </w:tr>
            <w:tr w14:paraId="3CE0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4" w:space="0"/>
                    <w:left w:val="single" w:color="auto" w:sz="4" w:space="0"/>
                    <w:bottom w:val="single" w:color="auto" w:sz="4" w:space="0"/>
                    <w:right w:val="single" w:color="auto" w:sz="4" w:space="0"/>
                  </w:tcBorders>
                  <w:vAlign w:val="center"/>
                </w:tcPr>
                <w:p w14:paraId="645F3543">
                  <w:pPr>
                    <w:keepNext w:val="0"/>
                    <w:keepLines w:val="0"/>
                    <w:suppressLineNumbers w:val="0"/>
                    <w:adjustRightInd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空间布局约束</w:t>
                  </w:r>
                </w:p>
              </w:tc>
              <w:tc>
                <w:tcPr>
                  <w:tcW w:w="2657" w:type="pct"/>
                  <w:tcBorders>
                    <w:top w:val="single" w:color="auto" w:sz="4" w:space="0"/>
                    <w:left w:val="single" w:color="auto" w:sz="4" w:space="0"/>
                    <w:bottom w:val="single" w:color="auto" w:sz="4" w:space="0"/>
                    <w:right w:val="single" w:color="auto" w:sz="4" w:space="0"/>
                  </w:tcBorders>
                  <w:vAlign w:val="center"/>
                </w:tcPr>
                <w:p w14:paraId="6F9544A8">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1.根据《昆明市国土空间总体规划（2021—2035年）》进行空间管控。</w:t>
                  </w:r>
                </w:p>
                <w:p w14:paraId="7A7956C8">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2.牛栏江流域内，严格按照《云南省牛栏江保护条例》相关要求对水环境进行分区管控。</w:t>
                  </w:r>
                </w:p>
                <w:p w14:paraId="2073E3F9">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3.滇池流域内，严格按照《云南省滇池湖滨生态红线及湖泊生态黄线“两线”划定方案》相关要求进行分区管控。</w:t>
                  </w:r>
                </w:p>
                <w:p w14:paraId="47655D69">
                  <w:pPr>
                    <w:keepNext w:val="0"/>
                    <w:keepLines w:val="0"/>
                    <w:suppressLineNumbers w:val="0"/>
                    <w:adjustRightInd w:val="0"/>
                    <w:spacing w:before="0" w:beforeAutospacing="0" w:after="0" w:afterAutospacing="0"/>
                    <w:ind w:left="0" w:right="0"/>
                    <w:jc w:val="left"/>
                    <w:rPr>
                      <w:rFonts w:hint="default" w:ascii="宋体" w:hAnsi="宋体"/>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4.阳宗海流域内，严格按照《云南省阳宗海湖滨生态红线及湖泊生态黄线“两线”划定方案》相关要求进行分区管控。</w:t>
                  </w:r>
                </w:p>
              </w:tc>
              <w:tc>
                <w:tcPr>
                  <w:tcW w:w="1454" w:type="pct"/>
                  <w:tcBorders>
                    <w:top w:val="single" w:color="auto" w:sz="4" w:space="0"/>
                    <w:left w:val="single" w:color="auto" w:sz="4" w:space="0"/>
                    <w:bottom w:val="single" w:color="auto" w:sz="4" w:space="0"/>
                    <w:right w:val="single" w:color="auto" w:sz="4" w:space="0"/>
                  </w:tcBorders>
                  <w:vAlign w:val="center"/>
                </w:tcPr>
                <w:p w14:paraId="72A4A906">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eastAsia="zh-CN"/>
                      <w14:textFill>
                        <w14:solidFill>
                          <w14:schemeClr w14:val="tx1"/>
                        </w14:solidFill>
                      </w14:textFill>
                    </w:rPr>
                    <w:t>.</w:t>
                  </w:r>
                  <w:r>
                    <w:rPr>
                      <w:rFonts w:hint="default"/>
                      <w:color w:val="000000" w:themeColor="text1"/>
                      <w:sz w:val="21"/>
                      <w:szCs w:val="21"/>
                      <w:highlight w:val="none"/>
                      <w14:textFill>
                        <w14:solidFill>
                          <w14:schemeClr w14:val="tx1"/>
                        </w14:solidFill>
                      </w14:textFill>
                    </w:rPr>
                    <w:t>项目</w:t>
                  </w:r>
                  <w:r>
                    <w:rPr>
                      <w:rFonts w:hint="eastAsia"/>
                      <w:color w:val="000000" w:themeColor="text1"/>
                      <w:sz w:val="21"/>
                      <w:szCs w:val="21"/>
                      <w:highlight w:val="none"/>
                      <w:lang w:eastAsia="zh-CN"/>
                      <w14:textFill>
                        <w14:solidFill>
                          <w14:schemeClr w14:val="tx1"/>
                        </w14:solidFill>
                      </w14:textFill>
                    </w:rPr>
                    <w:t>用地不涉及永久基本农田、生态保护红线、城镇开发边界，用地性质为工业用地。</w:t>
                  </w:r>
                </w:p>
                <w:p w14:paraId="65907DE1">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根据牛栏江水系环境规划图可知本项目属于《云南省牛栏江保护条例》中的水源涵养区，且符合《云南省牛栏江保护条例》相关要求。</w:t>
                  </w:r>
                </w:p>
                <w:p w14:paraId="5EFFD403">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项目不在滇池流域内。</w:t>
                  </w:r>
                </w:p>
                <w:p w14:paraId="070324FB">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项目不在阳宗海流域内。</w:t>
                  </w:r>
                </w:p>
              </w:tc>
              <w:tc>
                <w:tcPr>
                  <w:tcW w:w="411" w:type="pct"/>
                  <w:tcBorders>
                    <w:top w:val="single" w:color="auto" w:sz="4" w:space="0"/>
                    <w:left w:val="single" w:color="auto" w:sz="4" w:space="0"/>
                    <w:bottom w:val="single" w:color="auto" w:sz="4" w:space="0"/>
                    <w:right w:val="single" w:color="auto" w:sz="4" w:space="0"/>
                  </w:tcBorders>
                  <w:vAlign w:val="center"/>
                </w:tcPr>
                <w:p w14:paraId="0CE78628">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2045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4" w:space="0"/>
                    <w:left w:val="single" w:color="auto" w:sz="4" w:space="0"/>
                    <w:bottom w:val="single" w:color="auto" w:sz="4" w:space="0"/>
                    <w:right w:val="single" w:color="auto" w:sz="4" w:space="0"/>
                  </w:tcBorders>
                  <w:vAlign w:val="center"/>
                </w:tcPr>
                <w:p w14:paraId="60911ADE">
                  <w:pPr>
                    <w:keepNext w:val="0"/>
                    <w:keepLines w:val="0"/>
                    <w:suppressLineNumbers w:val="0"/>
                    <w:adjustRightInd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污染物排放管控</w:t>
                  </w:r>
                </w:p>
              </w:tc>
              <w:tc>
                <w:tcPr>
                  <w:tcW w:w="2657" w:type="pct"/>
                  <w:tcBorders>
                    <w:top w:val="single" w:color="auto" w:sz="4" w:space="0"/>
                    <w:left w:val="single" w:color="auto" w:sz="4" w:space="0"/>
                    <w:bottom w:val="single" w:color="auto" w:sz="4" w:space="0"/>
                    <w:right w:val="single" w:color="auto" w:sz="4" w:space="0"/>
                  </w:tcBorders>
                  <w:vAlign w:val="center"/>
                </w:tcPr>
                <w:p w14:paraId="3FBD9EAB">
                  <w:pPr>
                    <w:keepNext w:val="0"/>
                    <w:keepLines w:val="0"/>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1.到2025 年，昆明市地表水国控断面达到或好于Ⅲ类水体比例应达到81.5%，45个省控断面达到或好于Ⅲ类水体比例应达到80%，劣</w:t>
                  </w: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 5 \* ROMAN </w:instrText>
                  </w:r>
                  <w:r>
                    <w:rPr>
                      <w:rFonts w:hint="eastAsia"/>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V</w:t>
                  </w:r>
                  <w:r>
                    <w:rPr>
                      <w:rFonts w:hint="eastAsia"/>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t>类水体全面消除，县级及以上集中式饮用水水源地水质达标率100%；滇池草海水质稳定达到</w:t>
                  </w:r>
                  <w:r>
                    <w:rPr>
                      <w:rFonts w:hint="eastAsia"/>
                      <w:color w:val="000000" w:themeColor="text1"/>
                      <w:sz w:val="21"/>
                      <w:szCs w:val="21"/>
                      <w:highlight w:val="none"/>
                      <w:lang w:eastAsia="zh-CN"/>
                      <w14:textFill>
                        <w14:solidFill>
                          <w14:schemeClr w14:val="tx1"/>
                        </w14:solidFill>
                      </w14:textFill>
                    </w:rPr>
                    <w:t>Ⅳ类</w:t>
                  </w:r>
                  <w:r>
                    <w:rPr>
                      <w:rFonts w:hint="eastAsia"/>
                      <w:color w:val="000000" w:themeColor="text1"/>
                      <w:sz w:val="21"/>
                      <w:szCs w:val="21"/>
                      <w:highlight w:val="none"/>
                      <w14:textFill>
                        <w14:solidFill>
                          <w14:schemeClr w14:val="tx1"/>
                        </w14:solidFill>
                      </w14:textFill>
                    </w:rPr>
                    <w:t>、外海水质达到</w:t>
                  </w:r>
                  <w:r>
                    <w:rPr>
                      <w:rFonts w:hint="eastAsia"/>
                      <w:color w:val="000000" w:themeColor="text1"/>
                      <w:sz w:val="21"/>
                      <w:szCs w:val="21"/>
                      <w:highlight w:val="none"/>
                      <w:lang w:eastAsia="zh-CN"/>
                      <w14:textFill>
                        <w14:solidFill>
                          <w14:schemeClr w14:val="tx1"/>
                        </w14:solidFill>
                      </w14:textFill>
                    </w:rPr>
                    <w:t>Ⅳ类</w:t>
                  </w:r>
                  <w:r>
                    <w:rPr>
                      <w:rFonts w:hint="eastAsia"/>
                      <w:color w:val="000000" w:themeColor="text1"/>
                      <w:sz w:val="21"/>
                      <w:szCs w:val="21"/>
                      <w:highlight w:val="none"/>
                      <w14:textFill>
                        <w14:solidFill>
                          <w14:schemeClr w14:val="tx1"/>
                        </w14:solidFill>
                      </w14:textFill>
                    </w:rPr>
                    <w:t>（COD≤40mg/L），阳宗海水质稳定达到Ⅲ类水标准，县级及以上集中式饮用水水源地水质达标率100%。化学需氧量重点工程减排量10243t，氨氮重点工程减排量1009t。</w:t>
                  </w:r>
                </w:p>
                <w:p w14:paraId="72EA4FF9">
                  <w:pPr>
                    <w:keepNext w:val="0"/>
                    <w:keepLines w:val="0"/>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2.到2025年，昆明市环境空气质量优良天数比例应达到99.1%，城市细颗粒物（PM</w:t>
                  </w:r>
                  <w:r>
                    <w:rPr>
                      <w:rFonts w:hint="eastAsia"/>
                      <w:color w:val="000000" w:themeColor="text1"/>
                      <w:sz w:val="21"/>
                      <w:szCs w:val="21"/>
                      <w:highlight w:val="none"/>
                      <w:vertAlign w:val="subscript"/>
                      <w14:textFill>
                        <w14:solidFill>
                          <w14:schemeClr w14:val="tx1"/>
                        </w14:solidFill>
                      </w14:textFill>
                    </w:rPr>
                    <w:t>2.5</w:t>
                  </w:r>
                  <w:r>
                    <w:rPr>
                      <w:rFonts w:hint="eastAsia"/>
                      <w:color w:val="000000" w:themeColor="text1"/>
                      <w:sz w:val="21"/>
                      <w:szCs w:val="21"/>
                      <w:highlight w:val="none"/>
                      <w14:textFill>
                        <w14:solidFill>
                          <w14:schemeClr w14:val="tx1"/>
                        </w14:solidFill>
                      </w14:textFill>
                    </w:rPr>
                    <w:t>）平均浓度应达到24μg/m³；氮氧化物重点工程减排量2237t，挥发性有机物重点工程减排量1684t。</w:t>
                  </w:r>
                </w:p>
                <w:p w14:paraId="4525D88B">
                  <w:pPr>
                    <w:keepNext w:val="0"/>
                    <w:keepLines w:val="0"/>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3.2025年底前，全面完成钢铁企业超低排放改造。持续开展燃煤锅炉整治，推进每小时65蒸吨以上的燃煤锅炉超低排放改造。燃气锅炉推行低氮燃烧，氮氧化物排放浓度不高于50毫克/立方米。重点涉气排放企业逐步取消烟气旁路，因安全生产无法取消的，安装在线监管系统。</w:t>
                  </w:r>
                </w:p>
                <w:p w14:paraId="0E8E6226">
                  <w:pPr>
                    <w:keepNext w:val="0"/>
                    <w:keepLines w:val="0"/>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4.建立完善源头、过程和末端的VOCs全过程控制体系，实施VOCs排放总量控制。</w:t>
                  </w:r>
                </w:p>
                <w:p w14:paraId="20C2EC8A">
                  <w:pPr>
                    <w:keepNext w:val="0"/>
                    <w:keepLines w:val="0"/>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5.推进农业废弃物综合利用，2025年底前综合利用率达90%以上。</w:t>
                  </w:r>
                </w:p>
                <w:p w14:paraId="5456E0A2">
                  <w:pPr>
                    <w:keepNext w:val="0"/>
                    <w:keepLines w:val="0"/>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滇池流域：2025年底前，完成流域内城镇雨污分流改造，城镇污水收集率达95％以上，农村生活污水收集处理率达75％以上，畜禽粪污综合利用率达90％以上，城市生活垃圾处理率达97％以上，实现农村生活垃圾分类投放、统一运输、集中处理。</w:t>
                  </w:r>
                </w:p>
                <w:p w14:paraId="35E173D5">
                  <w:pPr>
                    <w:keepNext w:val="0"/>
                    <w:keepLines w:val="0"/>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阳宗海流域：推进农业废弃物综合利用，2025年底前农作物综合利用率达90%以上，畜禽粪污综合利用率达96%以上，农膜回收利用率达85%以上。2025年底前，完成流域内城镇雨污分流改造，城镇污水收集率达95%以上，农村生活污水收集处理率达75%以上，畜禽粪污综合利用率达90%以上，城镇生活垃圾处理率达97%以上，实现农村生活垃圾分类投放、统一运输、集中处理。</w:t>
                  </w:r>
                </w:p>
                <w:p w14:paraId="3CA54334">
                  <w:pPr>
                    <w:keepNext w:val="0"/>
                    <w:keepLines w:val="0"/>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督促指导磷石膏产生企业配套建设（或委托建设）相应能力的磷石膏无害化处理设施，采用水洗、焙烧、浮选、中和等技术对磷石膏进行无害化处理，确保在2025年新产生磷石膏实现100%无害化处理，从根本上降低磷石膏污染隐患。无害化处理后暂时不能利用的磷石膏，应当按生态环境、应急管理要求依法依规安全环保分类存放。</w:t>
                  </w:r>
                </w:p>
                <w:p w14:paraId="2B87C42B">
                  <w:pPr>
                    <w:keepNext w:val="0"/>
                    <w:keepLines w:val="0"/>
                    <w:suppressLineNumbers w:val="0"/>
                    <w:adjustRightInd w:val="0"/>
                    <w:spacing w:before="0" w:beforeAutospacing="0" w:after="0" w:afterAutospacing="0"/>
                    <w:ind w:left="0" w:right="0"/>
                    <w:jc w:val="left"/>
                    <w:rPr>
                      <w:rFonts w:hint="default" w:ascii="宋体" w:hAnsi="宋体"/>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9.推动昆明市磷石膏综合利用率2023年达到52%，2024年达到64%，2025年确保达到73%，力争达到75%；到2025年底，中心城区污泥无害化处置率达到95%以上，县城污泥无害化处置率达到90%以上。</w:t>
                  </w:r>
                </w:p>
              </w:tc>
              <w:tc>
                <w:tcPr>
                  <w:tcW w:w="1454" w:type="pct"/>
                  <w:tcBorders>
                    <w:top w:val="single" w:color="auto" w:sz="4" w:space="0"/>
                    <w:left w:val="single" w:color="auto" w:sz="4" w:space="0"/>
                    <w:bottom w:val="single" w:color="auto" w:sz="4" w:space="0"/>
                    <w:right w:val="single" w:color="auto" w:sz="4" w:space="0"/>
                  </w:tcBorders>
                  <w:vAlign w:val="center"/>
                </w:tcPr>
                <w:p w14:paraId="3B3514C8">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本项目</w:t>
                  </w:r>
                  <w:r>
                    <w:rPr>
                      <w:rFonts w:hint="eastAsia" w:ascii="宋体" w:hAnsi="宋体"/>
                      <w:color w:val="000000" w:themeColor="text1"/>
                      <w:sz w:val="21"/>
                      <w:szCs w:val="21"/>
                      <w:highlight w:val="none"/>
                      <w:lang w:eastAsia="zh-CN"/>
                      <w14:textFill>
                        <w14:solidFill>
                          <w14:schemeClr w14:val="tx1"/>
                        </w14:solidFill>
                      </w14:textFill>
                    </w:rPr>
                    <w:t>废水均经收集后回用，不外排</w:t>
                  </w:r>
                  <w:r>
                    <w:rPr>
                      <w:rFonts w:hint="eastAsia"/>
                      <w:color w:val="000000" w:themeColor="text1"/>
                      <w:sz w:val="21"/>
                      <w:szCs w:val="21"/>
                      <w:highlight w:val="none"/>
                      <w14:textFill>
                        <w14:solidFill>
                          <w14:schemeClr w14:val="tx1"/>
                        </w14:solidFill>
                      </w14:textFill>
                    </w:rPr>
                    <w:t>，对地表水影响较小。</w:t>
                  </w:r>
                </w:p>
                <w:p w14:paraId="6B9FC405">
                  <w:pPr>
                    <w:keepNext w:val="0"/>
                    <w:keepLines w:val="0"/>
                    <w:suppressLineNumbers w:val="0"/>
                    <w:adjustRightInd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项目评价区域内空气质量满足《环境空气质量标准》（GB3095</w:t>
                  </w:r>
                  <w:r>
                    <w:rPr>
                      <w:rFonts w:hint="eastAsia"/>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2</w:t>
                  </w:r>
                  <w:r>
                    <w:rPr>
                      <w:rFonts w:hint="eastAsia"/>
                      <w:color w:val="000000" w:themeColor="text1"/>
                      <w:sz w:val="21"/>
                      <w:szCs w:val="21"/>
                      <w:highlight w:val="none"/>
                      <w:lang w:val="en-US" w:eastAsia="zh-CN"/>
                      <w14:textFill>
                        <w14:solidFill>
                          <w14:schemeClr w14:val="tx1"/>
                        </w14:solidFill>
                      </w14:textFill>
                    </w:rPr>
                    <w:t>026</w:t>
                  </w:r>
                  <w:r>
                    <w:rPr>
                      <w:rFonts w:hint="eastAsia"/>
                      <w:color w:val="000000" w:themeColor="text1"/>
                      <w:sz w:val="21"/>
                      <w:szCs w:val="21"/>
                      <w:highlight w:val="none"/>
                      <w14:textFill>
                        <w14:solidFill>
                          <w14:schemeClr w14:val="tx1"/>
                        </w14:solidFill>
                      </w14:textFill>
                    </w:rPr>
                    <w:t>）二级标准。</w:t>
                  </w:r>
                  <w:r>
                    <w:rPr>
                      <w:rFonts w:hint="eastAsia"/>
                      <w:color w:val="000000" w:themeColor="text1"/>
                      <w:sz w:val="21"/>
                      <w:szCs w:val="21"/>
                      <w:highlight w:val="none"/>
                      <w:lang w:eastAsia="zh-CN"/>
                      <w14:textFill>
                        <w14:solidFill>
                          <w14:schemeClr w14:val="tx1"/>
                        </w14:solidFill>
                      </w14:textFill>
                    </w:rPr>
                    <w:t>项目运行过程中采取</w:t>
                  </w:r>
                  <w:r>
                    <w:rPr>
                      <w:rFonts w:hint="eastAsia" w:cs="宋体"/>
                      <w:color w:val="000000" w:themeColor="text1"/>
                      <w:sz w:val="21"/>
                      <w:szCs w:val="21"/>
                      <w:highlight w:val="none"/>
                      <w14:textFill>
                        <w14:solidFill>
                          <w14:schemeClr w14:val="tx1"/>
                        </w14:solidFill>
                      </w14:textFill>
                    </w:rPr>
                    <w:t>全封闭钢结构厂房</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喷淋抑尘系统</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彩钢瓦全封闭</w:t>
                  </w:r>
                  <w:r>
                    <w:rPr>
                      <w:rFonts w:hint="eastAsia" w:cs="宋体"/>
                      <w:color w:val="000000" w:themeColor="text1"/>
                      <w:sz w:val="21"/>
                      <w:szCs w:val="21"/>
                      <w:highlight w:val="none"/>
                      <w:lang w:eastAsia="zh-CN"/>
                      <w14:textFill>
                        <w14:solidFill>
                          <w14:schemeClr w14:val="tx1"/>
                        </w14:solidFill>
                      </w14:textFill>
                    </w:rPr>
                    <w:t>等抑尘措施，颗粒物排放量较少，对周边大气环境影响较小</w:t>
                  </w:r>
                  <w:r>
                    <w:rPr>
                      <w:rFonts w:hint="eastAsia"/>
                      <w:color w:val="000000" w:themeColor="text1"/>
                      <w:sz w:val="21"/>
                      <w:szCs w:val="21"/>
                      <w:highlight w:val="none"/>
                      <w14:textFill>
                        <w14:solidFill>
                          <w14:schemeClr w14:val="tx1"/>
                        </w14:solidFill>
                      </w14:textFill>
                    </w:rPr>
                    <w:t>。</w:t>
                  </w:r>
                </w:p>
                <w:p w14:paraId="3B8D99BC">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本项目不属于钢铁行业，也不涉及燃煤锅炉。</w:t>
                  </w:r>
                </w:p>
                <w:p w14:paraId="6BBEA3C5">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项目不涉及VOCs的产生和排放。</w:t>
                  </w:r>
                </w:p>
                <w:p w14:paraId="20772D64">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本项目不涉及农业废弃物综合利用。</w:t>
                  </w:r>
                </w:p>
                <w:p w14:paraId="574B4279">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项目不在滇池流域内。</w:t>
                  </w:r>
                </w:p>
                <w:p w14:paraId="6019B9C3">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项目不在阳宗海流域内。</w:t>
                  </w:r>
                </w:p>
                <w:p w14:paraId="1BBC3A32">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r>
                    <w:rPr>
                      <w:rFonts w:hint="eastAsia"/>
                      <w:color w:val="000000" w:themeColor="text1"/>
                      <w:sz w:val="21"/>
                      <w:szCs w:val="21"/>
                      <w:highlight w:val="none"/>
                      <w:lang w:eastAsia="zh-CN"/>
                      <w14:textFill>
                        <w14:solidFill>
                          <w14:schemeClr w14:val="tx1"/>
                        </w14:solidFill>
                      </w14:textFill>
                    </w:rPr>
                    <w:t>.</w:t>
                  </w:r>
                  <w:r>
                    <w:rPr>
                      <w:rFonts w:hint="default" w:ascii="宋体" w:hAnsi="宋体"/>
                      <w:color w:val="000000" w:themeColor="text1"/>
                      <w:sz w:val="21"/>
                      <w:szCs w:val="21"/>
                      <w:highlight w:val="none"/>
                      <w14:textFill>
                        <w14:solidFill>
                          <w14:schemeClr w14:val="tx1"/>
                        </w14:solidFill>
                      </w14:textFill>
                    </w:rPr>
                    <w:t>该</w:t>
                  </w:r>
                  <w:r>
                    <w:rPr>
                      <w:rFonts w:hint="eastAsia" w:ascii="宋体" w:hAnsi="宋体"/>
                      <w:color w:val="000000" w:themeColor="text1"/>
                      <w:sz w:val="21"/>
                      <w:szCs w:val="21"/>
                      <w:highlight w:val="none"/>
                      <w14:textFill>
                        <w14:solidFill>
                          <w14:schemeClr w14:val="tx1"/>
                        </w14:solidFill>
                      </w14:textFill>
                    </w:rPr>
                    <w:t>项目</w:t>
                  </w:r>
                  <w:r>
                    <w:rPr>
                      <w:rFonts w:hint="eastAsia"/>
                      <w:color w:val="000000" w:themeColor="text1"/>
                      <w:sz w:val="21"/>
                      <w:szCs w:val="21"/>
                      <w:highlight w:val="none"/>
                      <w14:textFill>
                        <w14:solidFill>
                          <w14:schemeClr w14:val="tx1"/>
                        </w14:solidFill>
                      </w14:textFill>
                    </w:rPr>
                    <w:t>属于工业固体废物的磷石膏进行综合利用</w:t>
                  </w:r>
                  <w:r>
                    <w:rPr>
                      <w:rFonts w:hint="eastAsia" w:ascii="宋体" w:hAnsi="宋体"/>
                      <w:color w:val="000000" w:themeColor="text1"/>
                      <w:sz w:val="21"/>
                      <w:szCs w:val="21"/>
                      <w:highlight w:val="none"/>
                      <w14:textFill>
                        <w14:solidFill>
                          <w14:schemeClr w14:val="tx1"/>
                        </w14:solidFill>
                      </w14:textFill>
                    </w:rPr>
                    <w:t>，利用</w:t>
                  </w:r>
                  <w:r>
                    <w:rPr>
                      <w:rFonts w:hint="default" w:ascii="宋体" w:hAnsi="宋体"/>
                      <w:color w:val="000000" w:themeColor="text1"/>
                      <w:sz w:val="21"/>
                      <w:szCs w:val="21"/>
                      <w:highlight w:val="none"/>
                      <w14:textFill>
                        <w14:solidFill>
                          <w14:schemeClr w14:val="tx1"/>
                        </w14:solidFill>
                      </w14:textFill>
                    </w:rPr>
                    <w:t>磷石膏进</w:t>
                  </w:r>
                  <w:r>
                    <w:rPr>
                      <w:rFonts w:hint="eastAsia" w:ascii="宋体" w:hAnsi="宋体"/>
                      <w:color w:val="000000" w:themeColor="text1"/>
                      <w:sz w:val="21"/>
                      <w:szCs w:val="21"/>
                      <w:highlight w:val="none"/>
                      <w:lang w:val="en-US" w:eastAsia="zh-CN"/>
                      <w14:textFill>
                        <w14:solidFill>
                          <w14:schemeClr w14:val="tx1"/>
                        </w14:solidFill>
                      </w14:textFill>
                    </w:rPr>
                    <w:t>行</w:t>
                  </w:r>
                  <w:r>
                    <w:rPr>
                      <w:rFonts w:hint="default" w:ascii="宋体" w:hAnsi="宋体"/>
                      <w:color w:val="000000" w:themeColor="text1"/>
                      <w:sz w:val="21"/>
                      <w:szCs w:val="21"/>
                      <w:highlight w:val="none"/>
                      <w14:textFill>
                        <w14:solidFill>
                          <w14:schemeClr w14:val="tx1"/>
                        </w14:solidFill>
                      </w14:textFill>
                    </w:rPr>
                    <w:t>生态修复材料的</w:t>
                  </w:r>
                  <w:r>
                    <w:rPr>
                      <w:rFonts w:hint="default"/>
                      <w:color w:val="000000" w:themeColor="text1"/>
                      <w:sz w:val="21"/>
                      <w:szCs w:val="21"/>
                      <w:highlight w:val="none"/>
                      <w14:textFill>
                        <w14:solidFill>
                          <w14:schemeClr w14:val="tx1"/>
                        </w14:solidFill>
                      </w14:textFill>
                    </w:rPr>
                    <w:t>生产</w:t>
                  </w:r>
                  <w:r>
                    <w:rPr>
                      <w:rFonts w:hint="eastAsia"/>
                      <w:color w:val="000000" w:themeColor="text1"/>
                      <w:sz w:val="21"/>
                      <w:szCs w:val="21"/>
                      <w:highlight w:val="none"/>
                      <w14:textFill>
                        <w14:solidFill>
                          <w14:schemeClr w14:val="tx1"/>
                        </w14:solidFill>
                      </w14:textFill>
                    </w:rPr>
                    <w:t>，采用中和技术对磷石膏进行无害化处理。</w:t>
                  </w:r>
                </w:p>
              </w:tc>
              <w:tc>
                <w:tcPr>
                  <w:tcW w:w="411" w:type="pct"/>
                  <w:tcBorders>
                    <w:top w:val="single" w:color="auto" w:sz="4" w:space="0"/>
                    <w:left w:val="single" w:color="auto" w:sz="4" w:space="0"/>
                    <w:bottom w:val="single" w:color="auto" w:sz="4" w:space="0"/>
                    <w:right w:val="single" w:color="auto" w:sz="4" w:space="0"/>
                  </w:tcBorders>
                  <w:vAlign w:val="center"/>
                </w:tcPr>
                <w:p w14:paraId="0BBC7E02">
                  <w:pPr>
                    <w:keepNext w:val="0"/>
                    <w:keepLines w:val="0"/>
                    <w:suppressLineNumbers w:val="0"/>
                    <w:adjustRightInd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3AE5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4" w:space="0"/>
                    <w:left w:val="single" w:color="auto" w:sz="4" w:space="0"/>
                    <w:bottom w:val="single" w:color="auto" w:sz="4" w:space="0"/>
                    <w:right w:val="single" w:color="auto" w:sz="4" w:space="0"/>
                  </w:tcBorders>
                  <w:vAlign w:val="center"/>
                </w:tcPr>
                <w:p w14:paraId="211EB5BA">
                  <w:pPr>
                    <w:keepNext w:val="0"/>
                    <w:keepLines w:val="0"/>
                    <w:suppressLineNumbers w:val="0"/>
                    <w:adjustRightIn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环境风险防控</w:t>
                  </w:r>
                </w:p>
              </w:tc>
              <w:tc>
                <w:tcPr>
                  <w:tcW w:w="2657" w:type="pct"/>
                  <w:tcBorders>
                    <w:top w:val="single" w:color="auto" w:sz="4" w:space="0"/>
                    <w:left w:val="single" w:color="auto" w:sz="4" w:space="0"/>
                    <w:bottom w:val="single" w:color="auto" w:sz="4" w:space="0"/>
                    <w:right w:val="single" w:color="auto" w:sz="4" w:space="0"/>
                  </w:tcBorders>
                  <w:vAlign w:val="center"/>
                </w:tcPr>
                <w:p w14:paraId="10623650">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加大放射性物质、电磁辐射、危险废物、医疗废物、尾矿库渣场、危险化学品、重金属等风险要素防控力度，全过程监控风险要素产生、使用、储存、运输、处理处置，实现智能化预警与报警，有效降低各类环境风险。</w:t>
                  </w:r>
                </w:p>
                <w:p w14:paraId="0CE536B5">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2.针对持久性有机污染物、内分泌干扰物等新污染物，制定实施新污染物治理行动方案，开展新污染物筛查与评估，建立清单，开展化学物质生产使用信息调查，实施调查监测和环境风险评估。</w:t>
                  </w:r>
                </w:p>
                <w:p w14:paraId="383A249B">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开展重点区域、重点领域环境风险调查评估，加强源头预防、过程管控、末端治理；建设环境应急技术库和物资库，推动各地更新扩充应急物资和防护装备，提升环境应急指挥信息化水平，完善环境应急管理体系。</w:t>
                  </w:r>
                </w:p>
                <w:p w14:paraId="74608987">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4.开展“千吨万人”农村饮用水水源保护区环境风险排查整治，加强农村水源水质监测。</w:t>
                  </w:r>
                </w:p>
                <w:p w14:paraId="2A19C065">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以涉危险废物、涉重金属企业为重点，合理布设生产设施，强化应急导流槽、事故调蓄池、雨污总排口应急闸坝等事故排水收集截留设施，以及传输泵、配套管线、应急发电等事故水输送设施等建设，合理设置消防事故水池和雨水监测池。</w:t>
                  </w:r>
                </w:p>
                <w:p w14:paraId="58893E14">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6.严格新（改、扩）建尾矿库环境准入，健全尾矿库环境监管清单，加强尾矿库分类分级环境监管。严格落实《云南省尾矿库专项整治工作实施方案》。</w:t>
                  </w:r>
                </w:p>
              </w:tc>
              <w:tc>
                <w:tcPr>
                  <w:tcW w:w="1454" w:type="pct"/>
                  <w:tcBorders>
                    <w:top w:val="single" w:color="auto" w:sz="4" w:space="0"/>
                    <w:left w:val="single" w:color="auto" w:sz="4" w:space="0"/>
                    <w:bottom w:val="single" w:color="auto" w:sz="4" w:space="0"/>
                    <w:right w:val="single" w:color="auto" w:sz="4" w:space="0"/>
                  </w:tcBorders>
                  <w:vAlign w:val="center"/>
                </w:tcPr>
                <w:p w14:paraId="1DD9F960">
                  <w:pPr>
                    <w:keepNext w:val="0"/>
                    <w:keepLines w:val="0"/>
                    <w:suppressLineNumbers w:val="0"/>
                    <w:adjustRightInd w:val="0"/>
                    <w:spacing w:before="0" w:beforeAutospacing="0" w:after="0" w:afterAutospacing="0"/>
                    <w:ind w:left="0" w:right="0"/>
                    <w:jc w:val="left"/>
                    <w:rPr>
                      <w:rFonts w:hint="eastAsia"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项目不涉及</w:t>
                  </w:r>
                  <w:r>
                    <w:rPr>
                      <w:rFonts w:hint="eastAsia"/>
                      <w:color w:val="000000" w:themeColor="text1"/>
                      <w:sz w:val="21"/>
                      <w:szCs w:val="21"/>
                      <w:highlight w:val="none"/>
                      <w14:textFill>
                        <w14:solidFill>
                          <w14:schemeClr w14:val="tx1"/>
                        </w14:solidFill>
                      </w14:textFill>
                    </w:rPr>
                    <w:t>放射性物质、电磁辐射、医疗废物、尾矿库渣场、危险化学品、重金属等风险要素。</w:t>
                  </w:r>
                  <w:r>
                    <w:rPr>
                      <w:rFonts w:hint="eastAsia"/>
                      <w:color w:val="000000" w:themeColor="text1"/>
                      <w:sz w:val="21"/>
                      <w:szCs w:val="21"/>
                      <w:highlight w:val="none"/>
                      <w:lang w:eastAsia="zh-CN"/>
                      <w14:textFill>
                        <w14:solidFill>
                          <w14:schemeClr w14:val="tx1"/>
                        </w14:solidFill>
                      </w14:textFill>
                    </w:rPr>
                    <w:t>本项目涉及少量</w:t>
                  </w:r>
                  <w:r>
                    <w:rPr>
                      <w:rFonts w:hint="eastAsia"/>
                      <w:color w:val="000000" w:themeColor="text1"/>
                      <w:sz w:val="21"/>
                      <w:szCs w:val="21"/>
                      <w:highlight w:val="none"/>
                      <w14:textFill>
                        <w14:solidFill>
                          <w14:schemeClr w14:val="tx1"/>
                        </w14:solidFill>
                      </w14:textFill>
                    </w:rPr>
                    <w:t>危险废物</w:t>
                  </w:r>
                  <w:r>
                    <w:rPr>
                      <w:rFonts w:hint="eastAsia"/>
                      <w:color w:val="000000" w:themeColor="text1"/>
                      <w:sz w:val="21"/>
                      <w:szCs w:val="21"/>
                      <w:highlight w:val="none"/>
                      <w:lang w:val="en-US" w:eastAsia="zh-CN"/>
                      <w14:textFill>
                        <w14:solidFill>
                          <w14:schemeClr w14:val="tx1"/>
                        </w14:solidFill>
                      </w14:textFill>
                    </w:rPr>
                    <w:t>-废机油，暂存于危废暂存间，定期委托有资质单位清运处理，危废暂存间严格按</w:t>
                  </w:r>
                  <w:r>
                    <w:rPr>
                      <w:rFonts w:hint="default" w:ascii="Times New Roman" w:hAnsi="Times New Roman" w:cs="Times New Roman"/>
                      <w:color w:val="000000" w:themeColor="text1"/>
                      <w:sz w:val="21"/>
                      <w:szCs w:val="21"/>
                      <w:highlight w:val="none"/>
                      <w14:textFill>
                        <w14:solidFill>
                          <w14:schemeClr w14:val="tx1"/>
                        </w14:solidFill>
                      </w14:textFill>
                    </w:rPr>
                    <w:t>《危险废物贮存污染控制标准》（GB 18597-2023）</w:t>
                  </w:r>
                  <w:r>
                    <w:rPr>
                      <w:rFonts w:hint="eastAsia" w:cs="Times New Roman"/>
                      <w:color w:val="000000" w:themeColor="text1"/>
                      <w:sz w:val="21"/>
                      <w:szCs w:val="21"/>
                      <w:highlight w:val="none"/>
                      <w:lang w:eastAsia="zh-CN"/>
                      <w14:textFill>
                        <w14:solidFill>
                          <w14:schemeClr w14:val="tx1"/>
                        </w14:solidFill>
                      </w14:textFill>
                    </w:rPr>
                    <w:t>建设。</w:t>
                  </w:r>
                </w:p>
                <w:p w14:paraId="138DDB09">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 xml:space="preserve"> 项目不涉及持久性有机污染物、内分泌干扰物等新污染物。</w:t>
                  </w:r>
                </w:p>
                <w:p w14:paraId="39BB4A7D">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项目建成后将按照要求</w:t>
                  </w:r>
                  <w:r>
                    <w:rPr>
                      <w:rFonts w:hint="eastAsia"/>
                      <w:color w:val="000000" w:themeColor="text1"/>
                      <w:sz w:val="21"/>
                      <w:szCs w:val="21"/>
                      <w:highlight w:val="none"/>
                      <w14:textFill>
                        <w14:solidFill>
                          <w14:schemeClr w14:val="tx1"/>
                        </w14:solidFill>
                      </w14:textFill>
                    </w:rPr>
                    <w:t>。</w:t>
                  </w:r>
                </w:p>
                <w:p w14:paraId="4361E70F">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项目不涉及“千吨万人”农村饮用水水源保护区。</w:t>
                  </w:r>
                </w:p>
                <w:p w14:paraId="7B1B3B22">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项目产生的危废暂存于危废暂存间，定期委托资质单位处理</w:t>
                  </w:r>
                  <w:r>
                    <w:rPr>
                      <w:rFonts w:hint="eastAsia"/>
                      <w:color w:val="000000" w:themeColor="text1"/>
                      <w:sz w:val="21"/>
                      <w:szCs w:val="21"/>
                      <w:highlight w:val="none"/>
                      <w14:textFill>
                        <w14:solidFill>
                          <w14:schemeClr w14:val="tx1"/>
                        </w14:solidFill>
                      </w14:textFill>
                    </w:rPr>
                    <w:t>。</w:t>
                  </w:r>
                </w:p>
                <w:p w14:paraId="7DF1F507">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项目不涉及尾矿库。</w:t>
                  </w:r>
                </w:p>
              </w:tc>
              <w:tc>
                <w:tcPr>
                  <w:tcW w:w="411" w:type="pct"/>
                  <w:tcBorders>
                    <w:top w:val="single" w:color="auto" w:sz="4" w:space="0"/>
                    <w:left w:val="single" w:color="auto" w:sz="4" w:space="0"/>
                    <w:bottom w:val="single" w:color="auto" w:sz="4" w:space="0"/>
                    <w:right w:val="single" w:color="auto" w:sz="4" w:space="0"/>
                  </w:tcBorders>
                  <w:vAlign w:val="center"/>
                </w:tcPr>
                <w:p w14:paraId="6B98034E">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2CDC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4" w:space="0"/>
                    <w:left w:val="single" w:color="auto" w:sz="4" w:space="0"/>
                    <w:bottom w:val="single" w:color="auto" w:sz="4" w:space="0"/>
                    <w:right w:val="single" w:color="auto" w:sz="4" w:space="0"/>
                  </w:tcBorders>
                  <w:vAlign w:val="center"/>
                </w:tcPr>
                <w:p w14:paraId="16E9E500">
                  <w:pPr>
                    <w:keepNext w:val="0"/>
                    <w:keepLines w:val="0"/>
                    <w:suppressLineNumbers w:val="0"/>
                    <w:adjustRightIn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资源开发利用效率</w:t>
                  </w:r>
                </w:p>
              </w:tc>
              <w:tc>
                <w:tcPr>
                  <w:tcW w:w="2657" w:type="pct"/>
                  <w:tcBorders>
                    <w:top w:val="single" w:color="auto" w:sz="4" w:space="0"/>
                    <w:left w:val="single" w:color="auto" w:sz="4" w:space="0"/>
                    <w:bottom w:val="single" w:color="auto" w:sz="4" w:space="0"/>
                    <w:right w:val="single" w:color="auto" w:sz="4" w:space="0"/>
                  </w:tcBorders>
                  <w:vAlign w:val="center"/>
                </w:tcPr>
                <w:p w14:paraId="3EE3F89A">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1.到2025年，基本建成与经济社会高质量发展和生态文明建设要求相适应、与由全面建成小康社会向基本实现现代化迈进起步期相协同的水安全保障体系。</w:t>
                  </w:r>
                </w:p>
                <w:p w14:paraId="3DFDEAF5">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2.节水型生产和生活方式初步建立，用水效率和效益显著提高，全社会节水意识明显增强，新时代节水型社会基本建成。全市用水总量控制在35.48亿m</w:t>
                  </w:r>
                  <w:r>
                    <w:rPr>
                      <w:rFonts w:hint="eastAsia"/>
                      <w:color w:val="000000" w:themeColor="text1"/>
                      <w:sz w:val="21"/>
                      <w:szCs w:val="21"/>
                      <w:highlight w:val="none"/>
                      <w:vertAlign w:val="superscript"/>
                      <w14:textFill>
                        <w14:solidFill>
                          <w14:schemeClr w14:val="tx1"/>
                        </w14:solidFill>
                      </w14:textFill>
                    </w:rPr>
                    <w:t>3</w:t>
                  </w:r>
                  <w:r>
                    <w:rPr>
                      <w:rFonts w:hint="eastAsia"/>
                      <w:color w:val="000000" w:themeColor="text1"/>
                      <w:sz w:val="21"/>
                      <w:szCs w:val="21"/>
                      <w:highlight w:val="none"/>
                      <w14:textFill>
                        <w14:solidFill>
                          <w14:schemeClr w14:val="tx1"/>
                        </w14:solidFill>
                      </w14:textFill>
                    </w:rPr>
                    <w:t>以内，万元GDP用水量较2020年下降10%，万元工业增加值用水量较2020年下降10%，农田灌溉水有效利用系数提高到0.55以上。</w:t>
                  </w:r>
                </w:p>
                <w:p w14:paraId="5554124E">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3.万元工业增加值用水量≤30（立方米/万元）。</w:t>
                  </w:r>
                </w:p>
                <w:p w14:paraId="5C9BE0FD">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4</w:t>
                  </w:r>
                  <w:r>
                    <w:rPr>
                      <w:rFonts w:hint="eastAsia"/>
                      <w:color w:val="000000" w:themeColor="text1"/>
                      <w:sz w:val="21"/>
                      <w:szCs w:val="21"/>
                      <w:highlight w:val="none"/>
                      <w14:textFill>
                        <w14:solidFill>
                          <w14:schemeClr w14:val="tx1"/>
                        </w14:solidFill>
                      </w14:textFill>
                    </w:rPr>
                    <w:t>.2025年底前，全市单位地区生产总值能源消耗较2020年下降14%，能源消费总量得到合理控制。</w:t>
                  </w:r>
                </w:p>
                <w:p w14:paraId="60165A2B">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5</w:t>
                  </w:r>
                  <w:r>
                    <w:rPr>
                      <w:rFonts w:hint="eastAsia"/>
                      <w:color w:val="000000" w:themeColor="text1"/>
                      <w:sz w:val="21"/>
                      <w:szCs w:val="21"/>
                      <w:highlight w:val="none"/>
                      <w14:textFill>
                        <w14:solidFill>
                          <w14:schemeClr w14:val="tx1"/>
                        </w14:solidFill>
                      </w14:textFill>
                    </w:rPr>
                    <w:t>.单位GDP能源消耗累计下降23.6%，不低于省级下达目标。</w:t>
                  </w:r>
                </w:p>
                <w:p w14:paraId="497F3CA5">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6</w:t>
                  </w:r>
                  <w:r>
                    <w:rPr>
                      <w:rFonts w:hint="eastAsia"/>
                      <w:color w:val="000000" w:themeColor="text1"/>
                      <w:sz w:val="21"/>
                      <w:szCs w:val="21"/>
                      <w:highlight w:val="none"/>
                      <w14:textFill>
                        <w14:solidFill>
                          <w14:schemeClr w14:val="tx1"/>
                        </w14:solidFill>
                      </w14:textFill>
                    </w:rPr>
                    <w:t>.对照国家有关高耗能行业重点领域能效标杆水平，实施钢铁、有色金属、冶炼等17个高耗能行业节能降碳改造升级，加快提升重点行业、企业能效水平。</w:t>
                  </w:r>
                </w:p>
                <w:p w14:paraId="655DE999">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7</w:t>
                  </w:r>
                  <w:r>
                    <w:rPr>
                      <w:rFonts w:hint="eastAsia"/>
                      <w:color w:val="000000" w:themeColor="text1"/>
                      <w:sz w:val="21"/>
                      <w:szCs w:val="21"/>
                      <w:highlight w:val="none"/>
                      <w14:textFill>
                        <w14:solidFill>
                          <w14:schemeClr w14:val="tx1"/>
                        </w14:solidFill>
                      </w14:textFill>
                    </w:rPr>
                    <w:t>.加强节能监察和探索用能预算管理，实施电机、变压器等重点用能设备能效提升三年行动，推广先进节能技术。</w:t>
                  </w:r>
                </w:p>
                <w:p w14:paraId="4BCB9CEB">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8</w:t>
                  </w:r>
                  <w:r>
                    <w:rPr>
                      <w:rFonts w:hint="eastAsia"/>
                      <w:color w:val="000000" w:themeColor="text1"/>
                      <w:sz w:val="21"/>
                      <w:szCs w:val="21"/>
                      <w:highlight w:val="none"/>
                      <w14:textFill>
                        <w14:solidFill>
                          <w14:schemeClr w14:val="tx1"/>
                        </w14:solidFill>
                      </w14:textFill>
                    </w:rPr>
                    <w:t>.到2025年，钢铁行业全面完成超低排放改造。</w:t>
                  </w:r>
                </w:p>
                <w:p w14:paraId="716E424B">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9</w:t>
                  </w:r>
                  <w:r>
                    <w:rPr>
                      <w:rFonts w:hint="eastAsia"/>
                      <w:color w:val="000000" w:themeColor="text1"/>
                      <w:sz w:val="21"/>
                      <w:szCs w:val="21"/>
                      <w:highlight w:val="none"/>
                      <w14:textFill>
                        <w14:solidFill>
                          <w14:schemeClr w14:val="tx1"/>
                        </w14:solidFill>
                      </w14:textFill>
                    </w:rPr>
                    <w:t>.加快推进有色、化工、印染、烟草等行业清洁生产和工业废水资源化利用。</w:t>
                  </w:r>
                </w:p>
                <w:p w14:paraId="7B256098">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10</w:t>
                  </w:r>
                  <w:r>
                    <w:rPr>
                      <w:rFonts w:hint="eastAsia"/>
                      <w:color w:val="000000" w:themeColor="text1"/>
                      <w:sz w:val="21"/>
                      <w:szCs w:val="21"/>
                      <w:highlight w:val="none"/>
                      <w14:textFill>
                        <w14:solidFill>
                          <w14:schemeClr w14:val="tx1"/>
                        </w14:solidFill>
                      </w14:textFill>
                    </w:rPr>
                    <w:t>.到2025年，全市新建大型及以上数据中心绿色低碳等级达到4A以上，电源使用效率（PUE）达到1.3以下，逐步组织电源使用效率超过1.5的数据中心进行节能降碳改造。</w:t>
                  </w:r>
                </w:p>
                <w:p w14:paraId="371F16B6">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11</w:t>
                  </w:r>
                  <w:r>
                    <w:rPr>
                      <w:rFonts w:hint="eastAsia"/>
                      <w:color w:val="000000" w:themeColor="text1"/>
                      <w:sz w:val="21"/>
                      <w:szCs w:val="21"/>
                      <w:highlight w:val="none"/>
                      <w14:textFill>
                        <w14:solidFill>
                          <w14:schemeClr w14:val="tx1"/>
                        </w14:solidFill>
                      </w14:textFill>
                    </w:rPr>
                    <w:t>.“十四五”期间，全市规模以上工业单位增加值能耗下降14.5%，万元工业增加值用水量下降12%。</w:t>
                  </w:r>
                </w:p>
                <w:p w14:paraId="7B616574">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12</w:t>
                  </w:r>
                  <w:r>
                    <w:rPr>
                      <w:rFonts w:hint="eastAsia"/>
                      <w:color w:val="000000" w:themeColor="text1"/>
                      <w:sz w:val="21"/>
                      <w:szCs w:val="21"/>
                      <w:highlight w:val="none"/>
                      <w14:textFill>
                        <w14:solidFill>
                          <w14:schemeClr w14:val="tx1"/>
                        </w14:solidFill>
                      </w14:textFill>
                    </w:rPr>
                    <w:t>.到2025年，通过实施节能降碳提升工程，钢铁、电解铝、水泥、平板玻璃、炼油、乙烯、合成氨、电石等重点行业产能和数据中心达到能效标杆水平的比例超过30%。</w:t>
                  </w:r>
                </w:p>
                <w:p w14:paraId="5A390164">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default"/>
                      <w:color w:val="000000" w:themeColor="text1"/>
                      <w:sz w:val="21"/>
                      <w:szCs w:val="21"/>
                      <w:highlight w:val="none"/>
                      <w14:textFill>
                        <w14:solidFill>
                          <w14:schemeClr w14:val="tx1"/>
                        </w14:solidFill>
                      </w14:textFill>
                    </w:rPr>
                    <w:t>3</w:t>
                  </w:r>
                  <w:r>
                    <w:rPr>
                      <w:rFonts w:hint="eastAsia"/>
                      <w:color w:val="000000" w:themeColor="text1"/>
                      <w:sz w:val="21"/>
                      <w:szCs w:val="21"/>
                      <w:highlight w:val="none"/>
                      <w14:textFill>
                        <w14:solidFill>
                          <w14:schemeClr w14:val="tx1"/>
                        </w14:solidFill>
                      </w14:textFill>
                    </w:rPr>
                    <w:t>.公共机构单位建筑面积碳排放量比2020年下降7%。</w:t>
                  </w:r>
                </w:p>
                <w:p w14:paraId="6327B604">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default"/>
                      <w:color w:val="000000" w:themeColor="text1"/>
                      <w:sz w:val="21"/>
                      <w:szCs w:val="21"/>
                      <w:highlight w:val="none"/>
                      <w14:textFill>
                        <w14:solidFill>
                          <w14:schemeClr w14:val="tx1"/>
                        </w14:solidFill>
                      </w14:textFill>
                    </w:rPr>
                    <w:t>4</w:t>
                  </w:r>
                  <w:r>
                    <w:rPr>
                      <w:rFonts w:hint="eastAsia"/>
                      <w:color w:val="000000" w:themeColor="text1"/>
                      <w:sz w:val="21"/>
                      <w:szCs w:val="21"/>
                      <w:highlight w:val="none"/>
                      <w14:textFill>
                        <w14:solidFill>
                          <w14:schemeClr w14:val="tx1"/>
                        </w14:solidFill>
                      </w14:textFill>
                    </w:rPr>
                    <w:t>.非化石能源消费占一次能源消费比重达到40%以上，完成省级下达目标。</w:t>
                  </w:r>
                </w:p>
                <w:p w14:paraId="2BB4EF2B">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default"/>
                      <w:color w:val="000000" w:themeColor="text1"/>
                      <w:sz w:val="21"/>
                      <w:szCs w:val="21"/>
                      <w:highlight w:val="none"/>
                      <w14:textFill>
                        <w14:solidFill>
                          <w14:schemeClr w14:val="tx1"/>
                        </w14:solidFill>
                      </w14:textFill>
                    </w:rPr>
                    <w:t>5</w:t>
                  </w:r>
                  <w:r>
                    <w:rPr>
                      <w:rFonts w:hint="eastAsia"/>
                      <w:color w:val="000000" w:themeColor="text1"/>
                      <w:sz w:val="21"/>
                      <w:szCs w:val="21"/>
                      <w:highlight w:val="none"/>
                      <w14:textFill>
                        <w14:solidFill>
                          <w14:schemeClr w14:val="tx1"/>
                        </w14:solidFill>
                      </w14:textFill>
                    </w:rPr>
                    <w:t>.单位GDP二氧化碳排放累计下降23%，不低于省级下达目标。</w:t>
                  </w:r>
                </w:p>
                <w:p w14:paraId="26EA3821">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default"/>
                      <w:color w:val="000000" w:themeColor="text1"/>
                      <w:sz w:val="21"/>
                      <w:szCs w:val="21"/>
                      <w:highlight w:val="none"/>
                      <w14:textFill>
                        <w14:solidFill>
                          <w14:schemeClr w14:val="tx1"/>
                        </w14:solidFill>
                      </w14:textFill>
                    </w:rPr>
                    <w:t>6</w:t>
                  </w:r>
                  <w:r>
                    <w:rPr>
                      <w:rFonts w:hint="eastAsia"/>
                      <w:color w:val="000000" w:themeColor="text1"/>
                      <w:sz w:val="21"/>
                      <w:szCs w:val="21"/>
                      <w:highlight w:val="none"/>
                      <w14:textFill>
                        <w14:solidFill>
                          <w14:schemeClr w14:val="tx1"/>
                        </w14:solidFill>
                      </w14:textFill>
                    </w:rPr>
                    <w:t>.严把新上项目的碳排放关，严格环境影响评价审批，加强固定资产投资项目节能审查，推动新建“两高一低”项目能效水平应提尽提。</w:t>
                  </w:r>
                </w:p>
                <w:p w14:paraId="57E7CA21">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default"/>
                      <w:color w:val="000000" w:themeColor="text1"/>
                      <w:sz w:val="21"/>
                      <w:szCs w:val="21"/>
                      <w:highlight w:val="none"/>
                      <w14:textFill>
                        <w14:solidFill>
                          <w14:schemeClr w14:val="tx1"/>
                        </w14:solidFill>
                      </w14:textFill>
                    </w:rPr>
                    <w:t>7</w:t>
                  </w:r>
                  <w:r>
                    <w:rPr>
                      <w:rFonts w:hint="eastAsia"/>
                      <w:color w:val="000000" w:themeColor="text1"/>
                      <w:sz w:val="21"/>
                      <w:szCs w:val="21"/>
                      <w:highlight w:val="none"/>
                      <w14:textFill>
                        <w14:solidFill>
                          <w14:schemeClr w14:val="tx1"/>
                        </w14:solidFill>
                      </w14:textFill>
                    </w:rPr>
                    <w:t>.以六大高耗能行业为重点，全面梳理形成拟建、在建、存量“两高一低”项目清单，实行清单管理、分类处置、动态监控。加强“两高一低”项目全过程监管，严肃查处不符合政策要求、违规审批、未批先建、批建不符、超标用能排污的“两高一低”项目。</w:t>
                  </w:r>
                </w:p>
                <w:p w14:paraId="177B9EEB">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default"/>
                      <w:color w:val="000000" w:themeColor="text1"/>
                      <w:sz w:val="21"/>
                      <w:szCs w:val="21"/>
                      <w:highlight w:val="none"/>
                      <w14:textFill>
                        <w14:solidFill>
                          <w14:schemeClr w14:val="tx1"/>
                        </w14:solidFill>
                      </w14:textFill>
                    </w:rPr>
                    <w:t>8</w:t>
                  </w:r>
                  <w:r>
                    <w:rPr>
                      <w:rFonts w:hint="eastAsia"/>
                      <w:color w:val="000000" w:themeColor="text1"/>
                      <w:sz w:val="21"/>
                      <w:szCs w:val="21"/>
                      <w:highlight w:val="none"/>
                      <w14:textFill>
                        <w14:solidFill>
                          <w14:schemeClr w14:val="tx1"/>
                        </w14:solidFill>
                      </w14:textFill>
                    </w:rPr>
                    <w:t>.加快淘汰落后和低端低效产能退出。</w:t>
                  </w:r>
                </w:p>
                <w:p w14:paraId="27169A3C">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default"/>
                      <w:color w:val="000000" w:themeColor="text1"/>
                      <w:sz w:val="21"/>
                      <w:szCs w:val="21"/>
                      <w:highlight w:val="none"/>
                      <w14:textFill>
                        <w14:solidFill>
                          <w14:schemeClr w14:val="tx1"/>
                        </w14:solidFill>
                      </w14:textFill>
                    </w:rPr>
                    <w:t>9</w:t>
                  </w:r>
                  <w:r>
                    <w:rPr>
                      <w:rFonts w:hint="eastAsia"/>
                      <w:color w:val="000000" w:themeColor="text1"/>
                      <w:sz w:val="21"/>
                      <w:szCs w:val="21"/>
                      <w:highlight w:val="none"/>
                      <w14:textFill>
                        <w14:solidFill>
                          <w14:schemeClr w14:val="tx1"/>
                        </w14:solidFill>
                      </w14:textFill>
                    </w:rPr>
                    <w:t>.指导金融机构加强“两高一低”项目贷前审核。</w:t>
                  </w:r>
                </w:p>
              </w:tc>
              <w:tc>
                <w:tcPr>
                  <w:tcW w:w="1454" w:type="pct"/>
                  <w:tcBorders>
                    <w:top w:val="single" w:color="auto" w:sz="4" w:space="0"/>
                    <w:left w:val="single" w:color="auto" w:sz="4" w:space="0"/>
                    <w:bottom w:val="single" w:color="auto" w:sz="4" w:space="0"/>
                    <w:right w:val="single" w:color="auto" w:sz="4" w:space="0"/>
                  </w:tcBorders>
                  <w:vAlign w:val="center"/>
                </w:tcPr>
                <w:p w14:paraId="4B2CA7DC">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项目建设与</w:t>
                  </w:r>
                  <w:r>
                    <w:rPr>
                      <w:rFonts w:hint="eastAsia"/>
                      <w:color w:val="000000" w:themeColor="text1"/>
                      <w:sz w:val="21"/>
                      <w:szCs w:val="21"/>
                      <w:highlight w:val="none"/>
                      <w14:textFill>
                        <w14:solidFill>
                          <w14:schemeClr w14:val="tx1"/>
                        </w14:solidFill>
                      </w14:textFill>
                    </w:rPr>
                    <w:t>经济社会高质量发展和生态文明建设要求相适应、与由全面建成小康社会向基本实现现代化迈进起步期相协同。</w:t>
                  </w:r>
                </w:p>
                <w:p w14:paraId="2E44230A">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w:t>
                  </w:r>
                  <w:r>
                    <w:rPr>
                      <w:rFonts w:hint="eastAsia"/>
                      <w:color w:val="000000" w:themeColor="text1"/>
                      <w:sz w:val="21"/>
                      <w:szCs w:val="21"/>
                      <w:highlight w:val="none"/>
                      <w:lang w:val="en-US" w:eastAsia="zh-CN"/>
                      <w14:textFill>
                        <w14:solidFill>
                          <w14:schemeClr w14:val="tx1"/>
                        </w14:solidFill>
                      </w14:textFill>
                    </w:rPr>
                    <w:t>产生废水均经收集后处理后回用，属于节水型生产方式</w:t>
                  </w:r>
                  <w:r>
                    <w:rPr>
                      <w:rFonts w:hint="eastAsia"/>
                      <w:color w:val="000000" w:themeColor="text1"/>
                      <w:sz w:val="21"/>
                      <w:szCs w:val="21"/>
                      <w:highlight w:val="none"/>
                      <w14:textFill>
                        <w14:solidFill>
                          <w14:schemeClr w14:val="tx1"/>
                        </w14:solidFill>
                      </w14:textFill>
                    </w:rPr>
                    <w:t>。</w:t>
                  </w:r>
                </w:p>
                <w:p w14:paraId="44ADE91B">
                  <w:pPr>
                    <w:keepNext w:val="0"/>
                    <w:keepLines w:val="0"/>
                    <w:suppressLineNumbers w:val="0"/>
                    <w:adjustRightInd w:val="0"/>
                    <w:spacing w:before="0" w:beforeAutospacing="0" w:after="0" w:afterAutospacing="0"/>
                    <w:ind w:left="0" w:right="0"/>
                    <w:jc w:val="left"/>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本项目为磷石膏</w:t>
                  </w:r>
                  <w:r>
                    <w:rPr>
                      <w:rFonts w:hint="eastAsia"/>
                      <w:color w:val="000000" w:themeColor="text1"/>
                      <w:sz w:val="21"/>
                      <w:szCs w:val="21"/>
                      <w:highlight w:val="none"/>
                      <w:lang w:val="en-US" w:eastAsia="zh-CN"/>
                      <w14:textFill>
                        <w14:solidFill>
                          <w14:schemeClr w14:val="tx1"/>
                        </w14:solidFill>
                      </w14:textFill>
                    </w:rPr>
                    <w:t>改性</w:t>
                  </w:r>
                  <w:r>
                    <w:rPr>
                      <w:rFonts w:hint="eastAsia"/>
                      <w:color w:val="000000" w:themeColor="text1"/>
                      <w:sz w:val="21"/>
                      <w:szCs w:val="21"/>
                      <w:highlight w:val="none"/>
                      <w14:textFill>
                        <w14:solidFill>
                          <w14:schemeClr w14:val="tx1"/>
                        </w14:solidFill>
                      </w14:textFill>
                    </w:rPr>
                    <w:t>工程，通过对存量161.42万吨磷石膏进行无害化改性处理后用于矿山生态修复回填</w:t>
                  </w:r>
                  <w:r>
                    <w:rPr>
                      <w:rFonts w:hint="eastAsia"/>
                      <w:color w:val="000000" w:themeColor="text1"/>
                      <w:sz w:val="21"/>
                      <w:szCs w:val="21"/>
                      <w:highlight w:val="none"/>
                      <w:lang w:eastAsia="zh-CN"/>
                      <w14:textFill>
                        <w14:solidFill>
                          <w14:schemeClr w14:val="tx1"/>
                        </w14:solidFill>
                      </w14:textFill>
                    </w:rPr>
                    <w:t>，属于公益性项目。</w:t>
                  </w:r>
                </w:p>
                <w:p w14:paraId="4EC142DF">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项目属于改性磷石膏项目，</w:t>
                  </w:r>
                  <w:r>
                    <w:rPr>
                      <w:rFonts w:hint="eastAsia"/>
                      <w:color w:val="000000" w:themeColor="text1"/>
                      <w:sz w:val="21"/>
                      <w:szCs w:val="21"/>
                      <w:highlight w:val="none"/>
                      <w:lang w:val="en-US" w:eastAsia="zh-CN"/>
                      <w14:textFill>
                        <w14:solidFill>
                          <w14:schemeClr w14:val="tx1"/>
                        </w14:solidFill>
                      </w14:textFill>
                    </w:rPr>
                    <w:t>主要用能为电能，项目选用先进节能的生产设备。</w:t>
                  </w:r>
                </w:p>
                <w:p w14:paraId="1634045B">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5.</w:t>
                  </w:r>
                  <w:r>
                    <w:rPr>
                      <w:rFonts w:hint="eastAsia"/>
                      <w:color w:val="000000" w:themeColor="text1"/>
                      <w:sz w:val="21"/>
                      <w:szCs w:val="21"/>
                      <w:highlight w:val="none"/>
                      <w14:textFill>
                        <w14:solidFill>
                          <w14:schemeClr w14:val="tx1"/>
                        </w14:solidFill>
                      </w14:textFill>
                    </w:rPr>
                    <w:t>项目运营期间水、电、土地资源等用量不会超过资源利用</w:t>
                  </w:r>
                  <w:r>
                    <w:rPr>
                      <w:rFonts w:hint="eastAsia"/>
                      <w:color w:val="000000" w:themeColor="text1"/>
                      <w:sz w:val="21"/>
                      <w:szCs w:val="21"/>
                      <w:highlight w:val="none"/>
                      <w:lang w:eastAsia="zh-CN"/>
                      <w14:textFill>
                        <w14:solidFill>
                          <w14:schemeClr w14:val="tx1"/>
                        </w14:solidFill>
                      </w14:textFill>
                    </w:rPr>
                    <w:t>上限</w:t>
                  </w:r>
                  <w:r>
                    <w:rPr>
                      <w:rFonts w:hint="eastAsia"/>
                      <w:color w:val="000000" w:themeColor="text1"/>
                      <w:sz w:val="21"/>
                      <w:szCs w:val="21"/>
                      <w:highlight w:val="none"/>
                      <w14:textFill>
                        <w14:solidFill>
                          <w14:schemeClr w14:val="tx1"/>
                        </w14:solidFill>
                      </w14:textFill>
                    </w:rPr>
                    <w:t>。</w:t>
                  </w:r>
                </w:p>
                <w:p w14:paraId="3151E61A">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项目不属于钢铁、有色金属、冶炼等17个高耗能行业。</w:t>
                  </w:r>
                </w:p>
                <w:p w14:paraId="2EF54F69">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项目不涉及电机、变压器等重点用能设备。</w:t>
                  </w:r>
                </w:p>
                <w:p w14:paraId="6C8E5F0B">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项目不涉及钢铁行业。</w:t>
                  </w:r>
                </w:p>
                <w:p w14:paraId="4944C752">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项目不属于有色、化工、印染、烟草等行业。</w:t>
                  </w:r>
                </w:p>
                <w:p w14:paraId="5629D2CF">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10.项目</w:t>
                  </w:r>
                  <w:r>
                    <w:rPr>
                      <w:rFonts w:hint="eastAsia"/>
                      <w:color w:val="000000" w:themeColor="text1"/>
                      <w:sz w:val="21"/>
                      <w:szCs w:val="21"/>
                      <w:highlight w:val="none"/>
                      <w:lang w:val="en-US" w:eastAsia="zh-CN"/>
                      <w14:textFill>
                        <w14:solidFill>
                          <w14:schemeClr w14:val="tx1"/>
                        </w14:solidFill>
                      </w14:textFill>
                    </w:rPr>
                    <w:t>选用先进节能的生产设备，项目用电量较少，为371kW/a，碳排放量较少</w:t>
                  </w:r>
                  <w:r>
                    <w:rPr>
                      <w:rFonts w:hint="eastAsia"/>
                      <w:color w:val="000000" w:themeColor="text1"/>
                      <w:sz w:val="21"/>
                      <w:szCs w:val="21"/>
                      <w:highlight w:val="none"/>
                      <w14:textFill>
                        <w14:solidFill>
                          <w14:schemeClr w14:val="tx1"/>
                        </w14:solidFill>
                      </w14:textFill>
                    </w:rPr>
                    <w:t>。</w:t>
                  </w:r>
                </w:p>
                <w:p w14:paraId="62EBA453">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w:t>
                  </w:r>
                </w:p>
                <w:p w14:paraId="3B902F05">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项目不涉及钢铁</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电解铝、水泥、平板玻璃、炼油、乙烯、合成氨、电石等重点行业。</w:t>
                  </w:r>
                </w:p>
                <w:p w14:paraId="369EF06B">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项目不涉及碳排放。</w:t>
                  </w:r>
                </w:p>
                <w:p w14:paraId="0B04F54A">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w:t>
                  </w:r>
                </w:p>
                <w:p w14:paraId="2AC97A38">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项目不涉及二氧化碳排放。</w:t>
                  </w:r>
                </w:p>
                <w:p w14:paraId="15C6DDC7">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项目不属于“两高一低”项目。</w:t>
                  </w:r>
                </w:p>
                <w:p w14:paraId="29940881">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项目不属于“两高一低”项目，符合相关产业政策要求，且不存在未批先建等情况。</w:t>
                  </w:r>
                </w:p>
                <w:p w14:paraId="106D1BF6">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18.</w:t>
                  </w:r>
                  <w:r>
                    <w:rPr>
                      <w:rFonts w:hint="eastAsia"/>
                      <w:color w:val="000000" w:themeColor="text1"/>
                      <w:sz w:val="21"/>
                      <w:szCs w:val="21"/>
                      <w:highlight w:val="none"/>
                      <w14:textFill>
                        <w14:solidFill>
                          <w14:schemeClr w14:val="tx1"/>
                        </w14:solidFill>
                      </w14:textFill>
                    </w:rPr>
                    <w:t>项目不属于淘汰落后和低端低效产能项目。</w:t>
                  </w:r>
                </w:p>
                <w:p w14:paraId="0A2B11E2">
                  <w:pPr>
                    <w:keepNext w:val="0"/>
                    <w:keepLines w:val="0"/>
                    <w:suppressLineNumbers w:val="0"/>
                    <w:adjustRightInd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19.</w:t>
                  </w:r>
                  <w:r>
                    <w:rPr>
                      <w:rFonts w:hint="eastAsia"/>
                      <w:color w:val="000000" w:themeColor="text1"/>
                      <w:sz w:val="21"/>
                      <w:szCs w:val="21"/>
                      <w:highlight w:val="none"/>
                      <w14:textFill>
                        <w14:solidFill>
                          <w14:schemeClr w14:val="tx1"/>
                        </w14:solidFill>
                      </w14:textFill>
                    </w:rPr>
                    <w:t>项目不属于“两高一低”项目。</w:t>
                  </w:r>
                </w:p>
              </w:tc>
              <w:tc>
                <w:tcPr>
                  <w:tcW w:w="411" w:type="pct"/>
                  <w:tcBorders>
                    <w:top w:val="single" w:color="auto" w:sz="4" w:space="0"/>
                    <w:left w:val="single" w:color="auto" w:sz="4" w:space="0"/>
                    <w:bottom w:val="single" w:color="auto" w:sz="4" w:space="0"/>
                    <w:right w:val="single" w:color="auto" w:sz="4" w:space="0"/>
                  </w:tcBorders>
                  <w:vAlign w:val="center"/>
                </w:tcPr>
                <w:p w14:paraId="03FA9A7C">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bl>
          <w:p w14:paraId="5B3E3212">
            <w:pPr>
              <w:keepNext w:val="0"/>
              <w:keepLines w:val="0"/>
              <w:suppressLineNumbers w:val="0"/>
              <w:spacing w:before="0" w:beforeAutospacing="0" w:after="0" w:afterAutospacing="0" w:line="360" w:lineRule="auto"/>
              <w:ind w:left="0" w:right="0" w:firstLine="480" w:firstLineChars="200"/>
              <w:rPr>
                <w:rFonts w:hint="default" w:hAnsi="宋体"/>
                <w:b/>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项目占地位于寻甸回族彝族自治县一般管控单元（详见附件</w:t>
            </w:r>
            <w:r>
              <w:rPr>
                <w:rFonts w:hint="eastAsia"/>
                <w:color w:val="000000" w:themeColor="text1"/>
                <w:sz w:val="24"/>
                <w:szCs w:val="20"/>
                <w:highlight w:val="none"/>
                <w:lang w:val="en-US" w:eastAsia="zh-CN"/>
                <w14:textFill>
                  <w14:solidFill>
                    <w14:schemeClr w14:val="tx1"/>
                  </w14:solidFill>
                </w14:textFill>
              </w:rPr>
              <w:t>5</w:t>
            </w:r>
            <w:r>
              <w:rPr>
                <w:rFonts w:hint="eastAsia"/>
                <w:color w:val="000000" w:themeColor="text1"/>
                <w:sz w:val="24"/>
                <w:szCs w:val="20"/>
                <w:highlight w:val="none"/>
                <w14:textFill>
                  <w14:solidFill>
                    <w14:schemeClr w14:val="tx1"/>
                  </w14:solidFill>
                </w14:textFill>
              </w:rPr>
              <w:t>）。本项目与寻甸县生态环境准入清单符合性见表1-3。</w:t>
            </w:r>
          </w:p>
          <w:p w14:paraId="3FD67B62">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表</w:t>
            </w:r>
            <w:r>
              <w:rPr>
                <w:rFonts w:hint="eastAsia"/>
                <w:b/>
                <w:color w:val="000000" w:themeColor="text1"/>
                <w:sz w:val="24"/>
                <w:szCs w:val="20"/>
                <w:highlight w:val="none"/>
                <w14:textFill>
                  <w14:solidFill>
                    <w14:schemeClr w14:val="tx1"/>
                  </w14:solidFill>
                </w14:textFill>
              </w:rPr>
              <w:t xml:space="preserve">1-3  </w:t>
            </w:r>
            <w:r>
              <w:rPr>
                <w:rFonts w:hint="eastAsia" w:ascii="宋体" w:hAnsi="宋体"/>
                <w:b/>
                <w:color w:val="000000" w:themeColor="text1"/>
                <w:sz w:val="24"/>
                <w:szCs w:val="20"/>
                <w:highlight w:val="none"/>
                <w14:textFill>
                  <w14:solidFill>
                    <w14:schemeClr w14:val="tx1"/>
                  </w14:solidFill>
                </w14:textFill>
              </w:rPr>
              <w:t>与寻甸县生态环境准入清单管控要求的符合性分析</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885"/>
              <w:gridCol w:w="2896"/>
              <w:gridCol w:w="3105"/>
              <w:gridCol w:w="715"/>
            </w:tblGrid>
            <w:tr w14:paraId="117D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Borders>
                    <w:top w:val="single" w:color="auto" w:sz="4" w:space="0"/>
                    <w:left w:val="single" w:color="auto" w:sz="4" w:space="0"/>
                    <w:bottom w:val="single" w:color="auto" w:sz="4" w:space="0"/>
                    <w:right w:val="single" w:color="auto" w:sz="4" w:space="0"/>
                  </w:tcBorders>
                  <w:vAlign w:val="center"/>
                </w:tcPr>
                <w:p w14:paraId="52DE6CF0">
                  <w:pPr>
                    <w:keepNext w:val="0"/>
                    <w:keepLines w:val="0"/>
                    <w:suppressLineNumbers w:val="0"/>
                    <w:adjustRightIn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单元名称</w:t>
                  </w:r>
                </w:p>
              </w:tc>
              <w:tc>
                <w:tcPr>
                  <w:tcW w:w="2307" w:type="pct"/>
                  <w:gridSpan w:val="2"/>
                  <w:tcBorders>
                    <w:top w:val="single" w:color="auto" w:sz="4" w:space="0"/>
                    <w:left w:val="single" w:color="auto" w:sz="4" w:space="0"/>
                    <w:bottom w:val="single" w:color="auto" w:sz="4" w:space="0"/>
                    <w:right w:val="single" w:color="auto" w:sz="4" w:space="0"/>
                  </w:tcBorders>
                  <w:vAlign w:val="center"/>
                </w:tcPr>
                <w:p w14:paraId="4AE76C36">
                  <w:pPr>
                    <w:keepNext w:val="0"/>
                    <w:keepLines w:val="0"/>
                    <w:suppressLineNumbers w:val="0"/>
                    <w:adjustRightIn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管控要求</w:t>
                  </w:r>
                </w:p>
              </w:tc>
              <w:tc>
                <w:tcPr>
                  <w:tcW w:w="1894" w:type="pct"/>
                  <w:tcBorders>
                    <w:top w:val="single" w:color="auto" w:sz="4" w:space="0"/>
                    <w:left w:val="single" w:color="auto" w:sz="4" w:space="0"/>
                    <w:bottom w:val="single" w:color="auto" w:sz="4" w:space="0"/>
                    <w:right w:val="single" w:color="auto" w:sz="4" w:space="0"/>
                  </w:tcBorders>
                  <w:vAlign w:val="center"/>
                </w:tcPr>
                <w:p w14:paraId="4A93563A">
                  <w:pPr>
                    <w:keepNext w:val="0"/>
                    <w:keepLines w:val="0"/>
                    <w:suppressLineNumbers w:val="0"/>
                    <w:adjustRightIn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本项目情况</w:t>
                  </w:r>
                </w:p>
              </w:tc>
              <w:tc>
                <w:tcPr>
                  <w:tcW w:w="436" w:type="pct"/>
                  <w:tcBorders>
                    <w:top w:val="single" w:color="auto" w:sz="4" w:space="0"/>
                    <w:left w:val="single" w:color="auto" w:sz="4" w:space="0"/>
                    <w:bottom w:val="single" w:color="auto" w:sz="4" w:space="0"/>
                    <w:right w:val="single" w:color="auto" w:sz="4" w:space="0"/>
                  </w:tcBorders>
                  <w:vAlign w:val="center"/>
                </w:tcPr>
                <w:p w14:paraId="33CFE890">
                  <w:pPr>
                    <w:keepNext w:val="0"/>
                    <w:keepLines w:val="0"/>
                    <w:suppressLineNumbers w:val="0"/>
                    <w:adjustRightInd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符合性</w:t>
                  </w:r>
                </w:p>
              </w:tc>
            </w:tr>
            <w:tr w14:paraId="19CA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restart"/>
                  <w:tcBorders>
                    <w:top w:val="nil"/>
                    <w:left w:val="single" w:color="auto" w:sz="4" w:space="0"/>
                    <w:right w:val="single" w:color="auto" w:sz="4" w:space="0"/>
                  </w:tcBorders>
                  <w:vAlign w:val="center"/>
                </w:tcPr>
                <w:p w14:paraId="31BE47DC">
                  <w:pPr>
                    <w:keepNext w:val="0"/>
                    <w:keepLines w:val="0"/>
                    <w:suppressLineNumbers w:val="0"/>
                    <w:adjustRightInd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寻甸回族彝族自治县一般管控单元</w:t>
                  </w:r>
                </w:p>
              </w:tc>
              <w:tc>
                <w:tcPr>
                  <w:tcW w:w="540" w:type="pct"/>
                  <w:tcBorders>
                    <w:top w:val="nil"/>
                    <w:left w:val="single" w:color="auto" w:sz="4" w:space="0"/>
                    <w:bottom w:val="single" w:color="auto" w:sz="4" w:space="0"/>
                    <w:right w:val="single" w:color="auto" w:sz="4" w:space="0"/>
                  </w:tcBorders>
                  <w:vAlign w:val="center"/>
                </w:tcPr>
                <w:p w14:paraId="22206D5D">
                  <w:pPr>
                    <w:keepNext w:val="0"/>
                    <w:keepLines w:val="0"/>
                    <w:suppressLineNumbers w:val="0"/>
                    <w:adjustRightIn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空间布局</w:t>
                  </w:r>
                </w:p>
                <w:p w14:paraId="014D38EC">
                  <w:pPr>
                    <w:keepNext w:val="0"/>
                    <w:keepLines w:val="0"/>
                    <w:suppressLineNumbers w:val="0"/>
                    <w:adjustRightIn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约束</w:t>
                  </w:r>
                </w:p>
              </w:tc>
              <w:tc>
                <w:tcPr>
                  <w:tcW w:w="1767" w:type="pct"/>
                  <w:tcBorders>
                    <w:top w:val="single" w:color="auto" w:sz="4" w:space="0"/>
                    <w:left w:val="single" w:color="auto" w:sz="4" w:space="0"/>
                    <w:bottom w:val="single" w:color="auto" w:sz="4" w:space="0"/>
                    <w:right w:val="single" w:color="auto" w:sz="4" w:space="0"/>
                  </w:tcBorders>
                  <w:vAlign w:val="center"/>
                </w:tcPr>
                <w:p w14:paraId="3D1D4DFE">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1.禁止在林地、河湖管理范围内新建、改建、扩建房地产开发项目。</w:t>
                  </w:r>
                </w:p>
                <w:p w14:paraId="2F39FAB9">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2.禁止围湖造田和侵占江河滩地。</w:t>
                  </w:r>
                </w:p>
                <w:p w14:paraId="504FC63E">
                  <w:pPr>
                    <w:keepNext w:val="0"/>
                    <w:keepLines w:val="0"/>
                    <w:suppressLineNumbers w:val="0"/>
                    <w:adjustRightInd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3.禁止企业向滩涂、沼泽、荒地等未利用地非法排污、倾倒有毒有害物质。</w:t>
                  </w:r>
                </w:p>
              </w:tc>
              <w:tc>
                <w:tcPr>
                  <w:tcW w:w="1894" w:type="pct"/>
                  <w:tcBorders>
                    <w:top w:val="single" w:color="auto" w:sz="4" w:space="0"/>
                    <w:left w:val="single" w:color="auto" w:sz="4" w:space="0"/>
                    <w:bottom w:val="single" w:color="auto" w:sz="4" w:space="0"/>
                    <w:right w:val="single" w:color="auto" w:sz="4" w:space="0"/>
                  </w:tcBorders>
                  <w:vAlign w:val="center"/>
                </w:tcPr>
                <w:p w14:paraId="5A5931DE">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本项目在</w:t>
                  </w:r>
                  <w:r>
                    <w:rPr>
                      <w:rFonts w:hint="eastAsia"/>
                      <w:color w:val="000000" w:themeColor="text1"/>
                      <w:sz w:val="21"/>
                      <w:szCs w:val="21"/>
                      <w:highlight w:val="none"/>
                      <w:lang w:val="en-US" w:eastAsia="zh-CN"/>
                      <w14:textFill>
                        <w14:solidFill>
                          <w14:schemeClr w14:val="tx1"/>
                        </w14:solidFill>
                      </w14:textFill>
                    </w:rPr>
                    <w:t>租赁场地内进行建设</w:t>
                  </w:r>
                  <w:r>
                    <w:rPr>
                      <w:rFonts w:hint="eastAsia"/>
                      <w:color w:val="000000" w:themeColor="text1"/>
                      <w:sz w:val="21"/>
                      <w:szCs w:val="21"/>
                      <w:highlight w:val="none"/>
                      <w14:textFill>
                        <w14:solidFill>
                          <w14:schemeClr w14:val="tx1"/>
                        </w14:solidFill>
                      </w14:textFill>
                    </w:rPr>
                    <w:t>，不属于房地产开发项目，项目建设地点也不在林地、河湖管理范围内；</w:t>
                  </w:r>
                </w:p>
                <w:p w14:paraId="24F1AFFB">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项目不涉及围湖造田和侵占江河滩地；</w:t>
                  </w:r>
                </w:p>
                <w:p w14:paraId="31DECD14">
                  <w:pPr>
                    <w:keepNext w:val="0"/>
                    <w:keepLines w:val="0"/>
                    <w:suppressLineNumbers w:val="0"/>
                    <w:adjustRightInd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rFonts w:hint="eastAsia"/>
                      <w:color w:val="000000" w:themeColor="text1"/>
                      <w:sz w:val="21"/>
                      <w:szCs w:val="21"/>
                      <w:highlight w:val="none"/>
                      <w:lang w:eastAsia="zh-CN"/>
                      <w14:textFill>
                        <w14:solidFill>
                          <w14:schemeClr w14:val="tx1"/>
                        </w14:solidFill>
                      </w14:textFill>
                    </w:rPr>
                    <w:t>.</w:t>
                  </w:r>
                  <w:r>
                    <w:rPr>
                      <w:rFonts w:hint="default"/>
                      <w:color w:val="000000" w:themeColor="text1"/>
                      <w:sz w:val="21"/>
                      <w:szCs w:val="21"/>
                      <w:highlight w:val="none"/>
                      <w14:textFill>
                        <w14:solidFill>
                          <w14:schemeClr w14:val="tx1"/>
                        </w14:solidFill>
                      </w14:textFill>
                    </w:rPr>
                    <w:t>项目内设有垃圾和危废收集设施，可保证固废合理收集处置，</w:t>
                  </w:r>
                  <w:r>
                    <w:rPr>
                      <w:rFonts w:hint="eastAsia"/>
                      <w:color w:val="000000" w:themeColor="text1"/>
                      <w:sz w:val="21"/>
                      <w:szCs w:val="21"/>
                      <w:highlight w:val="none"/>
                      <w14:textFill>
                        <w14:solidFill>
                          <w14:schemeClr w14:val="tx1"/>
                        </w14:solidFill>
                      </w14:textFill>
                    </w:rPr>
                    <w:t>本项目无新增工艺废水。</w:t>
                  </w:r>
                  <w:r>
                    <w:rPr>
                      <w:rFonts w:hint="default"/>
                      <w:color w:val="000000" w:themeColor="text1"/>
                      <w:sz w:val="21"/>
                      <w:szCs w:val="21"/>
                      <w:highlight w:val="none"/>
                      <w14:textFill>
                        <w14:solidFill>
                          <w14:schemeClr w14:val="tx1"/>
                        </w14:solidFill>
                      </w14:textFill>
                    </w:rPr>
                    <w:t>不向滩涂、沼泽</w:t>
                  </w:r>
                  <w:r>
                    <w:rPr>
                      <w:rFonts w:hint="eastAsia"/>
                      <w:color w:val="000000" w:themeColor="text1"/>
                      <w:sz w:val="21"/>
                      <w:szCs w:val="21"/>
                      <w:highlight w:val="none"/>
                      <w14:textFill>
                        <w14:solidFill>
                          <w14:schemeClr w14:val="tx1"/>
                        </w14:solidFill>
                      </w14:textFill>
                    </w:rPr>
                    <w:t>荒地等</w:t>
                  </w:r>
                  <w:r>
                    <w:rPr>
                      <w:rFonts w:hint="default"/>
                      <w:color w:val="000000" w:themeColor="text1"/>
                      <w:sz w:val="21"/>
                      <w:szCs w:val="21"/>
                      <w:highlight w:val="none"/>
                      <w14:textFill>
                        <w14:solidFill>
                          <w14:schemeClr w14:val="tx1"/>
                        </w14:solidFill>
                      </w14:textFill>
                    </w:rPr>
                    <w:t>未利用地非法排污、倾倒有毒有害物质</w:t>
                  </w:r>
                  <w:r>
                    <w:rPr>
                      <w:rFonts w:hint="eastAsia"/>
                      <w:color w:val="000000" w:themeColor="text1"/>
                      <w:sz w:val="21"/>
                      <w:szCs w:val="21"/>
                      <w:highlight w:val="none"/>
                      <w14:textFill>
                        <w14:solidFill>
                          <w14:schemeClr w14:val="tx1"/>
                        </w14:solidFill>
                      </w14:textFill>
                    </w:rPr>
                    <w:t>。</w:t>
                  </w:r>
                </w:p>
              </w:tc>
              <w:tc>
                <w:tcPr>
                  <w:tcW w:w="436" w:type="pct"/>
                  <w:tcBorders>
                    <w:top w:val="single" w:color="auto" w:sz="4" w:space="0"/>
                    <w:left w:val="single" w:color="auto" w:sz="4" w:space="0"/>
                    <w:bottom w:val="single" w:color="auto" w:sz="4" w:space="0"/>
                    <w:right w:val="single" w:color="auto" w:sz="4" w:space="0"/>
                  </w:tcBorders>
                  <w:vAlign w:val="center"/>
                </w:tcPr>
                <w:p w14:paraId="488B490E">
                  <w:pPr>
                    <w:keepNext w:val="0"/>
                    <w:keepLines w:val="0"/>
                    <w:suppressLineNumbers w:val="0"/>
                    <w:adjustRightIn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4E59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tcBorders>
                    <w:left w:val="single" w:color="auto" w:sz="4" w:space="0"/>
                    <w:right w:val="single" w:color="auto" w:sz="4" w:space="0"/>
                  </w:tcBorders>
                  <w:vAlign w:val="center"/>
                </w:tcPr>
                <w:p w14:paraId="5E1726C1">
                  <w:pPr>
                    <w:keepNext w:val="0"/>
                    <w:keepLines w:val="0"/>
                    <w:suppressLineNumbers w:val="0"/>
                    <w:adjustRightInd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p>
              </w:tc>
              <w:tc>
                <w:tcPr>
                  <w:tcW w:w="540" w:type="pct"/>
                  <w:tcBorders>
                    <w:top w:val="nil"/>
                    <w:left w:val="single" w:color="auto" w:sz="4" w:space="0"/>
                    <w:bottom w:val="single" w:color="auto" w:sz="4" w:space="0"/>
                    <w:right w:val="single" w:color="auto" w:sz="4" w:space="0"/>
                  </w:tcBorders>
                  <w:vAlign w:val="center"/>
                </w:tcPr>
                <w:p w14:paraId="7303D90E">
                  <w:pPr>
                    <w:keepNext w:val="0"/>
                    <w:keepLines w:val="0"/>
                    <w:suppressLineNumbers w:val="0"/>
                    <w:adjustRightIn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污染物排放管控</w:t>
                  </w:r>
                </w:p>
              </w:tc>
              <w:tc>
                <w:tcPr>
                  <w:tcW w:w="1767" w:type="pct"/>
                  <w:tcBorders>
                    <w:top w:val="single" w:color="auto" w:sz="4" w:space="0"/>
                    <w:left w:val="single" w:color="auto" w:sz="4" w:space="0"/>
                    <w:bottom w:val="single" w:color="auto" w:sz="4" w:space="0"/>
                    <w:right w:val="single" w:color="auto" w:sz="4" w:space="0"/>
                  </w:tcBorders>
                  <w:vAlign w:val="center"/>
                </w:tcPr>
                <w:p w14:paraId="1C1CB285">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1.严格控制“两高”行业新增产能，新、改、扩建项目要实行产能等量或减量置换。</w:t>
                  </w:r>
                </w:p>
                <w:p w14:paraId="389FA8E8">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2.严格用地准入，工业用地及商业用地供地前，自然资源部门需对拟供地块进行土壤环境状况调查，评估环境污染风险后方可供地。</w:t>
                  </w:r>
                </w:p>
                <w:p w14:paraId="0D38F204">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3.禁止使用炸鱼、毒鱼、电鱼等破坏渔业资源方法进行捕捞。</w:t>
                  </w:r>
                </w:p>
                <w:p w14:paraId="66947053">
                  <w:pPr>
                    <w:keepNext w:val="0"/>
                    <w:keepLines w:val="0"/>
                    <w:suppressLineNumbers w:val="0"/>
                    <w:adjustRightInd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4.禁止在禁渔区、禁渔期进行捕捞。禁止使用小于最小网目尺寸的网具进行捕捞，未依法取得捕捞许可证擅自捕捞。</w:t>
                  </w:r>
                </w:p>
              </w:tc>
              <w:tc>
                <w:tcPr>
                  <w:tcW w:w="1894" w:type="pct"/>
                  <w:tcBorders>
                    <w:top w:val="single" w:color="auto" w:sz="4" w:space="0"/>
                    <w:left w:val="single" w:color="auto" w:sz="4" w:space="0"/>
                    <w:bottom w:val="single" w:color="auto" w:sz="4" w:space="0"/>
                    <w:right w:val="single" w:color="auto" w:sz="4" w:space="0"/>
                  </w:tcBorders>
                  <w:vAlign w:val="center"/>
                </w:tcPr>
                <w:p w14:paraId="655063F6">
                  <w:pPr>
                    <w:keepNext w:val="0"/>
                    <w:keepLines w:val="0"/>
                    <w:suppressLineNumbers w:val="0"/>
                    <w:adjustRightInd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本项目不涉及两高项目。项目用地为工业用地，项目不涉及</w:t>
                  </w:r>
                  <w:r>
                    <w:rPr>
                      <w:rFonts w:hint="default"/>
                      <w:color w:val="000000" w:themeColor="text1"/>
                      <w:sz w:val="21"/>
                      <w:szCs w:val="21"/>
                      <w:highlight w:val="none"/>
                      <w14:textFill>
                        <w14:solidFill>
                          <w14:schemeClr w14:val="tx1"/>
                        </w14:solidFill>
                      </w14:textFill>
                    </w:rPr>
                    <w:t>使用炸鱼、毒鱼、电鱼等破坏渔业资源方法进行捕捞。</w:t>
                  </w:r>
                  <w:r>
                    <w:rPr>
                      <w:rFonts w:hint="eastAsia"/>
                      <w:color w:val="000000" w:themeColor="text1"/>
                      <w:sz w:val="21"/>
                      <w:szCs w:val="21"/>
                      <w:highlight w:val="none"/>
                      <w14:textFill>
                        <w14:solidFill>
                          <w14:schemeClr w14:val="tx1"/>
                        </w14:solidFill>
                      </w14:textFill>
                    </w:rPr>
                    <w:t>项目为磷石膏综合利用项目，不进行捕捞。</w:t>
                  </w:r>
                </w:p>
              </w:tc>
              <w:tc>
                <w:tcPr>
                  <w:tcW w:w="436" w:type="pct"/>
                  <w:tcBorders>
                    <w:top w:val="single" w:color="auto" w:sz="4" w:space="0"/>
                    <w:left w:val="single" w:color="auto" w:sz="4" w:space="0"/>
                    <w:bottom w:val="single" w:color="auto" w:sz="4" w:space="0"/>
                    <w:right w:val="single" w:color="auto" w:sz="4" w:space="0"/>
                  </w:tcBorders>
                  <w:vAlign w:val="center"/>
                </w:tcPr>
                <w:p w14:paraId="5B48FE77">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052A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tcBorders>
                    <w:left w:val="single" w:color="auto" w:sz="4" w:space="0"/>
                    <w:right w:val="single" w:color="auto" w:sz="4" w:space="0"/>
                  </w:tcBorders>
                  <w:vAlign w:val="center"/>
                </w:tcPr>
                <w:p w14:paraId="4A482F92">
                  <w:pPr>
                    <w:keepNext w:val="0"/>
                    <w:keepLines w:val="0"/>
                    <w:suppressLineNumbers w:val="0"/>
                    <w:adjustRightInd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540" w:type="pct"/>
                  <w:tcBorders>
                    <w:left w:val="single" w:color="auto" w:sz="4" w:space="0"/>
                    <w:right w:val="single" w:color="auto" w:sz="4" w:space="0"/>
                  </w:tcBorders>
                  <w:vAlign w:val="center"/>
                </w:tcPr>
                <w:p w14:paraId="30AD1D8B">
                  <w:pPr>
                    <w:keepNext w:val="0"/>
                    <w:keepLines w:val="0"/>
                    <w:suppressLineNumbers w:val="0"/>
                    <w:adjustRightIn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环境风险</w:t>
                  </w:r>
                </w:p>
                <w:p w14:paraId="4ADFF23A">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防控</w:t>
                  </w:r>
                </w:p>
              </w:tc>
              <w:tc>
                <w:tcPr>
                  <w:tcW w:w="1767" w:type="pct"/>
                  <w:tcBorders>
                    <w:top w:val="single" w:color="auto" w:sz="4" w:space="0"/>
                    <w:left w:val="single" w:color="auto" w:sz="4" w:space="0"/>
                    <w:bottom w:val="single" w:color="auto" w:sz="4" w:space="0"/>
                    <w:right w:val="single" w:color="auto" w:sz="4" w:space="0"/>
                  </w:tcBorders>
                  <w:vAlign w:val="center"/>
                </w:tcPr>
                <w:p w14:paraId="550D7E5D">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1.严格限制《环境保护综合名录》（2021年版）中“高污染、高环境风险”产品与工艺装备。</w:t>
                  </w:r>
                </w:p>
                <w:p w14:paraId="7C9DF785">
                  <w:pPr>
                    <w:pStyle w:val="17"/>
                    <w:keepNext w:val="0"/>
                    <w:keepLines w:val="0"/>
                    <w:suppressLineNumbers w:val="0"/>
                    <w:snapToGrid/>
                    <w:spacing w:before="0" w:beforeAutospacing="0" w:after="0" w:afterAutospacing="0" w:line="240" w:lineRule="auto"/>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2.禁止使用剧毒、高残留以及可能二次中毒的农药。</w:t>
                  </w:r>
                </w:p>
                <w:p w14:paraId="579B53CB">
                  <w:pPr>
                    <w:keepNext w:val="0"/>
                    <w:keepLines w:val="0"/>
                    <w:suppressLineNumbers w:val="0"/>
                    <w:adjustRightInd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3.严格污染场地开发利用和流转审批，在影响健康地块修复达标之前，禁止建设居民区、学校、医疗和养老机构。</w:t>
                  </w:r>
                </w:p>
              </w:tc>
              <w:tc>
                <w:tcPr>
                  <w:tcW w:w="1894" w:type="pct"/>
                  <w:tcBorders>
                    <w:top w:val="single" w:color="auto" w:sz="4" w:space="0"/>
                    <w:left w:val="single" w:color="auto" w:sz="4" w:space="0"/>
                    <w:bottom w:val="single" w:color="auto" w:sz="4" w:space="0"/>
                    <w:right w:val="single" w:color="auto" w:sz="4" w:space="0"/>
                  </w:tcBorders>
                  <w:vAlign w:val="center"/>
                </w:tcPr>
                <w:p w14:paraId="5E2FDB3F">
                  <w:pPr>
                    <w:keepNext w:val="0"/>
                    <w:keepLines w:val="0"/>
                    <w:suppressLineNumbers w:val="0"/>
                    <w:adjustRightInd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所用设备不属于</w:t>
                  </w:r>
                  <w:r>
                    <w:rPr>
                      <w:rFonts w:hint="default"/>
                      <w:color w:val="000000" w:themeColor="text1"/>
                      <w:sz w:val="21"/>
                      <w:szCs w:val="21"/>
                      <w:highlight w:val="none"/>
                      <w14:textFill>
                        <w14:solidFill>
                          <w14:schemeClr w14:val="tx1"/>
                        </w14:solidFill>
                      </w14:textFill>
                    </w:rPr>
                    <w:t>《环境保护综合名录》（2021年版）中“高污染、高环境风险”产品与工艺装备</w:t>
                  </w:r>
                  <w:r>
                    <w:rPr>
                      <w:rFonts w:hint="eastAsia"/>
                      <w:color w:val="000000" w:themeColor="text1"/>
                      <w:sz w:val="21"/>
                      <w:szCs w:val="21"/>
                      <w:highlight w:val="none"/>
                      <w14:textFill>
                        <w14:solidFill>
                          <w14:schemeClr w14:val="tx1"/>
                        </w14:solidFill>
                      </w14:textFill>
                    </w:rPr>
                    <w:t>。</w:t>
                  </w:r>
                </w:p>
                <w:p w14:paraId="0D47E3B5">
                  <w:pPr>
                    <w:keepNext w:val="0"/>
                    <w:keepLines w:val="0"/>
                    <w:suppressLineNumbers w:val="0"/>
                    <w:adjustRightInd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项目不</w:t>
                  </w:r>
                  <w:r>
                    <w:rPr>
                      <w:rFonts w:hint="default"/>
                      <w:color w:val="000000" w:themeColor="text1"/>
                      <w:sz w:val="21"/>
                      <w:szCs w:val="21"/>
                      <w:highlight w:val="none"/>
                      <w14:textFill>
                        <w14:solidFill>
                          <w14:schemeClr w14:val="tx1"/>
                        </w14:solidFill>
                      </w14:textFill>
                    </w:rPr>
                    <w:t>使用剧毒、高残留以及可能二次中毒的农药</w:t>
                  </w:r>
                  <w:r>
                    <w:rPr>
                      <w:rFonts w:hint="eastAsia"/>
                      <w:color w:val="000000" w:themeColor="text1"/>
                      <w:sz w:val="21"/>
                      <w:szCs w:val="21"/>
                      <w:highlight w:val="none"/>
                      <w14:textFill>
                        <w14:solidFill>
                          <w14:schemeClr w14:val="tx1"/>
                        </w14:solidFill>
                      </w14:textFill>
                    </w:rPr>
                    <w:t>。</w:t>
                  </w:r>
                </w:p>
              </w:tc>
              <w:tc>
                <w:tcPr>
                  <w:tcW w:w="436" w:type="pct"/>
                  <w:tcBorders>
                    <w:top w:val="single" w:color="auto" w:sz="4" w:space="0"/>
                    <w:left w:val="single" w:color="auto" w:sz="4" w:space="0"/>
                    <w:bottom w:val="single" w:color="auto" w:sz="4" w:space="0"/>
                    <w:right w:val="single" w:color="auto" w:sz="4" w:space="0"/>
                  </w:tcBorders>
                  <w:vAlign w:val="center"/>
                </w:tcPr>
                <w:p w14:paraId="0E796AA9">
                  <w:pPr>
                    <w:keepNext w:val="0"/>
                    <w:keepLines w:val="0"/>
                    <w:suppressLineNumbers w:val="0"/>
                    <w:adjustRightInd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04C4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tcBorders>
                    <w:left w:val="single" w:color="auto" w:sz="4" w:space="0"/>
                    <w:right w:val="single" w:color="auto" w:sz="4" w:space="0"/>
                  </w:tcBorders>
                  <w:vAlign w:val="center"/>
                </w:tcPr>
                <w:p w14:paraId="687E1F77">
                  <w:pPr>
                    <w:keepNext w:val="0"/>
                    <w:keepLines w:val="0"/>
                    <w:suppressLineNumbers w:val="0"/>
                    <w:adjustRightInd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p>
              </w:tc>
              <w:tc>
                <w:tcPr>
                  <w:tcW w:w="540" w:type="pct"/>
                  <w:tcBorders>
                    <w:left w:val="single" w:color="auto" w:sz="4" w:space="0"/>
                    <w:right w:val="single" w:color="auto" w:sz="4" w:space="0"/>
                  </w:tcBorders>
                  <w:shd w:val="clear" w:color="auto" w:fill="auto"/>
                  <w:vAlign w:val="center"/>
                </w:tcPr>
                <w:p w14:paraId="48A65D3B">
                  <w:pPr>
                    <w:pStyle w:val="17"/>
                    <w:keepNext w:val="0"/>
                    <w:keepLines w:val="0"/>
                    <w:suppressLineNumbers w:val="0"/>
                    <w:snapToGrid/>
                    <w:spacing w:before="0" w:beforeAutospacing="0" w:after="0" w:afterAutospacing="0" w:line="240" w:lineRule="auto"/>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资源开发效率要求</w:t>
                  </w:r>
                </w:p>
              </w:tc>
              <w:tc>
                <w:tcPr>
                  <w:tcW w:w="1767" w:type="pct"/>
                  <w:tcBorders>
                    <w:top w:val="single" w:color="auto" w:sz="4" w:space="0"/>
                    <w:left w:val="single" w:color="auto" w:sz="4" w:space="0"/>
                    <w:bottom w:val="single" w:color="auto" w:sz="4" w:space="0"/>
                    <w:right w:val="single" w:color="auto" w:sz="4" w:space="0"/>
                  </w:tcBorders>
                  <w:shd w:val="clear" w:color="auto" w:fill="auto"/>
                  <w:vAlign w:val="center"/>
                </w:tcPr>
                <w:p w14:paraId="11D7FB6B">
                  <w:pPr>
                    <w:pStyle w:val="17"/>
                    <w:keepNext w:val="0"/>
                    <w:keepLines w:val="0"/>
                    <w:suppressLineNumbers w:val="0"/>
                    <w:snapToGrid/>
                    <w:spacing w:before="0" w:beforeAutospacing="0" w:after="0" w:afterAutospacing="0" w:line="240" w:lineRule="auto"/>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1894" w:type="pct"/>
                  <w:tcBorders>
                    <w:top w:val="single" w:color="auto" w:sz="4" w:space="0"/>
                    <w:left w:val="single" w:color="auto" w:sz="4" w:space="0"/>
                    <w:bottom w:val="single" w:color="auto" w:sz="4" w:space="0"/>
                    <w:right w:val="single" w:color="auto" w:sz="4" w:space="0"/>
                  </w:tcBorders>
                  <w:shd w:val="clear" w:color="auto" w:fill="auto"/>
                  <w:vAlign w:val="center"/>
                </w:tcPr>
                <w:p w14:paraId="1600B159">
                  <w:pPr>
                    <w:pStyle w:val="17"/>
                    <w:keepNext w:val="0"/>
                    <w:keepLines w:val="0"/>
                    <w:suppressLineNumbers w:val="0"/>
                    <w:snapToGrid/>
                    <w:spacing w:before="0" w:beforeAutospacing="0" w:after="0" w:afterAutospacing="0" w:line="240" w:lineRule="auto"/>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21787BD7">
                  <w:pPr>
                    <w:pStyle w:val="17"/>
                    <w:keepNext w:val="0"/>
                    <w:keepLines w:val="0"/>
                    <w:suppressLineNumbers w:val="0"/>
                    <w:snapToGrid/>
                    <w:spacing w:before="0" w:beforeAutospacing="0" w:after="0" w:afterAutospacing="0" w:line="240" w:lineRule="auto"/>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r>
          </w:tbl>
          <w:p w14:paraId="7D39ECFA">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综上，项目与</w:t>
            </w:r>
            <w:r>
              <w:rPr>
                <w:rFonts w:hint="eastAsia"/>
                <w:color w:val="000000" w:themeColor="text1"/>
                <w:kern w:val="2"/>
                <w:sz w:val="24"/>
                <w:szCs w:val="20"/>
                <w:highlight w:val="none"/>
                <w14:textFill>
                  <w14:solidFill>
                    <w14:schemeClr w14:val="tx1"/>
                  </w14:solidFill>
                </w14:textFill>
              </w:rPr>
              <w:t>昆明市生态环境分区管控要求符合。</w:t>
            </w:r>
          </w:p>
          <w:p w14:paraId="673F4DFD">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3</w:t>
            </w:r>
            <w:r>
              <w:rPr>
                <w:rFonts w:hint="eastAsia"/>
                <w:b/>
                <w:bCs/>
                <w:color w:val="000000" w:themeColor="text1"/>
                <w:sz w:val="24"/>
                <w:szCs w:val="20"/>
                <w:highlight w:val="none"/>
                <w:lang w:val="en-US" w:eastAsia="zh-CN"/>
                <w14:textFill>
                  <w14:solidFill>
                    <w14:schemeClr w14:val="tx1"/>
                  </w14:solidFill>
                </w14:textFill>
              </w:rPr>
              <w:t>.</w:t>
            </w:r>
            <w:r>
              <w:rPr>
                <w:rFonts w:hint="default"/>
                <w:b/>
                <w:bCs/>
                <w:color w:val="000000" w:themeColor="text1"/>
                <w:sz w:val="24"/>
                <w:szCs w:val="20"/>
                <w:highlight w:val="none"/>
                <w14:textFill>
                  <w14:solidFill>
                    <w14:schemeClr w14:val="tx1"/>
                  </w14:solidFill>
                </w14:textFill>
              </w:rPr>
              <w:t>与《云南省牛栏江保护条例》符合性分析</w:t>
            </w:r>
          </w:p>
          <w:p w14:paraId="7BE10AF7">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0"/>
                <w:highlight w:val="none"/>
                <w:lang w:eastAsia="zh-CN"/>
                <w14:textFill>
                  <w14:solidFill>
                    <w14:schemeClr w14:val="tx1"/>
                  </w14:solidFill>
                </w14:textFill>
              </w:rPr>
            </w:pPr>
            <w:r>
              <w:rPr>
                <w:rFonts w:hint="default"/>
                <w:color w:val="000000" w:themeColor="text1"/>
                <w:sz w:val="24"/>
                <w:szCs w:val="20"/>
                <w:highlight w:val="none"/>
                <w14:textFill>
                  <w14:solidFill>
                    <w14:schemeClr w14:val="tx1"/>
                  </w14:solidFill>
                </w14:textFill>
              </w:rPr>
              <w:t>据2012年9月28日云南省第十一届人民代表大会常务委员会第三十四次会议通过《云南省牛栏江保护条例》</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第一章</w:t>
            </w:r>
            <w:r>
              <w:rPr>
                <w:rFonts w:hint="eastAsia"/>
                <w:color w:val="000000" w:themeColor="text1"/>
                <w:sz w:val="24"/>
                <w:szCs w:val="20"/>
                <w:highlight w:val="none"/>
                <w:lang w:eastAsia="zh-CN"/>
                <w14:textFill>
                  <w14:solidFill>
                    <w14:schemeClr w14:val="tx1"/>
                  </w14:solidFill>
                </w14:textFill>
              </w:rPr>
              <w:t>总则</w:t>
            </w:r>
            <w:r>
              <w:rPr>
                <w:rFonts w:hint="eastAsia"/>
                <w:color w:val="000000" w:themeColor="text1"/>
                <w:sz w:val="24"/>
                <w:szCs w:val="20"/>
                <w:highlight w:val="none"/>
                <w:lang w:val="en-US" w:eastAsia="zh-CN"/>
                <w14:textFill>
                  <w14:solidFill>
                    <w14:schemeClr w14:val="tx1"/>
                  </w14:solidFill>
                </w14:textFill>
              </w:rPr>
              <w:t>第四条：牛栏江流域实行分区保护。牛栏江德泽水库坝址以上集水区域为牛栏江流域上游保护区，牛栏江德泽水库坝址以下集水区域为牛栏江流域下游保护区。</w:t>
            </w:r>
          </w:p>
          <w:p w14:paraId="3D3E794E">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lang w:eastAsia="zh-CN"/>
                <w14:textFill>
                  <w14:solidFill>
                    <w14:schemeClr w14:val="tx1"/>
                  </w14:solidFill>
                </w14:textFill>
              </w:rPr>
              <w:t>第五条：</w:t>
            </w:r>
            <w:r>
              <w:rPr>
                <w:rFonts w:hint="default"/>
                <w:color w:val="000000" w:themeColor="text1"/>
                <w:sz w:val="24"/>
                <w:szCs w:val="20"/>
                <w:highlight w:val="none"/>
                <w14:textFill>
                  <w14:solidFill>
                    <w14:schemeClr w14:val="tx1"/>
                  </w14:solidFill>
                </w14:textFill>
              </w:rPr>
              <w:t>对牛栏江流域上游保护区进行了划分，划分为水源保护核心区、重点污染控制区和重点水源涵养区，具体划分情况如下：</w:t>
            </w:r>
          </w:p>
          <w:p w14:paraId="4957FF87">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一）水源保护核心区包括德泽水库库区和德泽水库以上牛栏江干流区。德泽水库库区为德泽水库正常蓄水位1790m水面及沿岸外延2000m的范围，区域范围超过一级山脊线的，按照一级山脊线划定；德泽水库以上牛栏江干流区指德泽水库以上干流（包括干流源头矣纳岔口至嘉丽泽对龙河河段）水域及两岸外延1000m的范围，区域范围超过一级山脊线的，按照一级山脊线划定。</w:t>
            </w:r>
          </w:p>
          <w:p w14:paraId="2EF56EFB">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二）重点污染控制区为水源保护核心区以外，流域范围内的坝区以及花庄河、果马河、普沙河、弥良河、对龙河、杨林河、匡郎河、前进河、马龙河水域及两岸外延3000m的区域，区域范围超过一级山脊线的，按照一级山脊线划定。</w:t>
            </w:r>
          </w:p>
          <w:p w14:paraId="30FC807F">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（三）重点水源涵养区为流域范围内除水源保护核心区、重点污染控制区以外的集水区域。</w:t>
            </w:r>
          </w:p>
          <w:p w14:paraId="1EED0B55">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本项目位于寻甸县塘子镇，属于牛栏江德泽水库坝址以上的集水区域，属于牛栏江流域上游保护区。</w:t>
            </w:r>
            <w:r>
              <w:rPr>
                <w:rFonts w:hint="default"/>
                <w:b w:val="0"/>
                <w:bCs w:val="0"/>
                <w:color w:val="000000" w:themeColor="text1"/>
                <w:sz w:val="24"/>
                <w:szCs w:val="24"/>
                <w:highlight w:val="none"/>
                <w14:textFill>
                  <w14:solidFill>
                    <w14:schemeClr w14:val="tx1"/>
                  </w14:solidFill>
                </w14:textFill>
              </w:rPr>
              <w:t>根据牛栏江水系</w:t>
            </w:r>
            <w:r>
              <w:rPr>
                <w:rFonts w:hint="eastAsia"/>
                <w:b w:val="0"/>
                <w:bCs w:val="0"/>
                <w:color w:val="000000" w:themeColor="text1"/>
                <w:sz w:val="24"/>
                <w:szCs w:val="24"/>
                <w:highlight w:val="none"/>
                <w14:textFill>
                  <w14:solidFill>
                    <w14:schemeClr w14:val="tx1"/>
                  </w14:solidFill>
                </w14:textFill>
              </w:rPr>
              <w:t>环境</w:t>
            </w:r>
            <w:r>
              <w:rPr>
                <w:rFonts w:hint="default"/>
                <w:b w:val="0"/>
                <w:bCs w:val="0"/>
                <w:color w:val="000000" w:themeColor="text1"/>
                <w:sz w:val="24"/>
                <w:szCs w:val="24"/>
                <w:highlight w:val="none"/>
                <w14:textFill>
                  <w14:solidFill>
                    <w14:schemeClr w14:val="tx1"/>
                  </w14:solidFill>
                </w14:textFill>
              </w:rPr>
              <w:t>规划图</w:t>
            </w:r>
            <w:r>
              <w:rPr>
                <w:rFonts w:hint="eastAsia"/>
                <w:b w:val="0"/>
                <w:bCs w:val="0"/>
                <w:color w:val="000000" w:themeColor="text1"/>
                <w:sz w:val="24"/>
                <w:szCs w:val="24"/>
                <w:highlight w:val="none"/>
                <w:lang w:val="en-US" w:eastAsia="zh-CN"/>
                <w14:textFill>
                  <w14:solidFill>
                    <w14:schemeClr w14:val="tx1"/>
                  </w14:solidFill>
                </w14:textFill>
              </w:rPr>
              <w:t>叠图</w:t>
            </w:r>
            <w:r>
              <w:rPr>
                <w:rFonts w:hint="default"/>
                <w:b w:val="0"/>
                <w:bCs w:val="0"/>
                <w:color w:val="000000" w:themeColor="text1"/>
                <w:sz w:val="24"/>
                <w:szCs w:val="24"/>
                <w:highlight w:val="none"/>
                <w14:textFill>
                  <w14:solidFill>
                    <w14:schemeClr w14:val="tx1"/>
                  </w14:solidFill>
                </w14:textFill>
              </w:rPr>
              <w:t>可知</w:t>
            </w:r>
            <w:r>
              <w:rPr>
                <w:rFonts w:hint="eastAsia"/>
                <w:b w:val="0"/>
                <w:bCs w:val="0"/>
                <w:color w:val="000000" w:themeColor="text1"/>
                <w:sz w:val="24"/>
                <w:szCs w:val="24"/>
                <w:highlight w:val="none"/>
                <w:lang w:eastAsia="zh-CN"/>
                <w14:textFill>
                  <w14:solidFill>
                    <w14:schemeClr w14:val="tx1"/>
                  </w14:solidFill>
                </w14:textFill>
              </w:rPr>
              <w:t>，</w:t>
            </w:r>
            <w:r>
              <w:rPr>
                <w:rFonts w:hint="default"/>
                <w:b w:val="0"/>
                <w:bCs w:val="0"/>
                <w:color w:val="000000" w:themeColor="text1"/>
                <w:sz w:val="24"/>
                <w:szCs w:val="24"/>
                <w:highlight w:val="none"/>
                <w14:textFill>
                  <w14:solidFill>
                    <w14:schemeClr w14:val="tx1"/>
                  </w14:solidFill>
                </w14:textFill>
              </w:rPr>
              <w:t>本项目</w:t>
            </w:r>
            <w:r>
              <w:rPr>
                <w:rFonts w:hint="eastAsia"/>
                <w:b w:val="0"/>
                <w:bCs w:val="0"/>
                <w:color w:val="000000" w:themeColor="text1"/>
                <w:sz w:val="24"/>
                <w:szCs w:val="24"/>
                <w:highlight w:val="none"/>
                <w:lang w:val="en-US" w:eastAsia="zh-CN"/>
                <w14:textFill>
                  <w14:solidFill>
                    <w14:schemeClr w14:val="tx1"/>
                  </w14:solidFill>
                </w14:textFill>
              </w:rPr>
              <w:t>厂界距离牛栏江最近距离为869m，</w:t>
            </w:r>
            <w:r>
              <w:rPr>
                <w:rFonts w:hint="default"/>
                <w:b w:val="0"/>
                <w:bCs w:val="0"/>
                <w:color w:val="000000" w:themeColor="text1"/>
                <w:sz w:val="24"/>
                <w:szCs w:val="24"/>
                <w:highlight w:val="none"/>
                <w14:textFill>
                  <w14:solidFill>
                    <w14:schemeClr w14:val="tx1"/>
                  </w14:solidFill>
                </w14:textFill>
              </w:rPr>
              <w:t>属于《云南省牛栏江保护条例》中的</w:t>
            </w:r>
            <w:r>
              <w:rPr>
                <w:rFonts w:hint="eastAsia"/>
                <w:b w:val="0"/>
                <w:bCs w:val="0"/>
                <w:color w:val="000000" w:themeColor="text1"/>
                <w:sz w:val="24"/>
                <w:szCs w:val="24"/>
                <w:highlight w:val="none"/>
                <w:lang w:val="en-US" w:eastAsia="zh-CN"/>
                <w14:textFill>
                  <w14:solidFill>
                    <w14:schemeClr w14:val="tx1"/>
                  </w14:solidFill>
                </w14:textFill>
              </w:rPr>
              <w:t>水源保护核心区</w:t>
            </w:r>
            <w:r>
              <w:rPr>
                <w:rFonts w:hint="default"/>
                <w:b w:val="0"/>
                <w:bCs w:val="0"/>
                <w:color w:val="000000" w:themeColor="text1"/>
                <w:sz w:val="24"/>
                <w:szCs w:val="24"/>
                <w:highlight w:val="none"/>
                <w14:textFill>
                  <w14:solidFill>
                    <w14:schemeClr w14:val="tx1"/>
                  </w14:solidFill>
                </w14:textFill>
              </w:rPr>
              <w:t>（附图</w:t>
            </w:r>
            <w:r>
              <w:rPr>
                <w:rFonts w:hint="eastAsia"/>
                <w:b w:val="0"/>
                <w:bCs w:val="0"/>
                <w:color w:val="000000" w:themeColor="text1"/>
                <w:sz w:val="24"/>
                <w:szCs w:val="24"/>
                <w:highlight w:val="none"/>
                <w14:textFill>
                  <w14:solidFill>
                    <w14:schemeClr w14:val="tx1"/>
                  </w14:solidFill>
                </w14:textFill>
              </w:rPr>
              <w:t>6</w:t>
            </w:r>
            <w:r>
              <w:rPr>
                <w:rFonts w:hint="default"/>
                <w:b w:val="0"/>
                <w:bCs w:val="0"/>
                <w:color w:val="000000" w:themeColor="text1"/>
                <w:sz w:val="24"/>
                <w:szCs w:val="24"/>
                <w:highlight w:val="none"/>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本项目与</w:t>
            </w:r>
            <w:r>
              <w:rPr>
                <w:rFonts w:hint="default"/>
                <w:color w:val="000000" w:themeColor="text1"/>
                <w:sz w:val="24"/>
                <w:szCs w:val="20"/>
                <w:highlight w:val="none"/>
                <w14:textFill>
                  <w14:solidFill>
                    <w14:schemeClr w14:val="tx1"/>
                  </w14:solidFill>
                </w14:textFill>
              </w:rPr>
              <w:t>《云南省牛栏江保护条例</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的</w:t>
            </w:r>
            <w:r>
              <w:rPr>
                <w:rFonts w:hint="default"/>
                <w:color w:val="000000" w:themeColor="text1"/>
                <w:sz w:val="24"/>
                <w:szCs w:val="20"/>
                <w:highlight w:val="none"/>
                <w14:textFill>
                  <w14:solidFill>
                    <w14:schemeClr w14:val="tx1"/>
                  </w14:solidFill>
                </w14:textFill>
              </w:rPr>
              <w:t>符合性</w:t>
            </w:r>
            <w:r>
              <w:rPr>
                <w:rFonts w:hint="eastAsia"/>
                <w:color w:val="000000" w:themeColor="text1"/>
                <w:sz w:val="24"/>
                <w:szCs w:val="20"/>
                <w:highlight w:val="none"/>
                <w:lang w:val="en-US" w:eastAsia="zh-CN"/>
                <w14:textFill>
                  <w14:solidFill>
                    <w14:schemeClr w14:val="tx1"/>
                  </w14:solidFill>
                </w14:textFill>
              </w:rPr>
              <w:t>分析见下表</w:t>
            </w:r>
            <w:r>
              <w:rPr>
                <w:rFonts w:hint="default"/>
                <w:color w:val="000000" w:themeColor="text1"/>
                <w:sz w:val="24"/>
                <w:szCs w:val="20"/>
                <w:highlight w:val="none"/>
                <w14:textFill>
                  <w14:solidFill>
                    <w14:schemeClr w14:val="tx1"/>
                  </w14:solidFill>
                </w14:textFill>
              </w:rPr>
              <w:t>。</w:t>
            </w:r>
          </w:p>
          <w:p w14:paraId="37141A53">
            <w:pPr>
              <w:keepNext w:val="0"/>
              <w:keepLines w:val="0"/>
              <w:suppressLineNumbers w:val="0"/>
              <w:spacing w:before="0" w:beforeAutospacing="0" w:after="0" w:afterAutospacing="0"/>
              <w:ind w:left="0" w:right="0"/>
              <w:jc w:val="center"/>
              <w:rPr>
                <w:rFonts w:hint="default"/>
                <w:b/>
                <w:bCs/>
                <w:color w:val="000000" w:themeColor="text1"/>
                <w:sz w:val="24"/>
                <w:szCs w:val="20"/>
                <w:highlight w:val="none"/>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表1-</w:t>
            </w:r>
            <w:r>
              <w:rPr>
                <w:rFonts w:hint="eastAsia"/>
                <w:b/>
                <w:bCs/>
                <w:color w:val="000000" w:themeColor="text1"/>
                <w:sz w:val="24"/>
                <w:szCs w:val="20"/>
                <w:highlight w:val="none"/>
                <w14:textFill>
                  <w14:solidFill>
                    <w14:schemeClr w14:val="tx1"/>
                  </w14:solidFill>
                </w14:textFill>
              </w:rPr>
              <w:t>4</w:t>
            </w:r>
            <w:r>
              <w:rPr>
                <w:rFonts w:hint="default"/>
                <w:b/>
                <w:bCs/>
                <w:color w:val="000000" w:themeColor="text1"/>
                <w:sz w:val="24"/>
                <w:szCs w:val="20"/>
                <w:highlight w:val="none"/>
                <w14:textFill>
                  <w14:solidFill>
                    <w14:schemeClr w14:val="tx1"/>
                  </w14:solidFill>
                </w14:textFill>
              </w:rPr>
              <w:t xml:space="preserve">  项目选址与《云南省牛栏江保护条例》对照分析</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2822"/>
              <w:gridCol w:w="4182"/>
              <w:gridCol w:w="644"/>
            </w:tblGrid>
            <w:tr w14:paraId="0B6C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05CD1E3D">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序号</w:t>
                  </w:r>
                </w:p>
              </w:tc>
              <w:tc>
                <w:tcPr>
                  <w:tcW w:w="1722" w:type="pct"/>
                  <w:vAlign w:val="center"/>
                </w:tcPr>
                <w:p w14:paraId="0172D9C4">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《云南省牛栏江保护条例》选址条件</w:t>
                  </w:r>
                </w:p>
              </w:tc>
              <w:tc>
                <w:tcPr>
                  <w:tcW w:w="2552" w:type="pct"/>
                  <w:vAlign w:val="center"/>
                </w:tcPr>
                <w:p w14:paraId="5BA5AECC">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本项目实际情况</w:t>
                  </w:r>
                </w:p>
              </w:tc>
              <w:tc>
                <w:tcPr>
                  <w:tcW w:w="391" w:type="pct"/>
                  <w:vAlign w:val="center"/>
                </w:tcPr>
                <w:p w14:paraId="2E940EB7">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相符性</w:t>
                  </w:r>
                </w:p>
              </w:tc>
            </w:tr>
            <w:tr w14:paraId="4942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4"/>
                  <w:vAlign w:val="center"/>
                </w:tcPr>
                <w:p w14:paraId="144E5BA8">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三十</w:t>
                  </w:r>
                  <w:r>
                    <w:rPr>
                      <w:rFonts w:hint="eastAsia"/>
                      <w:color w:val="000000" w:themeColor="text1"/>
                      <w:sz w:val="21"/>
                      <w:szCs w:val="21"/>
                      <w:highlight w:val="none"/>
                      <w14:textFill>
                        <w14:solidFill>
                          <w14:schemeClr w14:val="tx1"/>
                        </w14:solidFill>
                      </w14:textFill>
                    </w:rPr>
                    <w:t>二</w:t>
                  </w:r>
                  <w:r>
                    <w:rPr>
                      <w:rFonts w:hint="default"/>
                      <w:color w:val="000000" w:themeColor="text1"/>
                      <w:sz w:val="21"/>
                      <w:szCs w:val="21"/>
                      <w:highlight w:val="none"/>
                      <w14:textFill>
                        <w14:solidFill>
                          <w14:schemeClr w14:val="tx1"/>
                        </w14:solidFill>
                      </w14:textFill>
                    </w:rPr>
                    <w:t>条</w:t>
                  </w:r>
                  <w:r>
                    <w:rPr>
                      <w:rFonts w:hint="eastAsia"/>
                      <w:color w:val="000000" w:themeColor="text1"/>
                      <w:sz w:val="21"/>
                      <w:szCs w:val="21"/>
                      <w:highlight w:val="none"/>
                      <w:lang w:val="en-US" w:eastAsia="zh-CN"/>
                      <w14:textFill>
                        <w14:solidFill>
                          <w14:schemeClr w14:val="tx1"/>
                        </w14:solidFill>
                      </w14:textFill>
                    </w:rPr>
                    <w:t xml:space="preserve">  </w:t>
                  </w:r>
                  <w:r>
                    <w:rPr>
                      <w:rFonts w:hint="default"/>
                      <w:color w:val="000000" w:themeColor="text1"/>
                      <w:sz w:val="21"/>
                      <w:szCs w:val="21"/>
                      <w:highlight w:val="none"/>
                      <w14:textFill>
                        <w14:solidFill>
                          <w14:schemeClr w14:val="tx1"/>
                        </w14:solidFill>
                      </w14:textFill>
                    </w:rPr>
                    <w:t>重点水源涵养区禁止下列行为</w:t>
                  </w:r>
                </w:p>
              </w:tc>
            </w:tr>
            <w:tr w14:paraId="42B6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4FE8A45E">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w:t>
                  </w:r>
                </w:p>
              </w:tc>
              <w:tc>
                <w:tcPr>
                  <w:tcW w:w="1722" w:type="pct"/>
                  <w:vAlign w:val="center"/>
                </w:tcPr>
                <w:p w14:paraId="0DDA466E">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（一）盗伐、滥伐林木和破坏草地；</w:t>
                  </w:r>
                </w:p>
              </w:tc>
              <w:tc>
                <w:tcPr>
                  <w:tcW w:w="2552" w:type="pct"/>
                  <w:vAlign w:val="center"/>
                </w:tcPr>
                <w:p w14:paraId="7DF846A9">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本项目不涉及新增占地。项目无盗伐、滥伐林木和破坏草地的行为。</w:t>
                  </w:r>
                </w:p>
              </w:tc>
              <w:tc>
                <w:tcPr>
                  <w:tcW w:w="391" w:type="pct"/>
                  <w:vAlign w:val="center"/>
                </w:tcPr>
                <w:p w14:paraId="22D75C93">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0870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43A5DC8E">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2</w:t>
                  </w:r>
                </w:p>
              </w:tc>
              <w:tc>
                <w:tcPr>
                  <w:tcW w:w="1722" w:type="pct"/>
                  <w:vAlign w:val="center"/>
                </w:tcPr>
                <w:p w14:paraId="62907CA8">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（二）使用高毒、高残留农药；</w:t>
                  </w:r>
                </w:p>
              </w:tc>
              <w:tc>
                <w:tcPr>
                  <w:tcW w:w="2552" w:type="pct"/>
                  <w:vAlign w:val="center"/>
                </w:tcPr>
                <w:p w14:paraId="40E22AA4">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项目不使用高毒、高残农药。</w:t>
                  </w:r>
                </w:p>
              </w:tc>
              <w:tc>
                <w:tcPr>
                  <w:tcW w:w="391" w:type="pct"/>
                  <w:vAlign w:val="center"/>
                </w:tcPr>
                <w:p w14:paraId="43589729">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330A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4A8BC579">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3</w:t>
                  </w:r>
                </w:p>
              </w:tc>
              <w:tc>
                <w:tcPr>
                  <w:tcW w:w="1722" w:type="pct"/>
                  <w:vAlign w:val="center"/>
                </w:tcPr>
                <w:p w14:paraId="35456152">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（三）利用溶洞、渗井、渗坑、裂隙排放、倾倒含有毒有害物质的废水、废渣；</w:t>
                  </w:r>
                </w:p>
              </w:tc>
              <w:tc>
                <w:tcPr>
                  <w:tcW w:w="2552" w:type="pct"/>
                  <w:vAlign w:val="center"/>
                </w:tcPr>
                <w:p w14:paraId="766C3E30">
                  <w:pPr>
                    <w:keepNext w:val="0"/>
                    <w:keepLines w:val="0"/>
                    <w:suppressLineNumbers w:val="0"/>
                    <w:spacing w:before="0" w:beforeAutospacing="0" w:after="0" w:afterAutospacing="0"/>
                    <w:ind w:left="0" w:right="0"/>
                    <w:jc w:val="center"/>
                    <w:rPr>
                      <w:rFonts w:hint="eastAsia" w:eastAsia="宋体"/>
                      <w:color w:val="000000" w:themeColor="text1"/>
                      <w:sz w:val="21"/>
                      <w:szCs w:val="21"/>
                      <w:highlight w:val="none"/>
                      <w:lang w:eastAsia="zh-CN"/>
                      <w14:textFill>
                        <w14:solidFill>
                          <w14:schemeClr w14:val="tx1"/>
                        </w14:solidFill>
                      </w14:textFill>
                    </w:rPr>
                  </w:pPr>
                  <w:r>
                    <w:rPr>
                      <w:rFonts w:hint="default"/>
                      <w:color w:val="000000" w:themeColor="text1"/>
                      <w:sz w:val="21"/>
                      <w:szCs w:val="21"/>
                      <w:highlight w:val="none"/>
                      <w14:textFill>
                        <w14:solidFill>
                          <w14:schemeClr w14:val="tx1"/>
                        </w14:solidFill>
                      </w14:textFill>
                    </w:rPr>
                    <w:t>项目</w:t>
                  </w:r>
                  <w:r>
                    <w:rPr>
                      <w:rFonts w:hint="eastAsia"/>
                      <w:color w:val="000000" w:themeColor="text1"/>
                      <w:sz w:val="21"/>
                      <w:szCs w:val="21"/>
                      <w:highlight w:val="none"/>
                      <w:lang w:val="en-US" w:eastAsia="zh-CN"/>
                      <w14:textFill>
                        <w14:solidFill>
                          <w14:schemeClr w14:val="tx1"/>
                        </w14:solidFill>
                      </w14:textFill>
                    </w:rPr>
                    <w:t>废水均回用，不外排</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不存在</w:t>
                  </w:r>
                  <w:r>
                    <w:rPr>
                      <w:rFonts w:hint="default"/>
                      <w:color w:val="000000" w:themeColor="text1"/>
                      <w:sz w:val="21"/>
                      <w:szCs w:val="21"/>
                      <w:highlight w:val="none"/>
                      <w14:textFill>
                        <w14:solidFill>
                          <w14:schemeClr w14:val="tx1"/>
                        </w14:solidFill>
                      </w14:textFill>
                    </w:rPr>
                    <w:t>利用溶洞、渗井、渗坑、裂隙排放、倾倒含有毒有害物质的废水、废渣；</w:t>
                  </w:r>
                </w:p>
              </w:tc>
              <w:tc>
                <w:tcPr>
                  <w:tcW w:w="391" w:type="pct"/>
                  <w:vAlign w:val="center"/>
                </w:tcPr>
                <w:p w14:paraId="41DCDD80">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7E52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162B70A4">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4</w:t>
                  </w:r>
                </w:p>
              </w:tc>
              <w:tc>
                <w:tcPr>
                  <w:tcW w:w="1722" w:type="pct"/>
                  <w:vAlign w:val="center"/>
                </w:tcPr>
                <w:p w14:paraId="38E882C7">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（四）向水体排放废水、倾倒工业废渣、城镇垃圾或者其他废弃物；</w:t>
                  </w:r>
                </w:p>
              </w:tc>
              <w:tc>
                <w:tcPr>
                  <w:tcW w:w="2552" w:type="pct"/>
                  <w:vAlign w:val="center"/>
                </w:tcPr>
                <w:p w14:paraId="627B7A8E">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本项目无新增工艺废水，</w:t>
                  </w:r>
                  <w:r>
                    <w:rPr>
                      <w:rFonts w:hint="eastAsia" w:ascii="宋体" w:hAnsi="宋体"/>
                      <w:color w:val="000000" w:themeColor="text1"/>
                      <w:sz w:val="21"/>
                      <w:szCs w:val="21"/>
                      <w:highlight w:val="none"/>
                      <w14:textFill>
                        <w14:solidFill>
                          <w14:schemeClr w14:val="tx1"/>
                        </w14:solidFill>
                      </w14:textFill>
                    </w:rPr>
                    <w:t>不</w:t>
                  </w:r>
                  <w:r>
                    <w:rPr>
                      <w:rFonts w:hint="default"/>
                      <w:color w:val="000000" w:themeColor="text1"/>
                      <w:sz w:val="21"/>
                      <w:szCs w:val="21"/>
                      <w:highlight w:val="none"/>
                      <w14:textFill>
                        <w14:solidFill>
                          <w14:schemeClr w14:val="tx1"/>
                        </w14:solidFill>
                      </w14:textFill>
                    </w:rPr>
                    <w:t>向水体排放废水、倾倒工业废渣、城镇垃圾或者其他废弃物。</w:t>
                  </w:r>
                </w:p>
              </w:tc>
              <w:tc>
                <w:tcPr>
                  <w:tcW w:w="391" w:type="pct"/>
                  <w:vAlign w:val="center"/>
                </w:tcPr>
                <w:p w14:paraId="1578927A">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03A7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2B9144C4">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5</w:t>
                  </w:r>
                </w:p>
              </w:tc>
              <w:tc>
                <w:tcPr>
                  <w:tcW w:w="1722" w:type="pct"/>
                  <w:vAlign w:val="center"/>
                </w:tcPr>
                <w:p w14:paraId="17DF7B39">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（五）在江河、渠道、水库最高水位线以下的滩地、岸坡堆放、存贮固体废弃物或者其他污染物；</w:t>
                  </w:r>
                </w:p>
              </w:tc>
              <w:tc>
                <w:tcPr>
                  <w:tcW w:w="2552" w:type="pct"/>
                  <w:vAlign w:val="center"/>
                </w:tcPr>
                <w:p w14:paraId="54A2AAE9">
                  <w:pPr>
                    <w:keepNext w:val="0"/>
                    <w:keepLines w:val="0"/>
                    <w:suppressLineNumbers w:val="0"/>
                    <w:spacing w:before="0" w:beforeAutospacing="0" w:after="0" w:afterAutospacing="0"/>
                    <w:ind w:left="0" w:right="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项目的物料堆场均设置在厂房内，项目不</w:t>
                  </w:r>
                  <w:r>
                    <w:rPr>
                      <w:rFonts w:hint="default"/>
                      <w:color w:val="000000" w:themeColor="text1"/>
                      <w:sz w:val="21"/>
                      <w:szCs w:val="21"/>
                      <w:highlight w:val="none"/>
                      <w14:textFill>
                        <w14:solidFill>
                          <w14:schemeClr w14:val="tx1"/>
                        </w14:solidFill>
                      </w14:textFill>
                    </w:rPr>
                    <w:t>在江河、渠道、水库最高水位线以下的滩地、岸坡堆放、存贮固体废弃物或者其他污染物。</w:t>
                  </w:r>
                  <w:r>
                    <w:rPr>
                      <w:rFonts w:hint="eastAsia"/>
                      <w:color w:val="000000" w:themeColor="text1"/>
                      <w:sz w:val="21"/>
                      <w:szCs w:val="21"/>
                      <w:highlight w:val="none"/>
                      <w:lang w:val="en-US" w:eastAsia="zh-CN"/>
                      <w14:textFill>
                        <w14:solidFill>
                          <w14:schemeClr w14:val="tx1"/>
                        </w14:solidFill>
                      </w14:textFill>
                    </w:rPr>
                    <w:t>且本项目为临时工程，将常青树堆存的磷石膏渣库改性完毕后，工程即结束，停止生产。</w:t>
                  </w:r>
                </w:p>
              </w:tc>
              <w:tc>
                <w:tcPr>
                  <w:tcW w:w="391" w:type="pct"/>
                  <w:vAlign w:val="center"/>
                </w:tcPr>
                <w:p w14:paraId="1C5766C9">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28D1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597C77AC">
                  <w:pPr>
                    <w:keepNext w:val="0"/>
                    <w:keepLines w:val="0"/>
                    <w:suppressLineNumbers w:val="0"/>
                    <w:spacing w:before="0" w:beforeAutospacing="0" w:after="0" w:afterAutospacing="0"/>
                    <w:ind w:left="0" w:right="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p w14:paraId="37421878">
                  <w:pPr>
                    <w:pStyle w:val="17"/>
                    <w:keepNext w:val="0"/>
                    <w:keepLines w:val="0"/>
                    <w:suppressLineNumbers w:val="0"/>
                    <w:spacing w:beforeAutospacing="0" w:afterAutospacing="0"/>
                    <w:ind w:left="0"/>
                    <w:rPr>
                      <w:rFonts w:hint="default"/>
                      <w:color w:val="000000" w:themeColor="text1"/>
                      <w:sz w:val="21"/>
                      <w:szCs w:val="21"/>
                      <w:highlight w:val="none"/>
                      <w14:textFill>
                        <w14:solidFill>
                          <w14:schemeClr w14:val="tx1"/>
                        </w14:solidFill>
                      </w14:textFill>
                    </w:rPr>
                  </w:pPr>
                </w:p>
              </w:tc>
              <w:tc>
                <w:tcPr>
                  <w:tcW w:w="1722" w:type="pct"/>
                  <w:vAlign w:val="center"/>
                </w:tcPr>
                <w:p w14:paraId="27C6A873">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（六）利用无防渗漏措施的沟渠、坑塘等输送或者存贮含有毒污染物的废水、含病原体的污水或者其他废弃物。</w:t>
                  </w:r>
                </w:p>
              </w:tc>
              <w:tc>
                <w:tcPr>
                  <w:tcW w:w="2552" w:type="pct"/>
                  <w:vAlign w:val="center"/>
                </w:tcPr>
                <w:p w14:paraId="7C984684">
                  <w:pPr>
                    <w:keepNext w:val="0"/>
                    <w:keepLines w:val="0"/>
                    <w:suppressLineNumbers w:val="0"/>
                    <w:spacing w:before="0" w:beforeAutospacing="0" w:after="0" w:afterAutospacing="0"/>
                    <w:ind w:left="0" w:right="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本项目废水均经收集后回用，不外排</w:t>
                  </w:r>
                  <w:r>
                    <w:rPr>
                      <w:rFonts w:hint="default"/>
                      <w:color w:val="000000" w:themeColor="text1"/>
                      <w:sz w:val="21"/>
                      <w:szCs w:val="21"/>
                      <w:highlight w:val="none"/>
                      <w14:textFill>
                        <w14:solidFill>
                          <w14:schemeClr w14:val="tx1"/>
                        </w14:solidFill>
                      </w14:textFill>
                    </w:rPr>
                    <w:t>，产生的固废均采取有效的措施进行处理，不外排。</w:t>
                  </w:r>
                  <w:r>
                    <w:rPr>
                      <w:rFonts w:hint="eastAsia"/>
                      <w:color w:val="000000" w:themeColor="text1"/>
                      <w:sz w:val="21"/>
                      <w:szCs w:val="21"/>
                      <w:highlight w:val="none"/>
                      <w:lang w:val="en-US" w:eastAsia="zh-CN"/>
                      <w14:textFill>
                        <w14:solidFill>
                          <w14:schemeClr w14:val="tx1"/>
                        </w14:solidFill>
                      </w14:textFill>
                    </w:rPr>
                    <w:t>不存在</w:t>
                  </w:r>
                  <w:r>
                    <w:rPr>
                      <w:rFonts w:hint="default"/>
                      <w:color w:val="000000" w:themeColor="text1"/>
                      <w:sz w:val="21"/>
                      <w:szCs w:val="21"/>
                      <w:highlight w:val="none"/>
                      <w14:textFill>
                        <w14:solidFill>
                          <w14:schemeClr w14:val="tx1"/>
                        </w14:solidFill>
                      </w14:textFill>
                    </w:rPr>
                    <w:t>利用无防渗漏措施的沟渠、坑塘等输送或者存贮含有毒污染物的废水、含病原体的污水或者其他废弃物</w:t>
                  </w:r>
                  <w:r>
                    <w:rPr>
                      <w:rFonts w:hint="eastAsia"/>
                      <w:color w:val="000000" w:themeColor="text1"/>
                      <w:sz w:val="21"/>
                      <w:szCs w:val="21"/>
                      <w:highlight w:val="none"/>
                      <w:lang w:val="en-US" w:eastAsia="zh-CN"/>
                      <w14:textFill>
                        <w14:solidFill>
                          <w14:schemeClr w14:val="tx1"/>
                        </w14:solidFill>
                      </w14:textFill>
                    </w:rPr>
                    <w:t>的情形。</w:t>
                  </w:r>
                </w:p>
              </w:tc>
              <w:tc>
                <w:tcPr>
                  <w:tcW w:w="391" w:type="pct"/>
                  <w:vAlign w:val="center"/>
                </w:tcPr>
                <w:p w14:paraId="1015AD2B">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79DE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4"/>
                  <w:vAlign w:val="center"/>
                </w:tcPr>
                <w:p w14:paraId="267A740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第三十三条</w:t>
                  </w: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重点污染控制区内除重点水源涵养区禁止的行为外，还禁止下列行为：</w:t>
                  </w:r>
                </w:p>
              </w:tc>
            </w:tr>
            <w:tr w14:paraId="292B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09799E9D">
                  <w:pPr>
                    <w:pStyle w:val="17"/>
                    <w:keepNext w:val="0"/>
                    <w:keepLines w:val="0"/>
                    <w:suppressLineNumbers w:val="0"/>
                    <w:spacing w:beforeAutospacing="0" w:afterAutospacing="0"/>
                    <w:ind w:left="0"/>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722" w:type="pct"/>
                  <w:vAlign w:val="center"/>
                </w:tcPr>
                <w:p w14:paraId="4DCE2DBD">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(一)新建、扩建工业园区</w:t>
                  </w:r>
                </w:p>
              </w:tc>
              <w:tc>
                <w:tcPr>
                  <w:tcW w:w="2552" w:type="pct"/>
                  <w:vAlign w:val="center"/>
                </w:tcPr>
                <w:p w14:paraId="7DB5239D">
                  <w:pPr>
                    <w:keepNext w:val="0"/>
                    <w:keepLines w:val="0"/>
                    <w:suppressLineNumbers w:val="0"/>
                    <w:spacing w:before="0" w:beforeAutospacing="0" w:after="0" w:afterAutospacing="0"/>
                    <w:ind w:left="0" w:right="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本项目为改性磷石膏加工，不属于新建、扩建工业园区。</w:t>
                  </w:r>
                </w:p>
              </w:tc>
              <w:tc>
                <w:tcPr>
                  <w:tcW w:w="391" w:type="pct"/>
                  <w:vAlign w:val="center"/>
                </w:tcPr>
                <w:p w14:paraId="0B950897">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p>
              </w:tc>
            </w:tr>
            <w:tr w14:paraId="0058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0EE86391">
                  <w:pPr>
                    <w:pStyle w:val="17"/>
                    <w:keepNext w:val="0"/>
                    <w:keepLines w:val="0"/>
                    <w:suppressLineNumbers w:val="0"/>
                    <w:spacing w:beforeAutospacing="0" w:afterAutospacing="0"/>
                    <w:ind w:left="0"/>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722" w:type="pct"/>
                  <w:vAlign w:val="center"/>
                </w:tcPr>
                <w:p w14:paraId="4AF791DA">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(二)新建、扩建重点水污染物排放的工业项目</w:t>
                  </w:r>
                </w:p>
              </w:tc>
              <w:tc>
                <w:tcPr>
                  <w:tcW w:w="2552" w:type="pct"/>
                  <w:vAlign w:val="center"/>
                </w:tcPr>
                <w:p w14:paraId="41CFAB31">
                  <w:pPr>
                    <w:keepNext w:val="0"/>
                    <w:keepLines w:val="0"/>
                    <w:suppressLineNumbers w:val="0"/>
                    <w:spacing w:before="0" w:beforeAutospacing="0" w:after="0" w:afterAutospacing="0"/>
                    <w:ind w:left="0" w:right="0"/>
                    <w:jc w:val="center"/>
                    <w:rPr>
                      <w:rFonts w:hint="default"/>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本项目为改性磷石膏加工，无生产废水外排，不属于</w:t>
                  </w:r>
                  <w:r>
                    <w:rPr>
                      <w:rFonts w:hint="default"/>
                      <w:color w:val="000000" w:themeColor="text1"/>
                      <w:sz w:val="21"/>
                      <w:szCs w:val="21"/>
                      <w:highlight w:val="none"/>
                      <w14:textFill>
                        <w14:solidFill>
                          <w14:schemeClr w14:val="tx1"/>
                        </w14:solidFill>
                      </w14:textFill>
                    </w:rPr>
                    <w:t>新建、扩建重点水污染物排放的工业项目</w:t>
                  </w:r>
                </w:p>
              </w:tc>
              <w:tc>
                <w:tcPr>
                  <w:tcW w:w="391" w:type="pct"/>
                  <w:vAlign w:val="center"/>
                </w:tcPr>
                <w:p w14:paraId="11ED70B1">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p>
              </w:tc>
            </w:tr>
            <w:tr w14:paraId="15B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39A1A9F3">
                  <w:pPr>
                    <w:pStyle w:val="17"/>
                    <w:keepNext w:val="0"/>
                    <w:keepLines w:val="0"/>
                    <w:suppressLineNumbers w:val="0"/>
                    <w:spacing w:beforeAutospacing="0" w:afterAutospacing="0"/>
                    <w:ind w:left="0"/>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1722" w:type="pct"/>
                  <w:vAlign w:val="center"/>
                </w:tcPr>
                <w:p w14:paraId="4A0D7A07">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(三)新建、改建、扩建经营性陵园、公墓</w:t>
                  </w:r>
                </w:p>
              </w:tc>
              <w:tc>
                <w:tcPr>
                  <w:tcW w:w="2552" w:type="pct"/>
                  <w:vAlign w:val="center"/>
                </w:tcPr>
                <w:p w14:paraId="53E4AB83">
                  <w:pPr>
                    <w:keepNext w:val="0"/>
                    <w:keepLines w:val="0"/>
                    <w:suppressLineNumbers w:val="0"/>
                    <w:spacing w:before="0" w:beforeAutospacing="0" w:after="0" w:afterAutospacing="0"/>
                    <w:ind w:left="0" w:right="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本项目为改性磷石膏加工，不属于</w:t>
                  </w:r>
                  <w:r>
                    <w:rPr>
                      <w:rFonts w:hint="default"/>
                      <w:color w:val="000000" w:themeColor="text1"/>
                      <w:sz w:val="21"/>
                      <w:szCs w:val="21"/>
                      <w:highlight w:val="none"/>
                      <w14:textFill>
                        <w14:solidFill>
                          <w14:schemeClr w14:val="tx1"/>
                        </w14:solidFill>
                      </w14:textFill>
                    </w:rPr>
                    <w:t>新建、改建、扩建</w:t>
                  </w:r>
                  <w:r>
                    <w:rPr>
                      <w:rFonts w:hint="eastAsia"/>
                      <w:color w:val="000000" w:themeColor="text1"/>
                      <w:sz w:val="21"/>
                      <w:szCs w:val="21"/>
                      <w:highlight w:val="none"/>
                      <w:lang w:val="en-US" w:eastAsia="zh-CN"/>
                      <w14:textFill>
                        <w14:solidFill>
                          <w14:schemeClr w14:val="tx1"/>
                        </w14:solidFill>
                      </w14:textFill>
                    </w:rPr>
                    <w:t>的</w:t>
                  </w:r>
                  <w:r>
                    <w:rPr>
                      <w:rFonts w:hint="default"/>
                      <w:color w:val="000000" w:themeColor="text1"/>
                      <w:sz w:val="21"/>
                      <w:szCs w:val="21"/>
                      <w:highlight w:val="none"/>
                      <w14:textFill>
                        <w14:solidFill>
                          <w14:schemeClr w14:val="tx1"/>
                        </w14:solidFill>
                      </w14:textFill>
                    </w:rPr>
                    <w:t>经营性陵园、公墓</w:t>
                  </w:r>
                </w:p>
              </w:tc>
              <w:tc>
                <w:tcPr>
                  <w:tcW w:w="391" w:type="pct"/>
                  <w:vAlign w:val="center"/>
                </w:tcPr>
                <w:p w14:paraId="41CA41BC">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p>
              </w:tc>
            </w:tr>
            <w:tr w14:paraId="2016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4"/>
                  <w:vAlign w:val="center"/>
                </w:tcPr>
                <w:p w14:paraId="6900803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highlight w:val="none"/>
                      <w:shd w:val="clear" w:fill="FFFFFF"/>
                      <w14:textFill>
                        <w14:solidFill>
                          <w14:schemeClr w14:val="tx1"/>
                        </w14:solidFill>
                      </w14:textFill>
                    </w:rPr>
                    <w:t>第三十四条</w:t>
                  </w:r>
                  <w:r>
                    <w:rPr>
                      <w:rFonts w:hint="eastAsia" w:ascii="Times New Roman" w:hAnsi="Times New Roman" w:eastAsia="宋体" w:cs="Times New Roman"/>
                      <w:i w:val="0"/>
                      <w:iCs w:val="0"/>
                      <w:caps w:val="0"/>
                      <w:color w:val="000000" w:themeColor="text1"/>
                      <w:spacing w:val="0"/>
                      <w:sz w:val="21"/>
                      <w:szCs w:val="21"/>
                      <w:highlight w:val="none"/>
                      <w:shd w:val="clear" w:fill="FFFFFF"/>
                      <w:lang w:val="en-US" w:eastAsia="zh-CN"/>
                      <w14:textFill>
                        <w14:solidFill>
                          <w14:schemeClr w14:val="tx1"/>
                        </w14:solidFill>
                      </w14:textFill>
                    </w:rPr>
                    <w:t xml:space="preserve">  </w:t>
                  </w:r>
                  <w:r>
                    <w:rPr>
                      <w:rFonts w:hint="default" w:ascii="Times New Roman" w:hAnsi="Times New Roman" w:eastAsia="宋体" w:cs="Times New Roman"/>
                      <w:i w:val="0"/>
                      <w:iCs w:val="0"/>
                      <w:caps w:val="0"/>
                      <w:color w:val="000000" w:themeColor="text1"/>
                      <w:spacing w:val="0"/>
                      <w:sz w:val="21"/>
                      <w:szCs w:val="21"/>
                      <w:highlight w:val="none"/>
                      <w:shd w:val="clear" w:fill="FFFFFF"/>
                      <w14:textFill>
                        <w14:solidFill>
                          <w14:schemeClr w14:val="tx1"/>
                        </w14:solidFill>
                      </w14:textFill>
                    </w:rPr>
                    <w:t>水源保护核心区内除重点污染控制区、重点水源涵养区禁止的行为外，还禁止下列行为：</w:t>
                  </w:r>
                </w:p>
              </w:tc>
            </w:tr>
            <w:tr w14:paraId="7E42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42A0AC17">
                  <w:pPr>
                    <w:pStyle w:val="17"/>
                    <w:keepNext w:val="0"/>
                    <w:keepLines w:val="0"/>
                    <w:suppressLineNumbers w:val="0"/>
                    <w:spacing w:beforeAutospacing="0" w:afterAutospacing="0"/>
                    <w:ind w:left="0"/>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722" w:type="pct"/>
                  <w:vAlign w:val="center"/>
                </w:tcPr>
                <w:p w14:paraId="4FCF0C2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（一）新建、改建、扩建排污口；</w:t>
                  </w:r>
                </w:p>
              </w:tc>
              <w:tc>
                <w:tcPr>
                  <w:tcW w:w="2552" w:type="pct"/>
                  <w:vAlign w:val="center"/>
                </w:tcPr>
                <w:p w14:paraId="168BBAC7">
                  <w:pPr>
                    <w:keepNext w:val="0"/>
                    <w:keepLines w:val="0"/>
                    <w:suppressLineNumbers w:val="0"/>
                    <w:spacing w:before="0" w:beforeAutospacing="0" w:after="0" w:afterAutospacing="0"/>
                    <w:ind w:left="0" w:right="0"/>
                    <w:jc w:val="center"/>
                    <w:rPr>
                      <w:rFonts w:hint="eastAsia"/>
                      <w:color w:val="000000" w:themeColor="text1"/>
                      <w:sz w:val="21"/>
                      <w:szCs w:val="21"/>
                      <w:highlight w:val="none"/>
                      <w14:textFill>
                        <w14:solidFill>
                          <w14:schemeClr w14:val="tx1"/>
                        </w14:solidFill>
                      </w14:textFill>
                    </w:rPr>
                  </w:pPr>
                </w:p>
              </w:tc>
              <w:tc>
                <w:tcPr>
                  <w:tcW w:w="391" w:type="pct"/>
                  <w:vAlign w:val="center"/>
                </w:tcPr>
                <w:p w14:paraId="328241C1">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p>
              </w:tc>
            </w:tr>
            <w:tr w14:paraId="0252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163C6FBD">
                  <w:pPr>
                    <w:pStyle w:val="17"/>
                    <w:keepNext w:val="0"/>
                    <w:keepLines w:val="0"/>
                    <w:suppressLineNumbers w:val="0"/>
                    <w:spacing w:beforeAutospacing="0" w:afterAutospacing="0"/>
                    <w:ind w:left="0"/>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722" w:type="pct"/>
                  <w:vAlign w:val="center"/>
                </w:tcPr>
                <w:p w14:paraId="3073292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（二）围河造地、围垦</w:t>
                  </w:r>
                  <w:r>
                    <w:rPr>
                      <w:rFonts w:hint="eastAsia" w:ascii="宋体" w:hAnsi="宋体" w:eastAsia="宋体" w:cs="宋体"/>
                      <w:color w:val="000000" w:themeColor="text1"/>
                      <w:sz w:val="21"/>
                      <w:szCs w:val="21"/>
                      <w:highlight w:val="none"/>
                      <w:lang w:val="en-US" w:eastAsia="zh-CN"/>
                      <w14:textFill>
                        <w14:solidFill>
                          <w14:schemeClr w14:val="tx1"/>
                        </w14:solidFill>
                      </w14:textFill>
                    </w:rPr>
                    <w:t>河道</w:t>
                  </w: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w:t>
                  </w:r>
                </w:p>
              </w:tc>
              <w:tc>
                <w:tcPr>
                  <w:tcW w:w="2552" w:type="pct"/>
                  <w:vAlign w:val="center"/>
                </w:tcPr>
                <w:p w14:paraId="2486F49B">
                  <w:pPr>
                    <w:keepNext w:val="0"/>
                    <w:keepLines w:val="0"/>
                    <w:suppressLineNumbers w:val="0"/>
                    <w:spacing w:before="0" w:beforeAutospacing="0" w:after="0" w:afterAutospacing="0"/>
                    <w:ind w:left="0" w:right="0"/>
                    <w:jc w:val="center"/>
                    <w:rPr>
                      <w:rFonts w:hint="eastAsia"/>
                      <w:color w:val="000000" w:themeColor="text1"/>
                      <w:sz w:val="21"/>
                      <w:szCs w:val="21"/>
                      <w:highlight w:val="none"/>
                      <w14:textFill>
                        <w14:solidFill>
                          <w14:schemeClr w14:val="tx1"/>
                        </w14:solidFill>
                      </w14:textFill>
                    </w:rPr>
                  </w:pPr>
                </w:p>
              </w:tc>
              <w:tc>
                <w:tcPr>
                  <w:tcW w:w="391" w:type="pct"/>
                  <w:vAlign w:val="center"/>
                </w:tcPr>
                <w:p w14:paraId="4F1EC483">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p>
              </w:tc>
            </w:tr>
            <w:tr w14:paraId="2DB4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5FBF2BC6">
                  <w:pPr>
                    <w:pStyle w:val="17"/>
                    <w:keepNext w:val="0"/>
                    <w:keepLines w:val="0"/>
                    <w:suppressLineNumbers w:val="0"/>
                    <w:spacing w:beforeAutospacing="0" w:afterAutospacing="0"/>
                    <w:ind w:left="0"/>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1722" w:type="pct"/>
                  <w:vAlign w:val="center"/>
                </w:tcPr>
                <w:p w14:paraId="2BA7C37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（三）围堰、围网、网箱养殖；</w:t>
                  </w:r>
                </w:p>
              </w:tc>
              <w:tc>
                <w:tcPr>
                  <w:tcW w:w="2552" w:type="pct"/>
                  <w:vAlign w:val="center"/>
                </w:tcPr>
                <w:p w14:paraId="4E22F7EE">
                  <w:pPr>
                    <w:keepNext w:val="0"/>
                    <w:keepLines w:val="0"/>
                    <w:suppressLineNumbers w:val="0"/>
                    <w:spacing w:before="0" w:beforeAutospacing="0" w:after="0" w:afterAutospacing="0"/>
                    <w:ind w:left="0" w:right="0"/>
                    <w:jc w:val="center"/>
                    <w:rPr>
                      <w:rFonts w:hint="eastAsia"/>
                      <w:color w:val="000000" w:themeColor="text1"/>
                      <w:sz w:val="21"/>
                      <w:szCs w:val="21"/>
                      <w:highlight w:val="none"/>
                      <w14:textFill>
                        <w14:solidFill>
                          <w14:schemeClr w14:val="tx1"/>
                        </w14:solidFill>
                      </w14:textFill>
                    </w:rPr>
                  </w:pPr>
                </w:p>
              </w:tc>
              <w:tc>
                <w:tcPr>
                  <w:tcW w:w="391" w:type="pct"/>
                  <w:vAlign w:val="center"/>
                </w:tcPr>
                <w:p w14:paraId="741C5264">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p>
              </w:tc>
            </w:tr>
            <w:tr w14:paraId="446B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3D9B2D76">
                  <w:pPr>
                    <w:pStyle w:val="17"/>
                    <w:keepNext w:val="0"/>
                    <w:keepLines w:val="0"/>
                    <w:suppressLineNumbers w:val="0"/>
                    <w:spacing w:beforeAutospacing="0" w:afterAutospacing="0"/>
                    <w:ind w:left="0"/>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1722" w:type="pct"/>
                  <w:vAlign w:val="center"/>
                </w:tcPr>
                <w:p w14:paraId="79B4626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（四）规模化畜禽养殖；</w:t>
                  </w:r>
                </w:p>
              </w:tc>
              <w:tc>
                <w:tcPr>
                  <w:tcW w:w="2552" w:type="pct"/>
                  <w:vAlign w:val="center"/>
                </w:tcPr>
                <w:p w14:paraId="4CB03406">
                  <w:pPr>
                    <w:keepNext w:val="0"/>
                    <w:keepLines w:val="0"/>
                    <w:suppressLineNumbers w:val="0"/>
                    <w:spacing w:before="0" w:beforeAutospacing="0" w:after="0" w:afterAutospacing="0"/>
                    <w:ind w:left="0" w:right="0"/>
                    <w:jc w:val="center"/>
                    <w:rPr>
                      <w:rFonts w:hint="eastAsia"/>
                      <w:color w:val="000000" w:themeColor="text1"/>
                      <w:sz w:val="21"/>
                      <w:szCs w:val="21"/>
                      <w:highlight w:val="none"/>
                      <w14:textFill>
                        <w14:solidFill>
                          <w14:schemeClr w14:val="tx1"/>
                        </w14:solidFill>
                      </w14:textFill>
                    </w:rPr>
                  </w:pPr>
                </w:p>
              </w:tc>
              <w:tc>
                <w:tcPr>
                  <w:tcW w:w="391" w:type="pct"/>
                  <w:vAlign w:val="center"/>
                </w:tcPr>
                <w:p w14:paraId="51C895A5">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p>
              </w:tc>
            </w:tr>
            <w:tr w14:paraId="29E0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4B18AD93">
                  <w:pPr>
                    <w:pStyle w:val="17"/>
                    <w:keepNext w:val="0"/>
                    <w:keepLines w:val="0"/>
                    <w:suppressLineNumbers w:val="0"/>
                    <w:spacing w:beforeAutospacing="0" w:afterAutospacing="0"/>
                    <w:ind w:left="0"/>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1722" w:type="pct"/>
                  <w:vAlign w:val="center"/>
                </w:tcPr>
                <w:p w14:paraId="6ECCC46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（五）损毁水利、水文、科研、气象、测量、环境监测等设施设备；</w:t>
                  </w:r>
                </w:p>
              </w:tc>
              <w:tc>
                <w:tcPr>
                  <w:tcW w:w="2552" w:type="pct"/>
                  <w:vAlign w:val="center"/>
                </w:tcPr>
                <w:p w14:paraId="6C9FB5FE">
                  <w:pPr>
                    <w:keepNext w:val="0"/>
                    <w:keepLines w:val="0"/>
                    <w:suppressLineNumbers w:val="0"/>
                    <w:spacing w:before="0" w:beforeAutospacing="0" w:after="0" w:afterAutospacing="0"/>
                    <w:ind w:left="0" w:right="0"/>
                    <w:jc w:val="center"/>
                    <w:rPr>
                      <w:rFonts w:hint="eastAsia"/>
                      <w:color w:val="000000" w:themeColor="text1"/>
                      <w:sz w:val="21"/>
                      <w:szCs w:val="21"/>
                      <w:highlight w:val="none"/>
                      <w14:textFill>
                        <w14:solidFill>
                          <w14:schemeClr w14:val="tx1"/>
                        </w14:solidFill>
                      </w14:textFill>
                    </w:rPr>
                  </w:pPr>
                </w:p>
              </w:tc>
              <w:tc>
                <w:tcPr>
                  <w:tcW w:w="391" w:type="pct"/>
                  <w:vAlign w:val="center"/>
                </w:tcPr>
                <w:p w14:paraId="17EA10B6">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p>
              </w:tc>
            </w:tr>
            <w:tr w14:paraId="61BA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 w:type="pct"/>
                  <w:vAlign w:val="center"/>
                </w:tcPr>
                <w:p w14:paraId="396E20DD">
                  <w:pPr>
                    <w:pStyle w:val="17"/>
                    <w:keepNext w:val="0"/>
                    <w:keepLines w:val="0"/>
                    <w:suppressLineNumbers w:val="0"/>
                    <w:spacing w:beforeAutospacing="0" w:afterAutospacing="0"/>
                    <w:ind w:left="0"/>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1722" w:type="pct"/>
                  <w:vAlign w:val="center"/>
                </w:tcPr>
                <w:p w14:paraId="7DCC37F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（六）挖砂、采石、取土、采矿</w:t>
                  </w:r>
                </w:p>
              </w:tc>
              <w:tc>
                <w:tcPr>
                  <w:tcW w:w="2552" w:type="pct"/>
                  <w:vAlign w:val="center"/>
                </w:tcPr>
                <w:p w14:paraId="23E2CDF1">
                  <w:pPr>
                    <w:keepNext w:val="0"/>
                    <w:keepLines w:val="0"/>
                    <w:suppressLineNumbers w:val="0"/>
                    <w:spacing w:before="0" w:beforeAutospacing="0" w:after="0" w:afterAutospacing="0"/>
                    <w:ind w:left="0" w:right="0"/>
                    <w:jc w:val="center"/>
                    <w:rPr>
                      <w:rFonts w:hint="eastAsia"/>
                      <w:color w:val="000000" w:themeColor="text1"/>
                      <w:sz w:val="21"/>
                      <w:szCs w:val="21"/>
                      <w:highlight w:val="none"/>
                      <w14:textFill>
                        <w14:solidFill>
                          <w14:schemeClr w14:val="tx1"/>
                        </w14:solidFill>
                      </w14:textFill>
                    </w:rPr>
                  </w:pPr>
                </w:p>
              </w:tc>
              <w:tc>
                <w:tcPr>
                  <w:tcW w:w="391" w:type="pct"/>
                  <w:vAlign w:val="center"/>
                </w:tcPr>
                <w:p w14:paraId="61EA7D84">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p>
              </w:tc>
            </w:tr>
          </w:tbl>
          <w:p w14:paraId="504F9092">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综上所述，项目选址及运营符合《云南省牛栏江保护条例》中的相关要求。</w:t>
            </w:r>
          </w:p>
          <w:p w14:paraId="781122CF">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4</w:t>
            </w:r>
            <w:r>
              <w:rPr>
                <w:rFonts w:hint="eastAsia"/>
                <w:b/>
                <w:bCs/>
                <w:color w:val="000000" w:themeColor="text1"/>
                <w:sz w:val="24"/>
                <w:szCs w:val="20"/>
                <w:highlight w:val="none"/>
                <w:lang w:val="en-US" w:eastAsia="zh-CN"/>
                <w14:textFill>
                  <w14:solidFill>
                    <w14:schemeClr w14:val="tx1"/>
                  </w14:solidFill>
                </w14:textFill>
              </w:rPr>
              <w:t>.</w:t>
            </w:r>
            <w:r>
              <w:rPr>
                <w:rFonts w:hint="default"/>
                <w:b/>
                <w:bCs/>
                <w:color w:val="000000" w:themeColor="text1"/>
                <w:sz w:val="24"/>
                <w:szCs w:val="20"/>
                <w:highlight w:val="none"/>
                <w14:textFill>
                  <w14:solidFill>
                    <w14:schemeClr w14:val="tx1"/>
                  </w14:solidFill>
                </w14:textFill>
              </w:rPr>
              <w:t>与《牛栏江流域（云南部分）水环境保护规划（2009~2030）》的相符性分析</w:t>
            </w:r>
          </w:p>
          <w:p w14:paraId="74648714">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根据《牛栏江流域（云南部分）水环境保护规划（2009~2030）》，牛栏江流域（云南段）水环境保护划分为两大控制区，即牛栏江上游（德泽水库坝址以上）重点保护区、牛栏江下游生态与环境保护区。其中牛栏江上游（德泽水库坝址以上）重点保护区包括水源保护核心区、重点污染控制区、水源涵养区。水源保护核心区包括牛栏江干流水面，河岸外围陆域1000米范围；德泽水库水面，库岸外围陆域2000m范围。涉及乡镇主要有牛栏江镇、</w:t>
            </w:r>
            <w:r>
              <w:rPr>
                <w:rFonts w:hint="eastAsia"/>
                <w:color w:val="000000" w:themeColor="text1"/>
                <w:sz w:val="24"/>
                <w:szCs w:val="20"/>
                <w:highlight w:val="none"/>
                <w:lang w:eastAsia="zh-CN"/>
                <w14:textFill>
                  <w14:solidFill>
                    <w14:schemeClr w14:val="tx1"/>
                  </w14:solidFill>
                </w14:textFill>
              </w:rPr>
              <w:t>塘子街道</w:t>
            </w:r>
            <w:r>
              <w:rPr>
                <w:rFonts w:hint="default"/>
                <w:color w:val="000000" w:themeColor="text1"/>
                <w:sz w:val="24"/>
                <w:szCs w:val="20"/>
                <w:highlight w:val="none"/>
                <w14:textFill>
                  <w14:solidFill>
                    <w14:schemeClr w14:val="tx1"/>
                  </w14:solidFill>
                </w14:textFill>
              </w:rPr>
              <w:t>、河口乡、七星乡、德泽乡，面积为625.3km</w:t>
            </w:r>
            <w:r>
              <w:rPr>
                <w:rFonts w:hint="default"/>
                <w:color w:val="000000" w:themeColor="text1"/>
                <w:sz w:val="24"/>
                <w:szCs w:val="20"/>
                <w:highlight w:val="none"/>
                <w:vertAlign w:val="super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，属于重点保护区。重点污染控制区主要是水源保护核心区边界外的坝区。涉及小哨乡、嵩阳镇、小街镇、杨桥乡、羊街镇、金所乡、月望乡、大坡乡、菱角乡、田坝乡十个乡镇，面积1892.56km</w:t>
            </w:r>
            <w:r>
              <w:rPr>
                <w:rFonts w:hint="default"/>
                <w:color w:val="000000" w:themeColor="text1"/>
                <w:sz w:val="24"/>
                <w:szCs w:val="20"/>
                <w:highlight w:val="none"/>
                <w:vertAlign w:val="super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，属于污染重点治理区。水源涵养区包括除水源保护核心区、重点污染控制区以外的山地。涉及杨林镇、仁德镇、通泉镇、王家庄镇、马过河镇、旧县镇六个乡镇，面积1764.16km</w:t>
            </w:r>
            <w:r>
              <w:rPr>
                <w:rFonts w:hint="default"/>
                <w:color w:val="000000" w:themeColor="text1"/>
                <w:sz w:val="24"/>
                <w:szCs w:val="20"/>
                <w:highlight w:val="none"/>
                <w:vertAlign w:val="super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w:t>
            </w:r>
          </w:p>
          <w:p w14:paraId="034BABA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0"/>
                <w:highlight w:val="none"/>
                <w14:textFill>
                  <w14:solidFill>
                    <w14:schemeClr w14:val="tx1"/>
                  </w14:solidFill>
                </w14:textFill>
              </w:rPr>
              <w:t>项目位于</w:t>
            </w:r>
            <w:r>
              <w:rPr>
                <w:rFonts w:hint="eastAsia" w:ascii="Times New Roman" w:hAnsi="Times New Roman" w:eastAsia="宋体" w:cs="Times New Roman"/>
                <w:color w:val="000000" w:themeColor="text1"/>
                <w:sz w:val="24"/>
                <w:szCs w:val="20"/>
                <w:highlight w:val="none"/>
                <w14:textFill>
                  <w14:solidFill>
                    <w14:schemeClr w14:val="tx1"/>
                  </w14:solidFill>
                </w14:textFill>
              </w:rPr>
              <w:t>昆明市寻甸县塘子街道原泰康化工</w:t>
            </w:r>
            <w:r>
              <w:rPr>
                <w:rFonts w:hint="eastAsia" w:cs="Times New Roman"/>
                <w:color w:val="000000" w:themeColor="text1"/>
                <w:sz w:val="24"/>
                <w:szCs w:val="20"/>
                <w:highlight w:val="none"/>
                <w:lang w:val="en-US" w:eastAsia="zh-CN"/>
                <w14:textFill>
                  <w14:solidFill>
                    <w14:schemeClr w14:val="tx1"/>
                  </w14:solidFill>
                </w14:textFill>
              </w:rPr>
              <w:t>厂区内</w:t>
            </w:r>
            <w:r>
              <w:rPr>
                <w:rFonts w:hint="default" w:ascii="Times New Roman" w:hAnsi="Times New Roman" w:eastAsia="宋体" w:cs="Times New Roman"/>
                <w:color w:val="000000" w:themeColor="text1"/>
                <w:sz w:val="24"/>
                <w:szCs w:val="20"/>
                <w:highlight w:val="none"/>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属于牛栏江德泽水库坝址以上的集水区域，属于牛栏江流域上游保护区，</w:t>
            </w:r>
            <w:r>
              <w:rPr>
                <w:rFonts w:hint="default"/>
                <w:b w:val="0"/>
                <w:bCs w:val="0"/>
                <w:color w:val="000000" w:themeColor="text1"/>
                <w:sz w:val="24"/>
                <w:szCs w:val="24"/>
                <w:highlight w:val="none"/>
                <w14:textFill>
                  <w14:solidFill>
                    <w14:schemeClr w14:val="tx1"/>
                  </w14:solidFill>
                </w14:textFill>
              </w:rPr>
              <w:t>根据牛栏江水系</w:t>
            </w:r>
            <w:r>
              <w:rPr>
                <w:rFonts w:hint="eastAsia"/>
                <w:b w:val="0"/>
                <w:bCs w:val="0"/>
                <w:color w:val="000000" w:themeColor="text1"/>
                <w:sz w:val="24"/>
                <w:szCs w:val="24"/>
                <w:highlight w:val="none"/>
                <w14:textFill>
                  <w14:solidFill>
                    <w14:schemeClr w14:val="tx1"/>
                  </w14:solidFill>
                </w14:textFill>
              </w:rPr>
              <w:t>环境</w:t>
            </w:r>
            <w:r>
              <w:rPr>
                <w:rFonts w:hint="default"/>
                <w:b w:val="0"/>
                <w:bCs w:val="0"/>
                <w:color w:val="000000" w:themeColor="text1"/>
                <w:sz w:val="24"/>
                <w:szCs w:val="24"/>
                <w:highlight w:val="none"/>
                <w14:textFill>
                  <w14:solidFill>
                    <w14:schemeClr w14:val="tx1"/>
                  </w14:solidFill>
                </w14:textFill>
              </w:rPr>
              <w:t>规划图</w:t>
            </w:r>
            <w:r>
              <w:rPr>
                <w:rFonts w:hint="eastAsia"/>
                <w:b w:val="0"/>
                <w:bCs w:val="0"/>
                <w:color w:val="000000" w:themeColor="text1"/>
                <w:sz w:val="24"/>
                <w:szCs w:val="24"/>
                <w:highlight w:val="none"/>
                <w:lang w:val="en-US" w:eastAsia="zh-CN"/>
                <w14:textFill>
                  <w14:solidFill>
                    <w14:schemeClr w14:val="tx1"/>
                  </w14:solidFill>
                </w14:textFill>
              </w:rPr>
              <w:t>叠图</w:t>
            </w:r>
            <w:r>
              <w:rPr>
                <w:rFonts w:hint="default"/>
                <w:b w:val="0"/>
                <w:bCs w:val="0"/>
                <w:color w:val="000000" w:themeColor="text1"/>
                <w:sz w:val="24"/>
                <w:szCs w:val="24"/>
                <w:highlight w:val="none"/>
                <w14:textFill>
                  <w14:solidFill>
                    <w14:schemeClr w14:val="tx1"/>
                  </w14:solidFill>
                </w14:textFill>
              </w:rPr>
              <w:t>可知</w:t>
            </w:r>
            <w:r>
              <w:rPr>
                <w:rFonts w:hint="eastAsia"/>
                <w:b w:val="0"/>
                <w:bCs w:val="0"/>
                <w:color w:val="000000" w:themeColor="text1"/>
                <w:sz w:val="24"/>
                <w:szCs w:val="24"/>
                <w:highlight w:val="none"/>
                <w:lang w:eastAsia="zh-CN"/>
                <w14:textFill>
                  <w14:solidFill>
                    <w14:schemeClr w14:val="tx1"/>
                  </w14:solidFill>
                </w14:textFill>
              </w:rPr>
              <w:t>，</w:t>
            </w:r>
            <w:r>
              <w:rPr>
                <w:rFonts w:hint="default"/>
                <w:b w:val="0"/>
                <w:bCs w:val="0"/>
                <w:color w:val="000000" w:themeColor="text1"/>
                <w:sz w:val="24"/>
                <w:szCs w:val="24"/>
                <w:highlight w:val="none"/>
                <w14:textFill>
                  <w14:solidFill>
                    <w14:schemeClr w14:val="tx1"/>
                  </w14:solidFill>
                </w14:textFill>
              </w:rPr>
              <w:t>本项目</w:t>
            </w:r>
            <w:r>
              <w:rPr>
                <w:rFonts w:hint="eastAsia"/>
                <w:b w:val="0"/>
                <w:bCs w:val="0"/>
                <w:color w:val="000000" w:themeColor="text1"/>
                <w:sz w:val="24"/>
                <w:szCs w:val="24"/>
                <w:highlight w:val="none"/>
                <w:lang w:val="en-US" w:eastAsia="zh-CN"/>
                <w14:textFill>
                  <w14:solidFill>
                    <w14:schemeClr w14:val="tx1"/>
                  </w14:solidFill>
                </w14:textFill>
              </w:rPr>
              <w:t>厂界距离牛栏江最近距离为869m，</w:t>
            </w:r>
            <w:r>
              <w:rPr>
                <w:rFonts w:hint="default"/>
                <w:b w:val="0"/>
                <w:bCs w:val="0"/>
                <w:color w:val="000000" w:themeColor="text1"/>
                <w:sz w:val="24"/>
                <w:szCs w:val="24"/>
                <w:highlight w:val="none"/>
                <w14:textFill>
                  <w14:solidFill>
                    <w14:schemeClr w14:val="tx1"/>
                  </w14:solidFill>
                </w14:textFill>
              </w:rPr>
              <w:t>属于《云南省牛栏江保护条例》中的</w:t>
            </w:r>
            <w:r>
              <w:rPr>
                <w:rFonts w:hint="eastAsia"/>
                <w:b w:val="0"/>
                <w:bCs w:val="0"/>
                <w:color w:val="000000" w:themeColor="text1"/>
                <w:sz w:val="24"/>
                <w:szCs w:val="24"/>
                <w:highlight w:val="none"/>
                <w:lang w:val="en-US" w:eastAsia="zh-CN"/>
                <w14:textFill>
                  <w14:solidFill>
                    <w14:schemeClr w14:val="tx1"/>
                  </w14:solidFill>
                </w14:textFill>
              </w:rPr>
              <w:t>水源保护核心区</w:t>
            </w:r>
            <w:r>
              <w:rPr>
                <w:rFonts w:hint="default"/>
                <w:b w:val="0"/>
                <w:bCs w:val="0"/>
                <w:color w:val="000000" w:themeColor="text1"/>
                <w:sz w:val="24"/>
                <w:szCs w:val="24"/>
                <w:highlight w:val="none"/>
                <w14:textFill>
                  <w14:solidFill>
                    <w14:schemeClr w14:val="tx1"/>
                  </w14:solidFill>
                </w14:textFill>
              </w:rPr>
              <w:t>（附图</w:t>
            </w:r>
            <w:r>
              <w:rPr>
                <w:rFonts w:hint="eastAsia"/>
                <w:b w:val="0"/>
                <w:bCs w:val="0"/>
                <w:color w:val="000000" w:themeColor="text1"/>
                <w:sz w:val="24"/>
                <w:szCs w:val="24"/>
                <w:highlight w:val="none"/>
                <w14:textFill>
                  <w14:solidFill>
                    <w14:schemeClr w14:val="tx1"/>
                  </w14:solidFill>
                </w14:textFill>
              </w:rPr>
              <w:t>6</w:t>
            </w:r>
            <w:r>
              <w:rPr>
                <w:rFonts w:hint="default"/>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0"/>
                <w:highlight w:val="none"/>
                <w14:textFill>
                  <w14:solidFill>
                    <w14:schemeClr w14:val="tx1"/>
                  </w14:solidFill>
                </w14:textFill>
              </w:rPr>
              <w:t>：</w:t>
            </w:r>
          </w:p>
          <w:p w14:paraId="1322E5B1">
            <w:pPr>
              <w:keepNext w:val="0"/>
              <w:keepLines w:val="0"/>
              <w:suppressLineNumbers w:val="0"/>
              <w:spacing w:before="0" w:beforeAutospacing="0" w:after="0" w:afterAutospacing="0" w:line="360" w:lineRule="auto"/>
              <w:ind w:left="0" w:right="0" w:firstLine="482" w:firstLineChars="200"/>
              <w:rPr>
                <w:rFonts w:hint="default"/>
                <w:color w:val="000000" w:themeColor="text1"/>
                <w:sz w:val="24"/>
                <w:szCs w:val="20"/>
                <w:highlight w:val="none"/>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表1-</w:t>
            </w:r>
            <w:r>
              <w:rPr>
                <w:rFonts w:hint="eastAsia"/>
                <w:b/>
                <w:bCs/>
                <w:color w:val="000000" w:themeColor="text1"/>
                <w:sz w:val="24"/>
                <w:szCs w:val="20"/>
                <w:highlight w:val="none"/>
                <w:lang w:val="en-US" w:eastAsia="zh-CN"/>
                <w14:textFill>
                  <w14:solidFill>
                    <w14:schemeClr w14:val="tx1"/>
                  </w14:solidFill>
                </w14:textFill>
              </w:rPr>
              <w:t>5</w:t>
            </w:r>
            <w:r>
              <w:rPr>
                <w:rFonts w:hint="default"/>
                <w:b/>
                <w:bCs/>
                <w:color w:val="000000" w:themeColor="text1"/>
                <w:sz w:val="24"/>
                <w:szCs w:val="20"/>
                <w:highlight w:val="none"/>
                <w14:textFill>
                  <w14:solidFill>
                    <w14:schemeClr w14:val="tx1"/>
                  </w14:solidFill>
                </w14:textFill>
              </w:rPr>
              <w:t xml:space="preserve">  项目选址与《</w:t>
            </w:r>
            <w:r>
              <w:rPr>
                <w:rFonts w:hint="eastAsia"/>
                <w:b/>
                <w:bCs/>
                <w:color w:val="000000" w:themeColor="text1"/>
                <w:sz w:val="24"/>
                <w:szCs w:val="20"/>
                <w:highlight w:val="none"/>
                <w14:textFill>
                  <w14:solidFill>
                    <w14:schemeClr w14:val="tx1"/>
                  </w14:solidFill>
                </w14:textFill>
              </w:rPr>
              <w:t>牛栏江流域（云南部分）水环境保护规划（2009~2030）</w:t>
            </w:r>
            <w:r>
              <w:rPr>
                <w:rFonts w:hint="default"/>
                <w:b/>
                <w:bCs/>
                <w:color w:val="000000" w:themeColor="text1"/>
                <w:sz w:val="24"/>
                <w:szCs w:val="20"/>
                <w:highlight w:val="none"/>
                <w14:textFill>
                  <w14:solidFill>
                    <w14:schemeClr w14:val="tx1"/>
                  </w14:solidFill>
                </w14:textFill>
              </w:rPr>
              <w:t>》对照分析</w:t>
            </w:r>
          </w:p>
          <w:tbl>
            <w:tblPr>
              <w:tblStyle w:val="4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3301"/>
              <w:gridCol w:w="3520"/>
              <w:gridCol w:w="813"/>
            </w:tblGrid>
            <w:tr w14:paraId="1129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9" w:type="pct"/>
                  <w:vAlign w:val="center"/>
                </w:tcPr>
                <w:p w14:paraId="55A75CFB">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序号</w:t>
                  </w:r>
                </w:p>
              </w:tc>
              <w:tc>
                <w:tcPr>
                  <w:tcW w:w="2015" w:type="pct"/>
                  <w:vAlign w:val="center"/>
                </w:tcPr>
                <w:p w14:paraId="20BF9DB9">
                  <w:pPr>
                    <w:keepNext w:val="0"/>
                    <w:keepLines w:val="0"/>
                    <w:suppressLineNumbers w:val="0"/>
                    <w:adjustRightInd w:val="0"/>
                    <w:snapToGrid w:val="0"/>
                    <w:spacing w:before="0" w:beforeAutospacing="0" w:after="0" w:afterAutospacing="0"/>
                    <w:ind w:left="0" w:right="0"/>
                    <w:jc w:val="center"/>
                    <w:rPr>
                      <w:rFonts w:hint="eastAsia" w:eastAsia="宋体"/>
                      <w:b/>
                      <w:bCs/>
                      <w:color w:val="000000" w:themeColor="text1"/>
                      <w:sz w:val="21"/>
                      <w:szCs w:val="21"/>
                      <w:highlight w:val="none"/>
                      <w:lang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文件要求</w:t>
                  </w:r>
                </w:p>
              </w:tc>
              <w:tc>
                <w:tcPr>
                  <w:tcW w:w="2149" w:type="pct"/>
                  <w:vAlign w:val="center"/>
                </w:tcPr>
                <w:p w14:paraId="1ECFFDE0">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本项目实际情况</w:t>
                  </w:r>
                </w:p>
              </w:tc>
              <w:tc>
                <w:tcPr>
                  <w:tcW w:w="496" w:type="pct"/>
                  <w:vAlign w:val="center"/>
                </w:tcPr>
                <w:p w14:paraId="68A73293">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符合性</w:t>
                  </w:r>
                </w:p>
              </w:tc>
            </w:tr>
            <w:tr w14:paraId="0665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39" w:type="pct"/>
                  <w:vAlign w:val="center"/>
                </w:tcPr>
                <w:p w14:paraId="1DD3759C">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w:t>
                  </w:r>
                </w:p>
              </w:tc>
              <w:tc>
                <w:tcPr>
                  <w:tcW w:w="2015" w:type="pct"/>
                  <w:vAlign w:val="center"/>
                </w:tcPr>
                <w:p w14:paraId="336BA132">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水源保护核心区环境保护策略：禁止新增排污口，逐步取消现有排污口，加大城镇污染治理力度，污水处理厂实施深度处理；加强农业农村面源污染防治，大力削减农业农村污染负荷；加快防护林体系建设，构建德泽水库与河流的生态防护廊道；加强环境管理，提高环境监测能力和管理水平。</w:t>
                  </w:r>
                </w:p>
              </w:tc>
              <w:tc>
                <w:tcPr>
                  <w:tcW w:w="2149" w:type="pct"/>
                  <w:vAlign w:val="center"/>
                </w:tcPr>
                <w:p w14:paraId="1C5B4849">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项目不设排污口</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本项目废水均经收集后回用，不外排。</w:t>
                  </w:r>
                </w:p>
              </w:tc>
              <w:tc>
                <w:tcPr>
                  <w:tcW w:w="496" w:type="pct"/>
                  <w:vAlign w:val="center"/>
                </w:tcPr>
                <w:p w14:paraId="6D8F7420">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4DEE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339" w:type="pct"/>
                  <w:vAlign w:val="center"/>
                </w:tcPr>
                <w:p w14:paraId="3FE8A2EB">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2015" w:type="pct"/>
                  <w:vAlign w:val="center"/>
                </w:tcPr>
                <w:p w14:paraId="4C7F3BB2">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在水源保护核心区逐步搬迁、禁止、限批养殖业项目，减少农业污染。</w:t>
                  </w:r>
                </w:p>
              </w:tc>
              <w:tc>
                <w:tcPr>
                  <w:tcW w:w="2149" w:type="pct"/>
                  <w:vAlign w:val="center"/>
                </w:tcPr>
                <w:p w14:paraId="5A0DE228">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项目不属于养殖项目。</w:t>
                  </w:r>
                </w:p>
              </w:tc>
              <w:tc>
                <w:tcPr>
                  <w:tcW w:w="496" w:type="pct"/>
                  <w:vAlign w:val="center"/>
                </w:tcPr>
                <w:p w14:paraId="21EDDAF6">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07F0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339" w:type="pct"/>
                  <w:vAlign w:val="center"/>
                </w:tcPr>
                <w:p w14:paraId="70CEBA2C">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2015" w:type="pct"/>
                  <w:vAlign w:val="center"/>
                </w:tcPr>
                <w:p w14:paraId="024F0A8C">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禁止在饮用水水源一、二级保护区内设置排污口，加强水源地的保护和建设。</w:t>
                  </w:r>
                </w:p>
              </w:tc>
              <w:tc>
                <w:tcPr>
                  <w:tcW w:w="2149" w:type="pct"/>
                  <w:vAlign w:val="center"/>
                </w:tcPr>
                <w:p w14:paraId="5ACFA5C1">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项目不在饮用水水源一、二级保护区内，项目不设排污口。</w:t>
                  </w:r>
                </w:p>
              </w:tc>
              <w:tc>
                <w:tcPr>
                  <w:tcW w:w="496" w:type="pct"/>
                  <w:vAlign w:val="center"/>
                </w:tcPr>
                <w:p w14:paraId="40A6B79D">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5104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339" w:type="pct"/>
                  <w:vAlign w:val="center"/>
                </w:tcPr>
                <w:p w14:paraId="43832BC0">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2015" w:type="pct"/>
                  <w:vAlign w:val="center"/>
                </w:tcPr>
                <w:p w14:paraId="400A3FB7">
                  <w:pPr>
                    <w:keepNext w:val="0"/>
                    <w:keepLines w:val="0"/>
                    <w:suppressLineNumbers w:val="0"/>
                    <w:adjustRightInd w:val="0"/>
                    <w:snapToGrid w:val="0"/>
                    <w:spacing w:before="0" w:beforeAutospacing="0" w:after="0" w:afterAutospacing="0"/>
                    <w:ind w:left="0" w:right="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在调水水源区，制定有利于水环境保护的政策，如企业准入、淘汰政策，禁止使用和销售含磷洗涤用品政策等，鼓励企业迁入工业园区及开展循环经济、低碳经济等，从源头上减少污染物的产生。</w:t>
                  </w:r>
                </w:p>
              </w:tc>
              <w:tc>
                <w:tcPr>
                  <w:tcW w:w="2149" w:type="pct"/>
                  <w:vAlign w:val="center"/>
                </w:tcPr>
                <w:p w14:paraId="4110960E">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项目不使用和销售含磷洗涤用品，项目为固废综合利用，项目实施提高磷石膏综合利用率，减少固废堆存，降低环境风险。</w:t>
                  </w:r>
                </w:p>
              </w:tc>
              <w:tc>
                <w:tcPr>
                  <w:tcW w:w="496" w:type="pct"/>
                  <w:vAlign w:val="center"/>
                </w:tcPr>
                <w:p w14:paraId="7819D85D">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符合</w:t>
                  </w:r>
                </w:p>
              </w:tc>
            </w:tr>
          </w:tbl>
          <w:p w14:paraId="7396671F">
            <w:pPr>
              <w:pStyle w:val="22"/>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综上所述，项目建设符合《牛栏江流域（云南部分）水环境保护规划（2009~2030）》的相关要求。</w:t>
            </w:r>
          </w:p>
          <w:p w14:paraId="537F66E7">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5</w:t>
            </w:r>
            <w:r>
              <w:rPr>
                <w:rFonts w:hint="eastAsia"/>
                <w:b/>
                <w:bCs/>
                <w:color w:val="000000" w:themeColor="text1"/>
                <w:sz w:val="24"/>
                <w:szCs w:val="20"/>
                <w:highlight w:val="none"/>
                <w:lang w:val="en-US" w:eastAsia="zh-CN"/>
                <w14:textFill>
                  <w14:solidFill>
                    <w14:schemeClr w14:val="tx1"/>
                  </w14:solidFill>
                </w14:textFill>
              </w:rPr>
              <w:t>.</w:t>
            </w:r>
            <w:r>
              <w:rPr>
                <w:rFonts w:hint="eastAsia"/>
                <w:b/>
                <w:bCs/>
                <w:color w:val="000000" w:themeColor="text1"/>
                <w:sz w:val="24"/>
                <w:szCs w:val="20"/>
                <w:highlight w:val="none"/>
                <w14:textFill>
                  <w14:solidFill>
                    <w14:schemeClr w14:val="tx1"/>
                  </w14:solidFill>
                </w14:textFill>
              </w:rPr>
              <w:t>与</w:t>
            </w:r>
            <w:r>
              <w:rPr>
                <w:rFonts w:hint="eastAsia" w:ascii="宋体" w:hAnsi="宋体"/>
                <w:b/>
                <w:color w:val="000000" w:themeColor="text1"/>
                <w:sz w:val="24"/>
                <w:szCs w:val="20"/>
                <w:highlight w:val="none"/>
                <w14:textFill>
                  <w14:solidFill>
                    <w14:schemeClr w14:val="tx1"/>
                  </w14:solidFill>
                </w14:textFill>
              </w:rPr>
              <w:t>《牛栏江流域（昆明段）水环</w:t>
            </w:r>
            <w:r>
              <w:rPr>
                <w:rFonts w:hint="default"/>
                <w:b/>
                <w:color w:val="000000" w:themeColor="text1"/>
                <w:sz w:val="24"/>
                <w:szCs w:val="20"/>
                <w:highlight w:val="none"/>
                <w14:textFill>
                  <w14:solidFill>
                    <w14:schemeClr w14:val="tx1"/>
                  </w14:solidFill>
                </w14:textFill>
              </w:rPr>
              <w:t>境保护规划（</w:t>
            </w:r>
            <w:r>
              <w:rPr>
                <w:rFonts w:hint="default"/>
                <w:b/>
                <w:bCs/>
                <w:color w:val="000000" w:themeColor="text1"/>
                <w:sz w:val="24"/>
                <w:szCs w:val="24"/>
                <w:highlight w:val="none"/>
                <w14:textFill>
                  <w14:solidFill>
                    <w14:schemeClr w14:val="tx1"/>
                  </w14:solidFill>
                </w14:textFill>
              </w:rPr>
              <w:t>20</w:t>
            </w:r>
            <w:r>
              <w:rPr>
                <w:rFonts w:hint="eastAsia"/>
                <w:b/>
                <w:bCs/>
                <w:color w:val="000000" w:themeColor="text1"/>
                <w:sz w:val="24"/>
                <w:szCs w:val="24"/>
                <w:highlight w:val="none"/>
                <w14:textFill>
                  <w14:solidFill>
                    <w14:schemeClr w14:val="tx1"/>
                  </w14:solidFill>
                </w14:textFill>
              </w:rPr>
              <w:t>11</w:t>
            </w:r>
            <w:r>
              <w:rPr>
                <w:rFonts w:hint="default"/>
                <w:b/>
                <w:bCs/>
                <w:color w:val="000000" w:themeColor="text1"/>
                <w:sz w:val="24"/>
                <w:szCs w:val="24"/>
                <w:highlight w:val="none"/>
                <w14:textFill>
                  <w14:solidFill>
                    <w14:schemeClr w14:val="tx1"/>
                  </w14:solidFill>
                </w14:textFill>
              </w:rPr>
              <w:t>~2030</w:t>
            </w:r>
            <w:r>
              <w:rPr>
                <w:rFonts w:hint="default"/>
                <w:b/>
                <w:color w:val="000000" w:themeColor="text1"/>
                <w:sz w:val="24"/>
                <w:szCs w:val="20"/>
                <w:highlight w:val="none"/>
                <w14:textFill>
                  <w14:solidFill>
                    <w14:schemeClr w14:val="tx1"/>
                  </w14:solidFill>
                </w14:textFill>
              </w:rPr>
              <w:t>年）》</w:t>
            </w:r>
            <w:r>
              <w:rPr>
                <w:rFonts w:hint="default"/>
                <w:b/>
                <w:bCs/>
                <w:color w:val="000000" w:themeColor="text1"/>
                <w:sz w:val="24"/>
                <w:szCs w:val="20"/>
                <w:highlight w:val="none"/>
                <w14:textFill>
                  <w14:solidFill>
                    <w14:schemeClr w14:val="tx1"/>
                  </w14:solidFill>
                </w14:textFill>
              </w:rPr>
              <w:t>的相符性分析</w:t>
            </w:r>
          </w:p>
          <w:p w14:paraId="6ED8DA24">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14:textFill>
                  <w14:solidFill>
                    <w14:schemeClr w14:val="tx1"/>
                  </w14:solidFill>
                </w14:textFill>
              </w:rPr>
              <w:t>项目位于</w:t>
            </w:r>
            <w:r>
              <w:rPr>
                <w:rFonts w:hint="eastAsia" w:ascii="Times New Roman" w:hAnsi="Times New Roman" w:eastAsia="宋体" w:cs="Times New Roman"/>
                <w:color w:val="000000" w:themeColor="text1"/>
                <w:sz w:val="24"/>
                <w:szCs w:val="20"/>
                <w:highlight w:val="none"/>
                <w14:textFill>
                  <w14:solidFill>
                    <w14:schemeClr w14:val="tx1"/>
                  </w14:solidFill>
                </w14:textFill>
              </w:rPr>
              <w:t>昆明市寻甸县塘子街道原泰康化工</w:t>
            </w:r>
            <w:r>
              <w:rPr>
                <w:rFonts w:hint="eastAsia" w:cs="Times New Roman"/>
                <w:color w:val="000000" w:themeColor="text1"/>
                <w:sz w:val="24"/>
                <w:szCs w:val="20"/>
                <w:highlight w:val="none"/>
                <w:lang w:val="en-US" w:eastAsia="zh-CN"/>
                <w14:textFill>
                  <w14:solidFill>
                    <w14:schemeClr w14:val="tx1"/>
                  </w14:solidFill>
                </w14:textFill>
              </w:rPr>
              <w:t>厂区内</w:t>
            </w:r>
            <w:r>
              <w:rPr>
                <w:rFonts w:hint="default" w:ascii="Times New Roman" w:hAnsi="Times New Roman" w:eastAsia="宋体" w:cs="Times New Roman"/>
                <w:color w:val="000000" w:themeColor="text1"/>
                <w:sz w:val="24"/>
                <w:szCs w:val="20"/>
                <w:highlight w:val="none"/>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属于牛栏江德泽水库坝址以上的集水区域，属于牛栏江流域上游保护区，</w:t>
            </w:r>
            <w:r>
              <w:rPr>
                <w:rFonts w:hint="default"/>
                <w:b w:val="0"/>
                <w:bCs w:val="0"/>
                <w:color w:val="000000" w:themeColor="text1"/>
                <w:sz w:val="24"/>
                <w:szCs w:val="24"/>
                <w:highlight w:val="none"/>
                <w14:textFill>
                  <w14:solidFill>
                    <w14:schemeClr w14:val="tx1"/>
                  </w14:solidFill>
                </w14:textFill>
              </w:rPr>
              <w:t>根据牛栏江水系</w:t>
            </w:r>
            <w:r>
              <w:rPr>
                <w:rFonts w:hint="eastAsia"/>
                <w:b w:val="0"/>
                <w:bCs w:val="0"/>
                <w:color w:val="000000" w:themeColor="text1"/>
                <w:sz w:val="24"/>
                <w:szCs w:val="24"/>
                <w:highlight w:val="none"/>
                <w14:textFill>
                  <w14:solidFill>
                    <w14:schemeClr w14:val="tx1"/>
                  </w14:solidFill>
                </w14:textFill>
              </w:rPr>
              <w:t>环境</w:t>
            </w:r>
            <w:r>
              <w:rPr>
                <w:rFonts w:hint="default"/>
                <w:b w:val="0"/>
                <w:bCs w:val="0"/>
                <w:color w:val="000000" w:themeColor="text1"/>
                <w:sz w:val="24"/>
                <w:szCs w:val="24"/>
                <w:highlight w:val="none"/>
                <w14:textFill>
                  <w14:solidFill>
                    <w14:schemeClr w14:val="tx1"/>
                  </w14:solidFill>
                </w14:textFill>
              </w:rPr>
              <w:t>规划图</w:t>
            </w:r>
            <w:r>
              <w:rPr>
                <w:rFonts w:hint="eastAsia"/>
                <w:b w:val="0"/>
                <w:bCs w:val="0"/>
                <w:color w:val="000000" w:themeColor="text1"/>
                <w:sz w:val="24"/>
                <w:szCs w:val="24"/>
                <w:highlight w:val="none"/>
                <w:lang w:val="en-US" w:eastAsia="zh-CN"/>
                <w14:textFill>
                  <w14:solidFill>
                    <w14:schemeClr w14:val="tx1"/>
                  </w14:solidFill>
                </w14:textFill>
              </w:rPr>
              <w:t>叠图</w:t>
            </w:r>
            <w:r>
              <w:rPr>
                <w:rFonts w:hint="default"/>
                <w:b w:val="0"/>
                <w:bCs w:val="0"/>
                <w:color w:val="000000" w:themeColor="text1"/>
                <w:sz w:val="24"/>
                <w:szCs w:val="24"/>
                <w:highlight w:val="none"/>
                <w14:textFill>
                  <w14:solidFill>
                    <w14:schemeClr w14:val="tx1"/>
                  </w14:solidFill>
                </w14:textFill>
              </w:rPr>
              <w:t>可知</w:t>
            </w:r>
            <w:r>
              <w:rPr>
                <w:rFonts w:hint="eastAsia"/>
                <w:b w:val="0"/>
                <w:bCs w:val="0"/>
                <w:color w:val="000000" w:themeColor="text1"/>
                <w:sz w:val="24"/>
                <w:szCs w:val="24"/>
                <w:highlight w:val="none"/>
                <w:lang w:eastAsia="zh-CN"/>
                <w14:textFill>
                  <w14:solidFill>
                    <w14:schemeClr w14:val="tx1"/>
                  </w14:solidFill>
                </w14:textFill>
              </w:rPr>
              <w:t>，</w:t>
            </w:r>
            <w:r>
              <w:rPr>
                <w:rFonts w:hint="default"/>
                <w:b w:val="0"/>
                <w:bCs w:val="0"/>
                <w:color w:val="000000" w:themeColor="text1"/>
                <w:sz w:val="24"/>
                <w:szCs w:val="24"/>
                <w:highlight w:val="none"/>
                <w14:textFill>
                  <w14:solidFill>
                    <w14:schemeClr w14:val="tx1"/>
                  </w14:solidFill>
                </w14:textFill>
              </w:rPr>
              <w:t>本项目</w:t>
            </w:r>
            <w:r>
              <w:rPr>
                <w:rFonts w:hint="eastAsia"/>
                <w:b w:val="0"/>
                <w:bCs w:val="0"/>
                <w:color w:val="000000" w:themeColor="text1"/>
                <w:sz w:val="24"/>
                <w:szCs w:val="24"/>
                <w:highlight w:val="none"/>
                <w:lang w:val="en-US" w:eastAsia="zh-CN"/>
                <w14:textFill>
                  <w14:solidFill>
                    <w14:schemeClr w14:val="tx1"/>
                  </w14:solidFill>
                </w14:textFill>
              </w:rPr>
              <w:t>厂界距离牛栏江最近距离为869m，</w:t>
            </w:r>
            <w:r>
              <w:rPr>
                <w:rFonts w:hint="default"/>
                <w:b w:val="0"/>
                <w:bCs w:val="0"/>
                <w:color w:val="000000" w:themeColor="text1"/>
                <w:sz w:val="24"/>
                <w:szCs w:val="24"/>
                <w:highlight w:val="none"/>
                <w14:textFill>
                  <w14:solidFill>
                    <w14:schemeClr w14:val="tx1"/>
                  </w14:solidFill>
                </w14:textFill>
              </w:rPr>
              <w:t>属于《云南省牛栏江保护条例》中的</w:t>
            </w:r>
            <w:r>
              <w:rPr>
                <w:rFonts w:hint="eastAsia"/>
                <w:b w:val="0"/>
                <w:bCs w:val="0"/>
                <w:color w:val="000000" w:themeColor="text1"/>
                <w:sz w:val="24"/>
                <w:szCs w:val="24"/>
                <w:highlight w:val="none"/>
                <w:lang w:val="en-US" w:eastAsia="zh-CN"/>
                <w14:textFill>
                  <w14:solidFill>
                    <w14:schemeClr w14:val="tx1"/>
                  </w14:solidFill>
                </w14:textFill>
              </w:rPr>
              <w:t>水源保护核心区</w:t>
            </w:r>
            <w:r>
              <w:rPr>
                <w:rFonts w:hint="default"/>
                <w:b w:val="0"/>
                <w:bCs w:val="0"/>
                <w:color w:val="000000" w:themeColor="text1"/>
                <w:sz w:val="24"/>
                <w:szCs w:val="24"/>
                <w:highlight w:val="none"/>
                <w14:textFill>
                  <w14:solidFill>
                    <w14:schemeClr w14:val="tx1"/>
                  </w14:solidFill>
                </w14:textFill>
              </w:rPr>
              <w:t>（附图</w:t>
            </w:r>
            <w:r>
              <w:rPr>
                <w:rFonts w:hint="eastAsia"/>
                <w:b w:val="0"/>
                <w:bCs w:val="0"/>
                <w:color w:val="000000" w:themeColor="text1"/>
                <w:sz w:val="24"/>
                <w:szCs w:val="24"/>
                <w:highlight w:val="none"/>
                <w14:textFill>
                  <w14:solidFill>
                    <w14:schemeClr w14:val="tx1"/>
                  </w14:solidFill>
                </w14:textFill>
              </w:rPr>
              <w:t>6</w:t>
            </w:r>
            <w:r>
              <w:rPr>
                <w:rFonts w:hint="default"/>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eastAsia="zh-CN"/>
                <w14:textFill>
                  <w14:solidFill>
                    <w14:schemeClr w14:val="tx1"/>
                  </w14:solidFill>
                </w14:textFill>
              </w:rPr>
              <w:t>。</w:t>
            </w:r>
          </w:p>
          <w:p w14:paraId="35C5B90F">
            <w:pPr>
              <w:keepNext w:val="0"/>
              <w:keepLines w:val="0"/>
              <w:suppressLineNumbers w:val="0"/>
              <w:autoSpaceDE w:val="0"/>
              <w:autoSpaceDN w:val="0"/>
              <w:snapToGrid w:val="0"/>
              <w:spacing w:before="0" w:beforeAutospacing="0" w:after="0" w:afterAutospacing="0" w:line="360" w:lineRule="auto"/>
              <w:ind w:left="0" w:right="0" w:firstLine="480" w:firstLineChars="200"/>
              <w:rPr>
                <w:rFonts w:hint="default"/>
                <w:b/>
                <w:bCs/>
                <w:color w:val="000000" w:themeColor="text1"/>
                <w:sz w:val="21"/>
                <w:szCs w:val="21"/>
                <w:highlight w:val="none"/>
                <w14:textFill>
                  <w14:solidFill>
                    <w14:schemeClr w14:val="tx1"/>
                  </w14:solidFill>
                </w14:textFill>
              </w:rPr>
            </w:pPr>
            <w:r>
              <w:rPr>
                <w:rStyle w:val="124"/>
                <w:rFonts w:hint="default"/>
                <w:color w:val="000000" w:themeColor="text1"/>
                <w:sz w:val="24"/>
                <w:highlight w:val="none"/>
                <w14:textFill>
                  <w14:solidFill>
                    <w14:schemeClr w14:val="tx1"/>
                  </w14:solidFill>
                </w14:textFill>
              </w:rPr>
              <w:t>项目选址与</w:t>
            </w:r>
            <w:r>
              <w:rPr>
                <w:rFonts w:hint="default"/>
                <w:color w:val="000000" w:themeColor="text1"/>
                <w:sz w:val="24"/>
                <w:szCs w:val="24"/>
                <w:highlight w:val="none"/>
                <w14:textFill>
                  <w14:solidFill>
                    <w14:schemeClr w14:val="tx1"/>
                  </w14:solidFill>
                </w14:textFill>
              </w:rPr>
              <w:t>《牛栏江（</w:t>
            </w:r>
            <w:r>
              <w:rPr>
                <w:rFonts w:hint="eastAsia"/>
                <w:color w:val="000000" w:themeColor="text1"/>
                <w:sz w:val="24"/>
                <w:szCs w:val="24"/>
                <w:highlight w:val="none"/>
                <w14:textFill>
                  <w14:solidFill>
                    <w14:schemeClr w14:val="tx1"/>
                  </w14:solidFill>
                </w14:textFill>
              </w:rPr>
              <w:t>昆明</w:t>
            </w:r>
            <w:r>
              <w:rPr>
                <w:rFonts w:hint="default"/>
                <w:color w:val="000000" w:themeColor="text1"/>
                <w:sz w:val="24"/>
                <w:szCs w:val="24"/>
                <w:highlight w:val="none"/>
                <w14:textFill>
                  <w14:solidFill>
                    <w14:schemeClr w14:val="tx1"/>
                  </w14:solidFill>
                </w14:textFill>
              </w:rPr>
              <w:t>段）水环境保护规划（2</w:t>
            </w:r>
            <w:r>
              <w:rPr>
                <w:rFonts w:hint="eastAsia"/>
                <w:color w:val="000000" w:themeColor="text1"/>
                <w:sz w:val="24"/>
                <w:szCs w:val="24"/>
                <w:highlight w:val="none"/>
                <w14:textFill>
                  <w14:solidFill>
                    <w14:schemeClr w14:val="tx1"/>
                  </w14:solidFill>
                </w14:textFill>
              </w:rPr>
              <w:t>011</w:t>
            </w:r>
            <w:r>
              <w:rPr>
                <w:rFonts w:hint="default"/>
                <w:color w:val="000000" w:themeColor="text1"/>
                <w:sz w:val="24"/>
                <w:szCs w:val="24"/>
                <w:highlight w:val="none"/>
                <w14:textFill>
                  <w14:solidFill>
                    <w14:schemeClr w14:val="tx1"/>
                  </w14:solidFill>
                </w14:textFill>
              </w:rPr>
              <w:t>~2030）》符合性分析详见</w:t>
            </w:r>
            <w:r>
              <w:rPr>
                <w:rFonts w:hint="eastAsia"/>
                <w:color w:val="000000" w:themeColor="text1"/>
                <w:sz w:val="24"/>
                <w:szCs w:val="24"/>
                <w:highlight w:val="none"/>
                <w14:textFill>
                  <w14:solidFill>
                    <w14:schemeClr w14:val="tx1"/>
                  </w14:solidFill>
                </w14:textFill>
              </w:rPr>
              <w:t>下表</w:t>
            </w:r>
            <w:r>
              <w:rPr>
                <w:rFonts w:hint="default"/>
                <w:color w:val="000000" w:themeColor="text1"/>
                <w:sz w:val="24"/>
                <w:szCs w:val="24"/>
                <w:highlight w:val="none"/>
                <w14:textFill>
                  <w14:solidFill>
                    <w14:schemeClr w14:val="tx1"/>
                  </w14:solidFill>
                </w14:textFill>
              </w:rPr>
              <w:t>。</w:t>
            </w:r>
          </w:p>
          <w:p w14:paraId="5DE15B46">
            <w:pPr>
              <w:keepNext w:val="0"/>
              <w:keepLines w:val="0"/>
              <w:widowControl/>
              <w:suppressLineNumbers w:val="0"/>
              <w:snapToGrid w:val="0"/>
              <w:spacing w:before="0" w:beforeAutospacing="0" w:after="0" w:afterAutospacing="0"/>
              <w:ind w:left="0" w:right="0"/>
              <w:jc w:val="center"/>
              <w:rPr>
                <w:rFonts w:hint="default"/>
                <w:color w:val="000000" w:themeColor="text1"/>
                <w:sz w:val="24"/>
                <w:szCs w:val="24"/>
                <w:highlight w:val="none"/>
                <w14:textFill>
                  <w14:solidFill>
                    <w14:schemeClr w14:val="tx1"/>
                  </w14:solidFill>
                </w14:textFill>
              </w:rPr>
            </w:pPr>
            <w:r>
              <w:rPr>
                <w:rFonts w:hint="default"/>
                <w:b/>
                <w:bCs/>
                <w:color w:val="000000" w:themeColor="text1"/>
                <w:sz w:val="24"/>
                <w:szCs w:val="24"/>
                <w:highlight w:val="none"/>
                <w14:textFill>
                  <w14:solidFill>
                    <w14:schemeClr w14:val="tx1"/>
                  </w14:solidFill>
                </w14:textFill>
              </w:rPr>
              <w:t>表</w:t>
            </w:r>
            <w:r>
              <w:rPr>
                <w:rFonts w:hint="eastAsia"/>
                <w:b/>
                <w:bCs/>
                <w:color w:val="000000" w:themeColor="text1"/>
                <w:sz w:val="24"/>
                <w:szCs w:val="24"/>
                <w:highlight w:val="none"/>
                <w14:textFill>
                  <w14:solidFill>
                    <w14:schemeClr w14:val="tx1"/>
                  </w14:solidFill>
                </w14:textFill>
              </w:rPr>
              <w:t>1</w:t>
            </w:r>
            <w:r>
              <w:rPr>
                <w:rFonts w:hint="default"/>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6</w:t>
            </w:r>
            <w:r>
              <w:rPr>
                <w:rFonts w:hint="default"/>
                <w:b/>
                <w:bCs/>
                <w:color w:val="000000" w:themeColor="text1"/>
                <w:sz w:val="24"/>
                <w:szCs w:val="24"/>
                <w:highlight w:val="none"/>
                <w14:textFill>
                  <w14:solidFill>
                    <w14:schemeClr w14:val="tx1"/>
                  </w14:solidFill>
                </w14:textFill>
              </w:rPr>
              <w:t xml:space="preserve">  项目选址与《牛栏江流域（</w:t>
            </w:r>
            <w:r>
              <w:rPr>
                <w:rFonts w:hint="eastAsia"/>
                <w:b/>
                <w:bCs/>
                <w:color w:val="000000" w:themeColor="text1"/>
                <w:sz w:val="24"/>
                <w:szCs w:val="24"/>
                <w:highlight w:val="none"/>
                <w14:textFill>
                  <w14:solidFill>
                    <w14:schemeClr w14:val="tx1"/>
                  </w14:solidFill>
                </w14:textFill>
              </w:rPr>
              <w:t>昆明</w:t>
            </w:r>
            <w:r>
              <w:rPr>
                <w:rFonts w:hint="default"/>
                <w:b/>
                <w:bCs/>
                <w:color w:val="000000" w:themeColor="text1"/>
                <w:sz w:val="24"/>
                <w:szCs w:val="24"/>
                <w:highlight w:val="none"/>
                <w14:textFill>
                  <w14:solidFill>
                    <w14:schemeClr w14:val="tx1"/>
                  </w14:solidFill>
                </w14:textFill>
              </w:rPr>
              <w:t>段）水环境保护规划》对照分析</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916"/>
              <w:gridCol w:w="3906"/>
              <w:gridCol w:w="813"/>
            </w:tblGrid>
            <w:tr w14:paraId="2051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9" w:type="pct"/>
                  <w:vAlign w:val="center"/>
                </w:tcPr>
                <w:p w14:paraId="32133EA8">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序号</w:t>
                  </w:r>
                </w:p>
              </w:tc>
              <w:tc>
                <w:tcPr>
                  <w:tcW w:w="1779" w:type="pct"/>
                  <w:vAlign w:val="center"/>
                </w:tcPr>
                <w:p w14:paraId="190BC2BA">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《牛栏江流域（昆明段）水环境保护规划》选址条件</w:t>
                  </w:r>
                </w:p>
              </w:tc>
              <w:tc>
                <w:tcPr>
                  <w:tcW w:w="2383" w:type="pct"/>
                  <w:vAlign w:val="center"/>
                </w:tcPr>
                <w:p w14:paraId="3D1DA7B1">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本项目实际情况</w:t>
                  </w:r>
                </w:p>
              </w:tc>
              <w:tc>
                <w:tcPr>
                  <w:tcW w:w="496" w:type="pct"/>
                  <w:vAlign w:val="center"/>
                </w:tcPr>
                <w:p w14:paraId="0ADBA2B0">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符合性</w:t>
                  </w:r>
                </w:p>
              </w:tc>
            </w:tr>
            <w:tr w14:paraId="199D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39" w:type="pct"/>
                  <w:vMerge w:val="restart"/>
                  <w:vAlign w:val="center"/>
                </w:tcPr>
                <w:p w14:paraId="1A0F1711">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w:t>
                  </w:r>
                </w:p>
              </w:tc>
              <w:tc>
                <w:tcPr>
                  <w:tcW w:w="1779" w:type="pct"/>
                  <w:vAlign w:val="center"/>
                </w:tcPr>
                <w:p w14:paraId="58E657B7">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加强对重点工业污染源的监督，确保牛栏江流域（昆明段）内重点企业污水稳定达标排放并实现“零排放”。</w:t>
                  </w:r>
                </w:p>
              </w:tc>
              <w:tc>
                <w:tcPr>
                  <w:tcW w:w="2383" w:type="pct"/>
                  <w:vAlign w:val="center"/>
                </w:tcPr>
                <w:p w14:paraId="10191ACF">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本项目无生产废水外排；不新增水污染物排放。</w:t>
                  </w:r>
                </w:p>
              </w:tc>
              <w:tc>
                <w:tcPr>
                  <w:tcW w:w="496" w:type="pct"/>
                  <w:vAlign w:val="center"/>
                </w:tcPr>
                <w:p w14:paraId="19824644">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6773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339" w:type="pct"/>
                  <w:vMerge w:val="continue"/>
                  <w:vAlign w:val="center"/>
                </w:tcPr>
                <w:p w14:paraId="068D318C">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p>
              </w:tc>
              <w:tc>
                <w:tcPr>
                  <w:tcW w:w="1779" w:type="pct"/>
                  <w:vAlign w:val="center"/>
                </w:tcPr>
                <w:p w14:paraId="6CDCC560">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固体废弃物最大程度重复利用和安全处置，消除工业企业的环境安全隐患，确保环保设施的正常运行，杜绝工业企业偷排、漏排污染物的现象。</w:t>
                  </w:r>
                </w:p>
              </w:tc>
              <w:tc>
                <w:tcPr>
                  <w:tcW w:w="2383" w:type="pct"/>
                  <w:vAlign w:val="center"/>
                </w:tcPr>
                <w:p w14:paraId="0013B70A">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项目生产过程中</w:t>
                  </w:r>
                  <w:r>
                    <w:rPr>
                      <w:rFonts w:hint="eastAsia" w:ascii="宋体" w:hAnsi="宋体"/>
                      <w:color w:val="000000" w:themeColor="text1"/>
                      <w:sz w:val="21"/>
                      <w:szCs w:val="21"/>
                      <w:highlight w:val="none"/>
                      <w:lang w:val="en-US" w:eastAsia="zh-CN"/>
                      <w14:textFill>
                        <w14:solidFill>
                          <w14:schemeClr w14:val="tx1"/>
                        </w14:solidFill>
                      </w14:textFill>
                    </w:rPr>
                    <w:t>产生的</w:t>
                  </w:r>
                  <w:r>
                    <w:rPr>
                      <w:rFonts w:hint="eastAsia" w:ascii="宋体" w:hAnsi="宋体"/>
                      <w:color w:val="000000" w:themeColor="text1"/>
                      <w:sz w:val="21"/>
                      <w:szCs w:val="21"/>
                      <w:highlight w:val="none"/>
                      <w14:textFill>
                        <w14:solidFill>
                          <w14:schemeClr w14:val="tx1"/>
                        </w14:solidFill>
                      </w14:textFill>
                    </w:rPr>
                    <w:t>生活垃圾委托环卫部门定期清运；不合格改性磷石膏全部返回搅拌机重新改性，实现内部循环利用；设备维修产生的废矿物油（HW08）暂存于危废暂存间，定期委托有资质单位处置。固体废物综合处置率为100%。</w:t>
                  </w:r>
                </w:p>
              </w:tc>
              <w:tc>
                <w:tcPr>
                  <w:tcW w:w="496" w:type="pct"/>
                  <w:vAlign w:val="center"/>
                </w:tcPr>
                <w:p w14:paraId="69BBCC63">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541F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339" w:type="pct"/>
                  <w:vAlign w:val="center"/>
                </w:tcPr>
                <w:p w14:paraId="7055E180">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2</w:t>
                  </w:r>
                </w:p>
              </w:tc>
              <w:tc>
                <w:tcPr>
                  <w:tcW w:w="1779" w:type="pct"/>
                  <w:vAlign w:val="center"/>
                </w:tcPr>
                <w:p w14:paraId="5996A7D9">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建设</w:t>
                  </w:r>
                  <w:r>
                    <w:rPr>
                      <w:rFonts w:hint="eastAsia"/>
                      <w:color w:val="000000" w:themeColor="text1"/>
                      <w:sz w:val="21"/>
                      <w:szCs w:val="21"/>
                      <w:highlight w:val="none"/>
                      <w14:textFill>
                        <w14:solidFill>
                          <w14:schemeClr w14:val="tx1"/>
                        </w14:solidFill>
                      </w14:textFill>
                    </w:rPr>
                    <w:t>自来水</w:t>
                  </w:r>
                  <w:r>
                    <w:rPr>
                      <w:rFonts w:hint="default"/>
                      <w:color w:val="000000" w:themeColor="text1"/>
                      <w:sz w:val="21"/>
                      <w:szCs w:val="21"/>
                      <w:highlight w:val="none"/>
                      <w14:textFill>
                        <w14:solidFill>
                          <w14:schemeClr w14:val="tx1"/>
                        </w14:solidFill>
                      </w14:textFill>
                    </w:rPr>
                    <w:t>回用系统，污染控制区内不得建设不符合国家产业政策的工业项目及高污染工业项目</w:t>
                  </w:r>
                  <w:r>
                    <w:rPr>
                      <w:rFonts w:hint="eastAsia"/>
                      <w:color w:val="000000" w:themeColor="text1"/>
                      <w:sz w:val="21"/>
                      <w:szCs w:val="21"/>
                      <w:highlight w:val="none"/>
                      <w14:textFill>
                        <w14:solidFill>
                          <w14:schemeClr w14:val="tx1"/>
                        </w14:solidFill>
                      </w14:textFill>
                    </w:rPr>
                    <w:t>。</w:t>
                  </w:r>
                </w:p>
              </w:tc>
              <w:tc>
                <w:tcPr>
                  <w:tcW w:w="2383" w:type="pct"/>
                  <w:vAlign w:val="center"/>
                </w:tcPr>
                <w:p w14:paraId="0FAA925E">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项目不属于高污染工业项目，</w:t>
                  </w:r>
                  <w:r>
                    <w:rPr>
                      <w:rStyle w:val="70"/>
                      <w:rFonts w:hint="eastAsia"/>
                      <w:color w:val="000000" w:themeColor="text1"/>
                      <w:sz w:val="21"/>
                      <w:szCs w:val="21"/>
                      <w:highlight w:val="none"/>
                      <w14:textFill>
                        <w14:solidFill>
                          <w14:schemeClr w14:val="tx1"/>
                        </w14:solidFill>
                      </w14:textFill>
                    </w:rPr>
                    <w:t>属于鼓励类项目</w:t>
                  </w:r>
                  <w:r>
                    <w:rPr>
                      <w:rFonts w:hint="default"/>
                      <w:color w:val="000000" w:themeColor="text1"/>
                      <w:sz w:val="21"/>
                      <w:szCs w:val="21"/>
                      <w:highlight w:val="none"/>
                      <w14:textFill>
                        <w14:solidFill>
                          <w14:schemeClr w14:val="tx1"/>
                        </w14:solidFill>
                      </w14:textFill>
                    </w:rPr>
                    <w:t>，符合国家产业政策</w:t>
                  </w:r>
                  <w:r>
                    <w:rPr>
                      <w:rFonts w:hint="eastAsia"/>
                      <w:color w:val="000000" w:themeColor="text1"/>
                      <w:sz w:val="21"/>
                      <w:szCs w:val="21"/>
                      <w:highlight w:val="none"/>
                      <w14:textFill>
                        <w14:solidFill>
                          <w14:schemeClr w14:val="tx1"/>
                        </w14:solidFill>
                      </w14:textFill>
                    </w:rPr>
                    <w:t>。</w:t>
                  </w:r>
                </w:p>
              </w:tc>
              <w:tc>
                <w:tcPr>
                  <w:tcW w:w="496" w:type="pct"/>
                  <w:vAlign w:val="center"/>
                </w:tcPr>
                <w:p w14:paraId="4F6DE36A">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bl>
          <w:p w14:paraId="726746AD">
            <w:pPr>
              <w:keepNext w:val="0"/>
              <w:keepLines w:val="0"/>
              <w:suppressLineNumbers w:val="0"/>
              <w:spacing w:before="0" w:beforeAutospacing="0" w:after="0" w:afterAutospacing="0" w:line="360" w:lineRule="auto"/>
              <w:ind w:left="0" w:right="0" w:firstLine="480" w:firstLineChars="200"/>
              <w:rPr>
                <w:rFonts w:hint="default"/>
                <w:b/>
                <w:bCs/>
                <w:color w:val="000000" w:themeColor="text1"/>
                <w:sz w:val="24"/>
                <w:szCs w:val="20"/>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综上所述，项目</w:t>
            </w:r>
            <w:r>
              <w:rPr>
                <w:rFonts w:hint="eastAsia"/>
                <w:color w:val="000000" w:themeColor="text1"/>
                <w:sz w:val="24"/>
                <w:szCs w:val="24"/>
                <w:highlight w:val="none"/>
                <w14:textFill>
                  <w14:solidFill>
                    <w14:schemeClr w14:val="tx1"/>
                  </w14:solidFill>
                </w14:textFill>
              </w:rPr>
              <w:t>与</w:t>
            </w:r>
            <w:r>
              <w:rPr>
                <w:rFonts w:hint="default"/>
                <w:color w:val="000000" w:themeColor="text1"/>
                <w:sz w:val="24"/>
                <w:szCs w:val="24"/>
                <w:highlight w:val="none"/>
                <w14:textFill>
                  <w14:solidFill>
                    <w14:schemeClr w14:val="tx1"/>
                  </w14:solidFill>
                </w14:textFill>
              </w:rPr>
              <w:t>《牛栏江（昆明段）水环境保护规划（2011~2030）》</w:t>
            </w:r>
            <w:r>
              <w:rPr>
                <w:rFonts w:hint="eastAsia"/>
                <w:color w:val="000000" w:themeColor="text1"/>
                <w:sz w:val="24"/>
                <w:szCs w:val="24"/>
                <w:highlight w:val="none"/>
                <w14:textFill>
                  <w14:solidFill>
                    <w14:schemeClr w14:val="tx1"/>
                  </w14:solidFill>
                </w14:textFill>
              </w:rPr>
              <w:t>相符</w:t>
            </w:r>
            <w:r>
              <w:rPr>
                <w:rFonts w:hint="default"/>
                <w:color w:val="000000" w:themeColor="text1"/>
                <w:sz w:val="24"/>
                <w:szCs w:val="24"/>
                <w:highlight w:val="none"/>
                <w14:textFill>
                  <w14:solidFill>
                    <w14:schemeClr w14:val="tx1"/>
                  </w14:solidFill>
                </w14:textFill>
              </w:rPr>
              <w:t>。</w:t>
            </w:r>
          </w:p>
          <w:p w14:paraId="5D1DEECC">
            <w:pPr>
              <w:keepNext w:val="0"/>
              <w:keepLines w:val="0"/>
              <w:suppressLineNumbers w:val="0"/>
              <w:spacing w:before="0" w:beforeAutospacing="0" w:after="0" w:afterAutospacing="0" w:line="360" w:lineRule="auto"/>
              <w:ind w:left="0" w:right="0" w:firstLine="482" w:firstLineChars="200"/>
              <w:rPr>
                <w:rFonts w:hint="default"/>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6</w:t>
            </w:r>
            <w:r>
              <w:rPr>
                <w:rFonts w:hint="eastAsia"/>
                <w:b/>
                <w:bCs/>
                <w:color w:val="000000" w:themeColor="text1"/>
                <w:sz w:val="24"/>
                <w:szCs w:val="20"/>
                <w:highlight w:val="none"/>
                <w:lang w:val="en-US" w:eastAsia="zh-CN"/>
                <w14:textFill>
                  <w14:solidFill>
                    <w14:schemeClr w14:val="tx1"/>
                  </w14:solidFill>
                </w14:textFill>
              </w:rPr>
              <w:t>.</w:t>
            </w:r>
            <w:r>
              <w:rPr>
                <w:rFonts w:hint="default"/>
                <w:b/>
                <w:bCs/>
                <w:color w:val="000000" w:themeColor="text1"/>
                <w:sz w:val="24"/>
                <w:szCs w:val="20"/>
                <w:highlight w:val="none"/>
                <w14:textFill>
                  <w14:solidFill>
                    <w14:schemeClr w14:val="tx1"/>
                  </w14:solidFill>
                </w14:textFill>
              </w:rPr>
              <w:t>与《牛栏江流域（</w:t>
            </w:r>
            <w:r>
              <w:rPr>
                <w:rFonts w:hint="eastAsia"/>
                <w:b/>
                <w:bCs/>
                <w:color w:val="000000" w:themeColor="text1"/>
                <w:sz w:val="24"/>
                <w:szCs w:val="20"/>
                <w:highlight w:val="none"/>
                <w14:textFill>
                  <w14:solidFill>
                    <w14:schemeClr w14:val="tx1"/>
                  </w14:solidFill>
                </w14:textFill>
              </w:rPr>
              <w:t>寻甸段</w:t>
            </w:r>
            <w:r>
              <w:rPr>
                <w:rFonts w:hint="default"/>
                <w:b/>
                <w:bCs/>
                <w:color w:val="000000" w:themeColor="text1"/>
                <w:sz w:val="24"/>
                <w:szCs w:val="20"/>
                <w:highlight w:val="none"/>
                <w14:textFill>
                  <w14:solidFill>
                    <w14:schemeClr w14:val="tx1"/>
                  </w14:solidFill>
                </w14:textFill>
              </w:rPr>
              <w:t>）水环境保护规划（20</w:t>
            </w:r>
            <w:r>
              <w:rPr>
                <w:rFonts w:hint="eastAsia"/>
                <w:b/>
                <w:bCs/>
                <w:color w:val="000000" w:themeColor="text1"/>
                <w:sz w:val="24"/>
                <w:szCs w:val="20"/>
                <w:highlight w:val="none"/>
                <w14:textFill>
                  <w14:solidFill>
                    <w14:schemeClr w14:val="tx1"/>
                  </w14:solidFill>
                </w14:textFill>
              </w:rPr>
              <w:t>11</w:t>
            </w:r>
            <w:r>
              <w:rPr>
                <w:rFonts w:hint="default"/>
                <w:b/>
                <w:bCs/>
                <w:color w:val="000000" w:themeColor="text1"/>
                <w:sz w:val="24"/>
                <w:szCs w:val="20"/>
                <w:highlight w:val="none"/>
                <w14:textFill>
                  <w14:solidFill>
                    <w14:schemeClr w14:val="tx1"/>
                  </w14:solidFill>
                </w14:textFill>
              </w:rPr>
              <w:t>~2030）》的相符性分析</w:t>
            </w:r>
          </w:p>
          <w:p w14:paraId="576F5EEA">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根据《牛栏江流域（寻甸段）水环境保护规划》分区结果，牛栏江流域（寻甸段）共分为三个区进行保护，水源保护核心区、重点污染控制区、重点水源涵养区，各分区范围节点如下：</w:t>
            </w:r>
          </w:p>
          <w:p w14:paraId="03BEA1C4">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①水源保护核心区范围为牛栏江流域（寻甸段）干流1000m范围。水源保护核心区分为禁止建设区、限制建设区两个区，禁止建设区范围指干流河面水域及沿岸外延200m的区域，限制建设区范围指干流沿岸外200m—1000m之间的区域。</w:t>
            </w:r>
          </w:p>
          <w:p w14:paraId="1B3A1A5B">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②重点污染控制区范围指水体保护核心区外，主要入江支流水域外延3000m的区域和流域范围内的坝区，若区域范围超过一级山脊，按一级山脊线划定。</w:t>
            </w:r>
          </w:p>
          <w:p w14:paraId="78CAD48A">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③重点水源涵养区范围指流域范围内除水源保护核心区、重点污染控制区以外的区域。</w:t>
            </w:r>
          </w:p>
          <w:p w14:paraId="5B406811">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sz w:val="24"/>
                <w:szCs w:val="20"/>
                <w:highlight w:val="none"/>
                <w:lang w:val="en-US" w:eastAsia="zh-CN"/>
                <w14:textFill>
                  <w14:solidFill>
                    <w14:schemeClr w14:val="tx1"/>
                  </w14:solidFill>
                </w14:textFill>
              </w:rPr>
            </w:pPr>
            <w:r>
              <w:rPr>
                <w:rFonts w:hint="default"/>
                <w:color w:val="000000" w:themeColor="text1"/>
                <w:sz w:val="24"/>
                <w:szCs w:val="20"/>
                <w:highlight w:val="none"/>
                <w14:textFill>
                  <w14:solidFill>
                    <w14:schemeClr w14:val="tx1"/>
                  </w14:solidFill>
                </w14:textFill>
              </w:rPr>
              <w:t>项目位于</w:t>
            </w:r>
            <w:r>
              <w:rPr>
                <w:rFonts w:hint="eastAsia"/>
                <w:color w:val="000000" w:themeColor="text1"/>
                <w:sz w:val="24"/>
                <w:szCs w:val="20"/>
                <w:highlight w:val="none"/>
                <w14:textFill>
                  <w14:solidFill>
                    <w14:schemeClr w14:val="tx1"/>
                  </w14:solidFill>
                </w14:textFill>
              </w:rPr>
              <w:t>昆明市寻甸县塘子街道原泰康化工</w:t>
            </w:r>
            <w:r>
              <w:rPr>
                <w:rFonts w:hint="eastAsia"/>
                <w:color w:val="000000" w:themeColor="text1"/>
                <w:sz w:val="24"/>
                <w:szCs w:val="20"/>
                <w:highlight w:val="none"/>
                <w:lang w:val="en-US" w:eastAsia="zh-CN"/>
                <w14:textFill>
                  <w14:solidFill>
                    <w14:schemeClr w14:val="tx1"/>
                  </w14:solidFill>
                </w14:textFill>
              </w:rPr>
              <w:t>厂区内</w:t>
            </w:r>
            <w:r>
              <w:rPr>
                <w:rFonts w:hint="default"/>
                <w:color w:val="000000" w:themeColor="text1"/>
                <w:sz w:val="24"/>
                <w:szCs w:val="20"/>
                <w:highlight w:val="none"/>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属于牛栏江德泽水库坝址以上的集水区域，属于牛栏江流域上游保护区，</w:t>
            </w:r>
            <w:r>
              <w:rPr>
                <w:rFonts w:hint="default"/>
                <w:color w:val="000000" w:themeColor="text1"/>
                <w:sz w:val="24"/>
                <w:szCs w:val="20"/>
                <w:highlight w:val="none"/>
                <w14:textFill>
                  <w14:solidFill>
                    <w14:schemeClr w14:val="tx1"/>
                  </w14:solidFill>
                </w14:textFill>
              </w:rPr>
              <w:t>根据牛栏江水系</w:t>
            </w:r>
            <w:r>
              <w:rPr>
                <w:rFonts w:hint="eastAsia"/>
                <w:color w:val="000000" w:themeColor="text1"/>
                <w:sz w:val="24"/>
                <w:szCs w:val="20"/>
                <w:highlight w:val="none"/>
                <w14:textFill>
                  <w14:solidFill>
                    <w14:schemeClr w14:val="tx1"/>
                  </w14:solidFill>
                </w14:textFill>
              </w:rPr>
              <w:t>环境</w:t>
            </w:r>
            <w:r>
              <w:rPr>
                <w:rFonts w:hint="default"/>
                <w:color w:val="000000" w:themeColor="text1"/>
                <w:sz w:val="24"/>
                <w:szCs w:val="20"/>
                <w:highlight w:val="none"/>
                <w14:textFill>
                  <w14:solidFill>
                    <w14:schemeClr w14:val="tx1"/>
                  </w14:solidFill>
                </w14:textFill>
              </w:rPr>
              <w:t>规划图</w:t>
            </w:r>
            <w:r>
              <w:rPr>
                <w:rFonts w:hint="eastAsia"/>
                <w:color w:val="000000" w:themeColor="text1"/>
                <w:sz w:val="24"/>
                <w:szCs w:val="20"/>
                <w:highlight w:val="none"/>
                <w:lang w:val="en-US" w:eastAsia="zh-CN"/>
                <w14:textFill>
                  <w14:solidFill>
                    <w14:schemeClr w14:val="tx1"/>
                  </w14:solidFill>
                </w14:textFill>
              </w:rPr>
              <w:t>叠图</w:t>
            </w:r>
            <w:r>
              <w:rPr>
                <w:rFonts w:hint="default"/>
                <w:color w:val="000000" w:themeColor="text1"/>
                <w:sz w:val="24"/>
                <w:szCs w:val="20"/>
                <w:highlight w:val="none"/>
                <w14:textFill>
                  <w14:solidFill>
                    <w14:schemeClr w14:val="tx1"/>
                  </w14:solidFill>
                </w14:textFill>
              </w:rPr>
              <w:t>可知</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本项目</w:t>
            </w:r>
            <w:r>
              <w:rPr>
                <w:rFonts w:hint="eastAsia"/>
                <w:color w:val="000000" w:themeColor="text1"/>
                <w:sz w:val="24"/>
                <w:szCs w:val="20"/>
                <w:highlight w:val="none"/>
                <w:lang w:val="en-US" w:eastAsia="zh-CN"/>
                <w14:textFill>
                  <w14:solidFill>
                    <w14:schemeClr w14:val="tx1"/>
                  </w14:solidFill>
                </w14:textFill>
              </w:rPr>
              <w:t>厂界距离牛栏江最近距离为869m，</w:t>
            </w:r>
            <w:r>
              <w:rPr>
                <w:rFonts w:hint="default"/>
                <w:color w:val="000000" w:themeColor="text1"/>
                <w:sz w:val="24"/>
                <w:szCs w:val="20"/>
                <w:highlight w:val="none"/>
                <w14:textFill>
                  <w14:solidFill>
                    <w14:schemeClr w14:val="tx1"/>
                  </w14:solidFill>
                </w14:textFill>
              </w:rPr>
              <w:t>属于《云南省牛栏江保护条例》中的</w:t>
            </w:r>
            <w:r>
              <w:rPr>
                <w:rFonts w:hint="eastAsia"/>
                <w:color w:val="000000" w:themeColor="text1"/>
                <w:sz w:val="24"/>
                <w:szCs w:val="20"/>
                <w:highlight w:val="none"/>
                <w:lang w:val="en-US" w:eastAsia="zh-CN"/>
                <w14:textFill>
                  <w14:solidFill>
                    <w14:schemeClr w14:val="tx1"/>
                  </w14:solidFill>
                </w14:textFill>
              </w:rPr>
              <w:t>水源保护核心区</w:t>
            </w:r>
            <w:r>
              <w:rPr>
                <w:rFonts w:hint="default"/>
                <w:color w:val="000000" w:themeColor="text1"/>
                <w:sz w:val="24"/>
                <w:szCs w:val="20"/>
                <w:highlight w:val="none"/>
                <w14:textFill>
                  <w14:solidFill>
                    <w14:schemeClr w14:val="tx1"/>
                  </w14:solidFill>
                </w14:textFill>
              </w:rPr>
              <w:t>（附图</w:t>
            </w:r>
            <w:r>
              <w:rPr>
                <w:rFonts w:hint="eastAsia"/>
                <w:color w:val="000000" w:themeColor="text1"/>
                <w:sz w:val="24"/>
                <w:szCs w:val="20"/>
                <w:highlight w:val="none"/>
                <w14:textFill>
                  <w14:solidFill>
                    <w14:schemeClr w14:val="tx1"/>
                  </w14:solidFill>
                </w14:textFill>
              </w:rPr>
              <w:t>6</w:t>
            </w:r>
            <w:r>
              <w:rPr>
                <w:rFonts w:hint="default"/>
                <w:color w:val="000000" w:themeColor="text1"/>
                <w:sz w:val="24"/>
                <w:szCs w:val="20"/>
                <w:highlight w:val="none"/>
                <w14:textFill>
                  <w14:solidFill>
                    <w14:schemeClr w14:val="tx1"/>
                  </w14:solidFill>
                </w14:textFill>
              </w:rPr>
              <w:t>）</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也属于</w:t>
            </w:r>
            <w:r>
              <w:rPr>
                <w:rFonts w:hint="default"/>
                <w:color w:val="000000" w:themeColor="text1"/>
                <w:sz w:val="24"/>
                <w:szCs w:val="20"/>
                <w:highlight w:val="none"/>
                <w14:textFill>
                  <w14:solidFill>
                    <w14:schemeClr w14:val="tx1"/>
                  </w14:solidFill>
                </w14:textFill>
              </w:rPr>
              <w:t>水源保护核心区</w:t>
            </w:r>
            <w:r>
              <w:rPr>
                <w:rFonts w:hint="eastAsia"/>
                <w:color w:val="000000" w:themeColor="text1"/>
                <w:sz w:val="24"/>
                <w:szCs w:val="20"/>
                <w:highlight w:val="none"/>
                <w:lang w:val="en-US" w:eastAsia="zh-CN"/>
                <w14:textFill>
                  <w14:solidFill>
                    <w14:schemeClr w14:val="tx1"/>
                  </w14:solidFill>
                </w14:textFill>
              </w:rPr>
              <w:t>的</w:t>
            </w:r>
            <w:r>
              <w:rPr>
                <w:rFonts w:hint="default"/>
                <w:color w:val="000000" w:themeColor="text1"/>
                <w:sz w:val="24"/>
                <w:szCs w:val="20"/>
                <w:highlight w:val="none"/>
                <w14:textFill>
                  <w14:solidFill>
                    <w14:schemeClr w14:val="tx1"/>
                  </w14:solidFill>
                </w14:textFill>
              </w:rPr>
              <w:t>限制建设区</w:t>
            </w:r>
            <w:r>
              <w:rPr>
                <w:rFonts w:hint="eastAsia"/>
                <w:color w:val="000000" w:themeColor="text1"/>
                <w:sz w:val="24"/>
                <w:szCs w:val="20"/>
                <w:highlight w:val="none"/>
                <w:lang w:eastAsia="zh-CN"/>
                <w14:textFill>
                  <w14:solidFill>
                    <w14:schemeClr w14:val="tx1"/>
                  </w14:solidFill>
                </w14:textFill>
              </w:rPr>
              <w:t>。</w:t>
            </w:r>
          </w:p>
          <w:p w14:paraId="3C086199">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4"/>
                <w:szCs w:val="24"/>
                <w:highlight w:val="none"/>
                <w14:textFill>
                  <w14:solidFill>
                    <w14:schemeClr w14:val="tx1"/>
                  </w14:solidFill>
                </w14:textFill>
              </w:rPr>
            </w:pPr>
            <w:r>
              <w:rPr>
                <w:rFonts w:hint="default"/>
                <w:b/>
                <w:bCs/>
                <w:color w:val="000000" w:themeColor="text1"/>
                <w:sz w:val="24"/>
                <w:szCs w:val="24"/>
                <w:highlight w:val="none"/>
                <w14:textFill>
                  <w14:solidFill>
                    <w14:schemeClr w14:val="tx1"/>
                  </w14:solidFill>
                </w14:textFill>
              </w:rPr>
              <w:t>表1-</w:t>
            </w:r>
            <w:r>
              <w:rPr>
                <w:rFonts w:hint="eastAsia"/>
                <w:b/>
                <w:bCs/>
                <w:color w:val="000000" w:themeColor="text1"/>
                <w:sz w:val="24"/>
                <w:szCs w:val="24"/>
                <w:highlight w:val="none"/>
                <w:lang w:val="en-US" w:eastAsia="zh-CN"/>
                <w14:textFill>
                  <w14:solidFill>
                    <w14:schemeClr w14:val="tx1"/>
                  </w14:solidFill>
                </w14:textFill>
              </w:rPr>
              <w:t>7</w:t>
            </w:r>
            <w:r>
              <w:rPr>
                <w:rFonts w:hint="default"/>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与牛栏江（寻甸段）水环境保护规划（2011~2030）</w:t>
            </w:r>
            <w:r>
              <w:rPr>
                <w:rFonts w:hint="default"/>
                <w:b/>
                <w:bCs/>
                <w:color w:val="000000" w:themeColor="text1"/>
                <w:sz w:val="24"/>
                <w:szCs w:val="24"/>
                <w:highlight w:val="none"/>
                <w14:textFill>
                  <w14:solidFill>
                    <w14:schemeClr w14:val="tx1"/>
                  </w14:solidFill>
                </w14:textFill>
              </w:rPr>
              <w:t>对照分析表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313"/>
              <w:gridCol w:w="2737"/>
              <w:gridCol w:w="713"/>
            </w:tblGrid>
            <w:tr w14:paraId="792E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4" w:type="pct"/>
                  <w:vAlign w:val="center"/>
                </w:tcPr>
                <w:p w14:paraId="718309A1">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序号</w:t>
                  </w:r>
                </w:p>
              </w:tc>
              <w:tc>
                <w:tcPr>
                  <w:tcW w:w="2630" w:type="pct"/>
                  <w:vAlign w:val="center"/>
                </w:tcPr>
                <w:p w14:paraId="0B0C0303">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《牛栏江流域（寻甸段）水环境保护规划》</w:t>
                  </w:r>
                  <w:r>
                    <w:rPr>
                      <w:rFonts w:hint="eastAsia"/>
                      <w:b/>
                      <w:bCs/>
                      <w:color w:val="000000" w:themeColor="text1"/>
                      <w:sz w:val="21"/>
                      <w:szCs w:val="21"/>
                      <w:highlight w:val="none"/>
                      <w14:textFill>
                        <w14:solidFill>
                          <w14:schemeClr w14:val="tx1"/>
                        </w14:solidFill>
                      </w14:textFill>
                    </w:rPr>
                    <w:t>水源保护核心区水环境保护策略</w:t>
                  </w:r>
                </w:p>
              </w:tc>
              <w:tc>
                <w:tcPr>
                  <w:tcW w:w="1669" w:type="pct"/>
                  <w:vAlign w:val="center"/>
                </w:tcPr>
                <w:p w14:paraId="188F5D2C">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该项目情况</w:t>
                  </w:r>
                </w:p>
              </w:tc>
              <w:tc>
                <w:tcPr>
                  <w:tcW w:w="435" w:type="pct"/>
                  <w:vAlign w:val="center"/>
                </w:tcPr>
                <w:p w14:paraId="19754144">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符合性</w:t>
                  </w:r>
                </w:p>
              </w:tc>
            </w:tr>
            <w:tr w14:paraId="746E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4" w:type="pct"/>
                  <w:vAlign w:val="center"/>
                </w:tcPr>
                <w:p w14:paraId="77D8A1D4">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2630" w:type="pct"/>
                  <w:vAlign w:val="center"/>
                </w:tcPr>
                <w:p w14:paraId="5A0F2506">
                  <w:pPr>
                    <w:keepNext w:val="0"/>
                    <w:keepLines w:val="0"/>
                    <w:suppressLineNumbers w:val="0"/>
                    <w:autoSpaceDE w:val="0"/>
                    <w:autoSpaceDN w:val="0"/>
                    <w:adjustRightInd w:val="0"/>
                    <w:snapToGrid w:val="0"/>
                    <w:spacing w:before="0" w:beforeAutospacing="0" w:after="0" w:afterAutospacing="0"/>
                    <w:ind w:left="0" w:right="0"/>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1）禁建区水环境保护策略</w:t>
                  </w:r>
                </w:p>
                <w:p w14:paraId="31E7E819">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在禁建区开展“全面截污、全面禁养、全面绿化、全面整治”四全工作，禁建区不得新建、扩展、改建与牛栏江保护和治理无关的任何建筑物、构筑物和设施；不得建设有污染的工业项目以及污染环境、破坏生态平衡和自然景观的其他项目，不得倾倒、扔弃、堆放、储存、掩埋废弃物和其他污染物；禁止畜禽养殖，已建成的畜禽养殖区、场、户、应当搬迁或者关闭；禁止工业企业排污，并限期实现现有污染源的逐步搬迁；禁止使用化肥，农改林全面绿化。</w:t>
                  </w:r>
                </w:p>
              </w:tc>
              <w:tc>
                <w:tcPr>
                  <w:tcW w:w="1669" w:type="pct"/>
                  <w:vAlign w:val="center"/>
                </w:tcPr>
                <w:p w14:paraId="0C705F05">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000000" w:themeColor="text1"/>
                      <w:sz w:val="21"/>
                      <w:szCs w:val="21"/>
                      <w:highlight w:val="none"/>
                      <w:lang w:val="en-US" w:eastAsia="zh-CN"/>
                      <w14:textFill>
                        <w14:solidFill>
                          <w14:schemeClr w14:val="tx1"/>
                        </w14:solidFill>
                      </w14:textFill>
                    </w:rPr>
                  </w:pPr>
                  <w:r>
                    <w:rPr>
                      <w:rFonts w:hint="default"/>
                      <w:b w:val="0"/>
                      <w:bCs w:val="0"/>
                      <w:color w:val="000000" w:themeColor="text1"/>
                      <w:sz w:val="21"/>
                      <w:szCs w:val="21"/>
                      <w:highlight w:val="none"/>
                      <w14:textFill>
                        <w14:solidFill>
                          <w14:schemeClr w14:val="tx1"/>
                        </w14:solidFill>
                      </w14:textFill>
                    </w:rPr>
                    <w:t>本项目</w:t>
                  </w:r>
                  <w:r>
                    <w:rPr>
                      <w:rFonts w:hint="eastAsia"/>
                      <w:b w:val="0"/>
                      <w:bCs w:val="0"/>
                      <w:color w:val="000000" w:themeColor="text1"/>
                      <w:sz w:val="21"/>
                      <w:szCs w:val="21"/>
                      <w:highlight w:val="none"/>
                      <w:lang w:val="en-US" w:eastAsia="zh-CN"/>
                      <w14:textFill>
                        <w14:solidFill>
                          <w14:schemeClr w14:val="tx1"/>
                        </w14:solidFill>
                      </w14:textFill>
                    </w:rPr>
                    <w:t>厂界距离牛栏江最近距离为869m，属于</w:t>
                  </w:r>
                  <w:r>
                    <w:rPr>
                      <w:rFonts w:hint="default"/>
                      <w:b w:val="0"/>
                      <w:bCs w:val="0"/>
                      <w:color w:val="000000" w:themeColor="text1"/>
                      <w:sz w:val="21"/>
                      <w:szCs w:val="21"/>
                      <w:highlight w:val="none"/>
                      <w14:textFill>
                        <w14:solidFill>
                          <w14:schemeClr w14:val="tx1"/>
                        </w14:solidFill>
                      </w14:textFill>
                    </w:rPr>
                    <w:t>牛栏江流域（寻甸段）水环境保护规划</w:t>
                  </w:r>
                  <w:r>
                    <w:rPr>
                      <w:rFonts w:hint="eastAsia"/>
                      <w:b w:val="0"/>
                      <w:bCs w:val="0"/>
                      <w:color w:val="000000" w:themeColor="text1"/>
                      <w:sz w:val="21"/>
                      <w:szCs w:val="21"/>
                      <w:highlight w:val="none"/>
                      <w:lang w:val="en-US" w:eastAsia="zh-CN"/>
                      <w14:textFill>
                        <w14:solidFill>
                          <w14:schemeClr w14:val="tx1"/>
                        </w14:solidFill>
                      </w14:textFill>
                    </w:rPr>
                    <w:t>中水源保护核心区的限制建设区。</w:t>
                  </w:r>
                </w:p>
              </w:tc>
              <w:tc>
                <w:tcPr>
                  <w:tcW w:w="435" w:type="pct"/>
                  <w:vAlign w:val="center"/>
                </w:tcPr>
                <w:p w14:paraId="5ECE20C9">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714B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4" w:type="pct"/>
                  <w:vAlign w:val="center"/>
                </w:tcPr>
                <w:p w14:paraId="0632A27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2630" w:type="pct"/>
                  <w:vAlign w:val="center"/>
                </w:tcPr>
                <w:p w14:paraId="04D850F9">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限建区限制新建、扩建、改建重污染工业项目以及破坏生态平衡和自然景观的其他项目；现有工业企业污水“零排放”；限制畜禽养殖规模只减不增。在限制区内的村镇要加大污染治理力度，建设集镇污水、垃圾及畜禽粪便污染一体化防治措施；限建区禁止种植花卉，规模化蔬菜种植面积只减不增，禁止使用化肥；构建主要入江河道的生态防护廊道，加强监督管理，提高环境监测能力和管理水平。</w:t>
                  </w:r>
                </w:p>
              </w:tc>
              <w:tc>
                <w:tcPr>
                  <w:tcW w:w="1669" w:type="pct"/>
                  <w:vAlign w:val="center"/>
                </w:tcPr>
                <w:p w14:paraId="7E408588">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000000" w:themeColor="text1"/>
                      <w:sz w:val="21"/>
                      <w:szCs w:val="21"/>
                      <w:highlight w:val="none"/>
                      <w:lang w:val="en-US" w:eastAsia="zh-CN"/>
                      <w14:textFill>
                        <w14:solidFill>
                          <w14:schemeClr w14:val="tx1"/>
                        </w14:solidFill>
                      </w14:textFill>
                    </w:rPr>
                  </w:pPr>
                  <w:r>
                    <w:rPr>
                      <w:rFonts w:hint="default"/>
                      <w:b w:val="0"/>
                      <w:bCs w:val="0"/>
                      <w:color w:val="000000" w:themeColor="text1"/>
                      <w:sz w:val="21"/>
                      <w:szCs w:val="21"/>
                      <w:highlight w:val="none"/>
                      <w14:textFill>
                        <w14:solidFill>
                          <w14:schemeClr w14:val="tx1"/>
                        </w14:solidFill>
                      </w14:textFill>
                    </w:rPr>
                    <w:t>本项目厂界距牛栏江最近距离 869m，地处牛栏江流域（寻甸段）水环境保护规划水源保护核心区限制建设区内。项目为常青树磷石膏渣库存量磷石膏改性处置临时工程，建设初衷是资源化消纳</w:t>
                  </w:r>
                  <w:r>
                    <w:rPr>
                      <w:rFonts w:hint="eastAsia"/>
                      <w:b w:val="0"/>
                      <w:bCs w:val="0"/>
                      <w:color w:val="000000" w:themeColor="text1"/>
                      <w:sz w:val="21"/>
                      <w:szCs w:val="21"/>
                      <w:highlight w:val="none"/>
                      <w:lang w:val="en-US" w:eastAsia="zh-CN"/>
                      <w14:textFill>
                        <w14:solidFill>
                          <w14:schemeClr w14:val="tx1"/>
                        </w14:solidFill>
                      </w14:textFill>
                    </w:rPr>
                    <w:t>常青树</w:t>
                  </w:r>
                  <w:r>
                    <w:rPr>
                      <w:rFonts w:hint="default"/>
                      <w:b w:val="0"/>
                      <w:bCs w:val="0"/>
                      <w:color w:val="000000" w:themeColor="text1"/>
                      <w:sz w:val="21"/>
                      <w:szCs w:val="21"/>
                      <w:highlight w:val="none"/>
                      <w14:textFill>
                        <w14:solidFill>
                          <w14:schemeClr w14:val="tx1"/>
                        </w14:solidFill>
                      </w14:textFill>
                    </w:rPr>
                    <w:t>渣库存放磷石膏、根除渣库长期堆存引发的历史环境遗留隐患；项目生产过程不产生生产废水，大气污染物仅为加工扬尘，通过洒水抑尘等管控措施可有效削减，环境影响可控；项目属阶段性临时</w:t>
                  </w:r>
                  <w:r>
                    <w:rPr>
                      <w:rFonts w:hint="eastAsia"/>
                      <w:b w:val="0"/>
                      <w:bCs w:val="0"/>
                      <w:color w:val="000000" w:themeColor="text1"/>
                      <w:sz w:val="21"/>
                      <w:szCs w:val="21"/>
                      <w:highlight w:val="none"/>
                      <w:lang w:val="en-US" w:eastAsia="zh-CN"/>
                      <w14:textFill>
                        <w14:solidFill>
                          <w14:schemeClr w14:val="tx1"/>
                        </w14:solidFill>
                      </w14:textFill>
                    </w:rPr>
                    <w:t>工程</w:t>
                  </w:r>
                  <w:r>
                    <w:rPr>
                      <w:rFonts w:hint="default"/>
                      <w:b w:val="0"/>
                      <w:bCs w:val="0"/>
                      <w:color w:val="000000" w:themeColor="text1"/>
                      <w:sz w:val="21"/>
                      <w:szCs w:val="21"/>
                      <w:highlight w:val="none"/>
                      <w14:textFill>
                        <w14:solidFill>
                          <w14:schemeClr w14:val="tx1"/>
                        </w14:solidFill>
                      </w14:textFill>
                    </w:rPr>
                    <w:t>，待存量磷石膏全部改性处置完成后即刻停产撤场，从源头消除磷石膏堆存对区域水环境的潜在风险，契合流域生态环境整治总体要求。</w:t>
                  </w:r>
                  <w:r>
                    <w:rPr>
                      <w:rFonts w:hint="eastAsia"/>
                      <w:b w:val="0"/>
                      <w:bCs w:val="0"/>
                      <w:color w:val="000000" w:themeColor="text1"/>
                      <w:sz w:val="21"/>
                      <w:szCs w:val="21"/>
                      <w:highlight w:val="none"/>
                      <w:lang w:val="en-US" w:eastAsia="zh-CN"/>
                      <w14:textFill>
                        <w14:solidFill>
                          <w14:schemeClr w14:val="tx1"/>
                        </w14:solidFill>
                      </w14:textFill>
                    </w:rPr>
                    <w:t>且本项目不属于</w:t>
                  </w:r>
                  <w:r>
                    <w:rPr>
                      <w:rFonts w:hint="eastAsia"/>
                      <w:color w:val="000000" w:themeColor="text1"/>
                      <w:sz w:val="21"/>
                      <w:szCs w:val="21"/>
                      <w:highlight w:val="none"/>
                      <w:lang w:val="en-US" w:eastAsia="zh-CN"/>
                      <w14:textFill>
                        <w14:solidFill>
                          <w14:schemeClr w14:val="tx1"/>
                        </w14:solidFill>
                      </w14:textFill>
                    </w:rPr>
                    <w:t>破坏生态平衡和自然景观的其他项目，也不属于畜禽养殖、规模化蔬菜种植等。</w:t>
                  </w:r>
                </w:p>
              </w:tc>
              <w:tc>
                <w:tcPr>
                  <w:tcW w:w="435" w:type="pct"/>
                  <w:vAlign w:val="center"/>
                </w:tcPr>
                <w:p w14:paraId="63034DDA">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bl>
          <w:p w14:paraId="24343D3A">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由上表分析可知，</w:t>
            </w:r>
            <w:r>
              <w:rPr>
                <w:rFonts w:hint="default"/>
                <w:color w:val="000000" w:themeColor="text1"/>
                <w:sz w:val="24"/>
                <w:szCs w:val="20"/>
                <w:highlight w:val="none"/>
                <w14:textFill>
                  <w14:solidFill>
                    <w14:schemeClr w14:val="tx1"/>
                  </w14:solidFill>
                </w14:textFill>
              </w:rPr>
              <w:t>项目符合《牛栏江流域（寻甸段）水环境保护规划》</w:t>
            </w:r>
            <w:r>
              <w:rPr>
                <w:rFonts w:hint="eastAsia"/>
                <w:color w:val="000000" w:themeColor="text1"/>
                <w:sz w:val="24"/>
                <w:szCs w:val="20"/>
                <w:highlight w:val="none"/>
                <w14:textFill>
                  <w14:solidFill>
                    <w14:schemeClr w14:val="tx1"/>
                  </w14:solidFill>
                </w14:textFill>
              </w:rPr>
              <w:t>中</w:t>
            </w:r>
            <w:r>
              <w:rPr>
                <w:rFonts w:hint="default"/>
                <w:color w:val="000000" w:themeColor="text1"/>
                <w:sz w:val="24"/>
                <w:szCs w:val="20"/>
                <w:highlight w:val="none"/>
                <w14:textFill>
                  <w14:solidFill>
                    <w14:schemeClr w14:val="tx1"/>
                  </w14:solidFill>
                </w14:textFill>
              </w:rPr>
              <w:t>的相关要求。</w:t>
            </w:r>
          </w:p>
          <w:p w14:paraId="40C0F7CA">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7</w:t>
            </w:r>
            <w:r>
              <w:rPr>
                <w:rFonts w:hint="eastAsia"/>
                <w:b/>
                <w:bCs/>
                <w:color w:val="000000" w:themeColor="text1"/>
                <w:sz w:val="24"/>
                <w:szCs w:val="20"/>
                <w:highlight w:val="none"/>
                <w:lang w:val="en-US" w:eastAsia="zh-CN"/>
                <w14:textFill>
                  <w14:solidFill>
                    <w14:schemeClr w14:val="tx1"/>
                  </w14:solidFill>
                </w14:textFill>
              </w:rPr>
              <w:t>.</w:t>
            </w:r>
            <w:r>
              <w:rPr>
                <w:rFonts w:hint="default"/>
                <w:b/>
                <w:color w:val="000000" w:themeColor="text1"/>
                <w:sz w:val="24"/>
                <w:szCs w:val="20"/>
                <w:highlight w:val="none"/>
                <w14:textFill>
                  <w14:solidFill>
                    <w14:schemeClr w14:val="tx1"/>
                  </w14:solidFill>
                </w14:textFill>
              </w:rPr>
              <w:t>与</w:t>
            </w:r>
            <w:r>
              <w:rPr>
                <w:rFonts w:hint="eastAsia"/>
                <w:b/>
                <w:bCs/>
                <w:color w:val="000000" w:themeColor="text1"/>
                <w:sz w:val="24"/>
                <w:szCs w:val="20"/>
                <w:highlight w:val="none"/>
                <w14:textFill>
                  <w14:solidFill>
                    <w14:schemeClr w14:val="tx1"/>
                  </w14:solidFill>
                </w14:textFill>
              </w:rPr>
              <w:t>《长江经济带发展负面清单指南》（试行，2022年版）的符合性分析</w:t>
            </w:r>
          </w:p>
          <w:p w14:paraId="4913A19E">
            <w:pPr>
              <w:keepNext w:val="0"/>
              <w:keepLines w:val="0"/>
              <w:suppressLineNumbers w:val="0"/>
              <w:spacing w:before="0" w:beforeAutospacing="0" w:after="0" w:afterAutospacing="0" w:line="360" w:lineRule="auto"/>
              <w:ind w:left="0" w:right="0" w:firstLine="480" w:firstLineChars="200"/>
              <w:jc w:val="left"/>
              <w:rPr>
                <w:rFonts w:hint="default" w:hAnsi="宋体"/>
                <w:bCs/>
                <w:color w:val="000000" w:themeColor="text1"/>
                <w:sz w:val="24"/>
                <w:szCs w:val="20"/>
                <w:highlight w:val="none"/>
                <w14:textFill>
                  <w14:solidFill>
                    <w14:schemeClr w14:val="tx1"/>
                  </w14:solidFill>
                </w14:textFill>
              </w:rPr>
            </w:pPr>
            <w:r>
              <w:rPr>
                <w:rFonts w:hint="eastAsia" w:hAnsi="宋体"/>
                <w:bCs/>
                <w:color w:val="000000" w:themeColor="text1"/>
                <w:sz w:val="24"/>
                <w:szCs w:val="20"/>
                <w:highlight w:val="none"/>
                <w14:textFill>
                  <w14:solidFill>
                    <w14:schemeClr w14:val="tx1"/>
                  </w14:solidFill>
                </w14:textFill>
              </w:rPr>
              <w:t>项目与《长江经济带发展负面清单指南》（试行，</w:t>
            </w:r>
            <w:r>
              <w:rPr>
                <w:rFonts w:hint="default" w:hAnsi="宋体"/>
                <w:bCs/>
                <w:color w:val="000000" w:themeColor="text1"/>
                <w:sz w:val="24"/>
                <w:szCs w:val="20"/>
                <w:highlight w:val="none"/>
                <w14:textFill>
                  <w14:solidFill>
                    <w14:schemeClr w14:val="tx1"/>
                  </w14:solidFill>
                </w14:textFill>
              </w:rPr>
              <w:t>2022</w:t>
            </w:r>
            <w:r>
              <w:rPr>
                <w:rFonts w:hint="eastAsia" w:hAnsi="宋体"/>
                <w:bCs/>
                <w:color w:val="000000" w:themeColor="text1"/>
                <w:sz w:val="24"/>
                <w:szCs w:val="20"/>
                <w:highlight w:val="none"/>
                <w14:textFill>
                  <w14:solidFill>
                    <w14:schemeClr w14:val="tx1"/>
                  </w14:solidFill>
                </w14:textFill>
              </w:rPr>
              <w:t>年版）对比分析情况见下表</w:t>
            </w:r>
            <w:r>
              <w:rPr>
                <w:rFonts w:hint="default" w:hAnsi="宋体"/>
                <w:bCs/>
                <w:color w:val="000000" w:themeColor="text1"/>
                <w:sz w:val="24"/>
                <w:szCs w:val="20"/>
                <w:highlight w:val="none"/>
                <w14:textFill>
                  <w14:solidFill>
                    <w14:schemeClr w14:val="tx1"/>
                  </w14:solidFill>
                </w14:textFill>
              </w:rPr>
              <w:t>1-</w:t>
            </w:r>
            <w:r>
              <w:rPr>
                <w:rFonts w:hint="eastAsia" w:hAnsi="宋体"/>
                <w:bCs/>
                <w:color w:val="000000" w:themeColor="text1"/>
                <w:sz w:val="24"/>
                <w:szCs w:val="20"/>
                <w:highlight w:val="none"/>
                <w:lang w:val="en-US" w:eastAsia="zh-CN"/>
                <w14:textFill>
                  <w14:solidFill>
                    <w14:schemeClr w14:val="tx1"/>
                  </w14:solidFill>
                </w14:textFill>
              </w:rPr>
              <w:t>8</w:t>
            </w:r>
            <w:r>
              <w:rPr>
                <w:rFonts w:hint="eastAsia" w:hAnsi="宋体"/>
                <w:bCs/>
                <w:color w:val="000000" w:themeColor="text1"/>
                <w:sz w:val="24"/>
                <w:szCs w:val="20"/>
                <w:highlight w:val="none"/>
                <w14:textFill>
                  <w14:solidFill>
                    <w14:schemeClr w14:val="tx1"/>
                  </w14:solidFill>
                </w14:textFill>
              </w:rPr>
              <w:t>。</w:t>
            </w:r>
          </w:p>
          <w:p w14:paraId="7DD0D1D8">
            <w:pPr>
              <w:keepNext w:val="0"/>
              <w:keepLines w:val="0"/>
              <w:suppressLineNumbers w:val="0"/>
              <w:spacing w:before="0" w:beforeAutospacing="0" w:after="0" w:afterAutospacing="0"/>
              <w:ind w:left="0" w:right="0"/>
              <w:jc w:val="center"/>
              <w:rPr>
                <w:rFonts w:hint="default"/>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表1-</w:t>
            </w:r>
            <w:r>
              <w:rPr>
                <w:rFonts w:hint="eastAsia"/>
                <w:b/>
                <w:bCs/>
                <w:color w:val="000000" w:themeColor="text1"/>
                <w:sz w:val="24"/>
                <w:szCs w:val="20"/>
                <w:highlight w:val="none"/>
                <w:lang w:val="en-US" w:eastAsia="zh-CN"/>
                <w14:textFill>
                  <w14:solidFill>
                    <w14:schemeClr w14:val="tx1"/>
                  </w14:solidFill>
                </w14:textFill>
              </w:rPr>
              <w:t>8</w:t>
            </w:r>
            <w:r>
              <w:rPr>
                <w:rFonts w:hint="eastAsia"/>
                <w:b/>
                <w:bCs/>
                <w:color w:val="000000" w:themeColor="text1"/>
                <w:sz w:val="24"/>
                <w:szCs w:val="20"/>
                <w:highlight w:val="none"/>
                <w14:textFill>
                  <w14:solidFill>
                    <w14:schemeClr w14:val="tx1"/>
                  </w14:solidFill>
                </w14:textFill>
              </w:rPr>
              <w:t xml:space="preserve">  与</w:t>
            </w:r>
            <w:r>
              <w:rPr>
                <w:rFonts w:hint="eastAsia" w:hAnsi="宋体"/>
                <w:b/>
                <w:bCs/>
                <w:color w:val="000000" w:themeColor="text1"/>
                <w:sz w:val="24"/>
                <w:szCs w:val="20"/>
                <w:highlight w:val="none"/>
                <w14:textFill>
                  <w14:solidFill>
                    <w14:schemeClr w14:val="tx1"/>
                  </w14:solidFill>
                </w14:textFill>
              </w:rPr>
              <w:t>《长江经济带发展负面清单指南》（试行，</w:t>
            </w:r>
            <w:r>
              <w:rPr>
                <w:rFonts w:hint="default" w:hAnsi="宋体"/>
                <w:b/>
                <w:bCs/>
                <w:color w:val="000000" w:themeColor="text1"/>
                <w:sz w:val="24"/>
                <w:szCs w:val="20"/>
                <w:highlight w:val="none"/>
                <w14:textFill>
                  <w14:solidFill>
                    <w14:schemeClr w14:val="tx1"/>
                  </w14:solidFill>
                </w14:textFill>
              </w:rPr>
              <w:t>2022</w:t>
            </w:r>
            <w:r>
              <w:rPr>
                <w:rFonts w:hint="eastAsia" w:hAnsi="宋体"/>
                <w:b/>
                <w:bCs/>
                <w:color w:val="000000" w:themeColor="text1"/>
                <w:sz w:val="24"/>
                <w:szCs w:val="20"/>
                <w:highlight w:val="none"/>
                <w14:textFill>
                  <w14:solidFill>
                    <w14:schemeClr w14:val="tx1"/>
                  </w14:solidFill>
                </w14:textFill>
              </w:rPr>
              <w:t>年版）相符性分析</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4532"/>
              <w:gridCol w:w="2217"/>
              <w:gridCol w:w="952"/>
            </w:tblGrid>
            <w:tr w14:paraId="2C37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2" w:type="pct"/>
                  <w:vAlign w:val="center"/>
                </w:tcPr>
                <w:p w14:paraId="4ECEBBA2">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序号</w:t>
                  </w:r>
                </w:p>
              </w:tc>
              <w:tc>
                <w:tcPr>
                  <w:tcW w:w="2764" w:type="pct"/>
                  <w:vAlign w:val="center"/>
                </w:tcPr>
                <w:p w14:paraId="4F713508">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《长江经济带发展负面清单指南（试行）》</w:t>
                  </w:r>
                </w:p>
              </w:tc>
              <w:tc>
                <w:tcPr>
                  <w:tcW w:w="1352" w:type="pct"/>
                  <w:vAlign w:val="center"/>
                </w:tcPr>
                <w:p w14:paraId="10273B1E">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本项目实际情况</w:t>
                  </w:r>
                </w:p>
              </w:tc>
              <w:tc>
                <w:tcPr>
                  <w:tcW w:w="580" w:type="pct"/>
                  <w:vAlign w:val="center"/>
                </w:tcPr>
                <w:p w14:paraId="3BC9985E">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符合性</w:t>
                  </w:r>
                </w:p>
              </w:tc>
            </w:tr>
            <w:tr w14:paraId="255C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5F4B7A62">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w:t>
                  </w:r>
                </w:p>
              </w:tc>
              <w:tc>
                <w:tcPr>
                  <w:tcW w:w="2764" w:type="pct"/>
                  <w:vAlign w:val="center"/>
                </w:tcPr>
                <w:p w14:paraId="0AB00EC0">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禁止建设不符合全国和省级港口布局规划以及港口总体规划的码头项目，禁止建设不符合《长江干线过江通道布局规划》的过长江通道项目。</w:t>
                  </w:r>
                </w:p>
              </w:tc>
              <w:tc>
                <w:tcPr>
                  <w:tcW w:w="1352" w:type="pct"/>
                  <w:vAlign w:val="center"/>
                </w:tcPr>
                <w:p w14:paraId="2C0A1A11">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本项目不涉及码头</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过长江通道项目。</w:t>
                  </w:r>
                </w:p>
              </w:tc>
              <w:tc>
                <w:tcPr>
                  <w:tcW w:w="580" w:type="pct"/>
                  <w:vAlign w:val="center"/>
                </w:tcPr>
                <w:p w14:paraId="42893F75">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1F50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178434D1">
                  <w:pPr>
                    <w:keepNext w:val="0"/>
                    <w:keepLines w:val="0"/>
                    <w:widowControl/>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2764" w:type="pct"/>
                  <w:vAlign w:val="center"/>
                </w:tcPr>
                <w:p w14:paraId="0D0A0129">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禁止在自然保护区核心区、缓冲区的岸线和河段范围内投资建设旅游和生产经营项目。禁止在风景名胜区核心景区的岸线和河段范围内投资建设与风景名胜资源保护无关的项目。</w:t>
                  </w:r>
                </w:p>
              </w:tc>
              <w:tc>
                <w:tcPr>
                  <w:tcW w:w="1352" w:type="pct"/>
                  <w:vAlign w:val="center"/>
                </w:tcPr>
                <w:p w14:paraId="2FDAFBEA">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根据项目生态保护红线查询情况说明，项目不涉及自然保护区、风景名胜区。</w:t>
                  </w:r>
                </w:p>
              </w:tc>
              <w:tc>
                <w:tcPr>
                  <w:tcW w:w="580" w:type="pct"/>
                  <w:vAlign w:val="center"/>
                </w:tcPr>
                <w:p w14:paraId="29F04745">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0DC4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23E2A47E">
                  <w:pPr>
                    <w:keepNext w:val="0"/>
                    <w:keepLines w:val="0"/>
                    <w:widowControl/>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2764" w:type="pct"/>
                  <w:vAlign w:val="center"/>
                </w:tcPr>
                <w:p w14:paraId="2FF5C3A6">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禁止在饮用水水源一级保护区的岸线和河段范围内新建、改建、扩建与供水设施和保护水源无关口项目，以及网箱养殖、旅游等可能污染</w:t>
                  </w:r>
                  <w:r>
                    <w:rPr>
                      <w:rFonts w:hint="eastAsia"/>
                      <w:color w:val="000000" w:themeColor="text1"/>
                      <w:sz w:val="21"/>
                      <w:szCs w:val="21"/>
                      <w:highlight w:val="none"/>
                      <w:lang w:eastAsia="zh-CN"/>
                      <w14:textFill>
                        <w14:solidFill>
                          <w14:schemeClr w14:val="tx1"/>
                        </w14:solidFill>
                      </w14:textFill>
                    </w:rPr>
                    <w:t>饮用水</w:t>
                  </w:r>
                  <w:r>
                    <w:rPr>
                      <w:rFonts w:hint="eastAsia"/>
                      <w:color w:val="000000" w:themeColor="text1"/>
                      <w:sz w:val="21"/>
                      <w:szCs w:val="21"/>
                      <w:highlight w:val="none"/>
                      <w14:textFill>
                        <w14:solidFill>
                          <w14:schemeClr w14:val="tx1"/>
                        </w14:solidFill>
                      </w14:textFill>
                    </w:rPr>
                    <w:t>水体的投资建设项目。禁止在饮用水水源二级保护区的岸线和河段范围内新建、改建、扩建排放污染物的投资建设项目。</w:t>
                  </w:r>
                </w:p>
              </w:tc>
              <w:tc>
                <w:tcPr>
                  <w:tcW w:w="1352" w:type="pct"/>
                  <w:vAlign w:val="center"/>
                </w:tcPr>
                <w:p w14:paraId="4F6D89A8">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本项目不涉及饮用水源保护区。</w:t>
                  </w:r>
                </w:p>
              </w:tc>
              <w:tc>
                <w:tcPr>
                  <w:tcW w:w="580" w:type="pct"/>
                  <w:vAlign w:val="center"/>
                </w:tcPr>
                <w:p w14:paraId="05076225">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3299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214C9C3D">
                  <w:pPr>
                    <w:keepNext w:val="0"/>
                    <w:keepLines w:val="0"/>
                    <w:widowControl/>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p>
              </w:tc>
              <w:tc>
                <w:tcPr>
                  <w:tcW w:w="2764" w:type="pct"/>
                  <w:vAlign w:val="center"/>
                </w:tcPr>
                <w:p w14:paraId="37B3EBAA">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1352" w:type="pct"/>
                  <w:vAlign w:val="center"/>
                </w:tcPr>
                <w:p w14:paraId="00B39724">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本项目不涉及水产种质资源保护区。</w:t>
                  </w:r>
                </w:p>
              </w:tc>
              <w:tc>
                <w:tcPr>
                  <w:tcW w:w="580" w:type="pct"/>
                  <w:vAlign w:val="center"/>
                </w:tcPr>
                <w:p w14:paraId="7CB6F89D">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2F6D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390CF1FB">
                  <w:pPr>
                    <w:keepNext w:val="0"/>
                    <w:keepLines w:val="0"/>
                    <w:widowControl/>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c>
                <w:tcPr>
                  <w:tcW w:w="2764" w:type="pct"/>
                  <w:vAlign w:val="center"/>
                </w:tcPr>
                <w:p w14:paraId="665AF7D0">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禁止在《长江岸线保护和开发利用总体规划》划定的岸口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1352" w:type="pct"/>
                  <w:vAlign w:val="center"/>
                </w:tcPr>
                <w:p w14:paraId="553A403C">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本项目均不涉及</w:t>
                  </w:r>
                </w:p>
              </w:tc>
              <w:tc>
                <w:tcPr>
                  <w:tcW w:w="580" w:type="pct"/>
                  <w:vAlign w:val="center"/>
                </w:tcPr>
                <w:p w14:paraId="5E319696">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3087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0285838E">
                  <w:pPr>
                    <w:keepNext w:val="0"/>
                    <w:keepLines w:val="0"/>
                    <w:widowControl/>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p>
              </w:tc>
              <w:tc>
                <w:tcPr>
                  <w:tcW w:w="2764" w:type="pct"/>
                  <w:vAlign w:val="center"/>
                </w:tcPr>
                <w:p w14:paraId="65B343EB">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禁止在生态保护红线和永久基本农田范围内投资建设除国家重大战略资源勘查项目、生态保护修复和环境治理项目、重大基础设施项目、军口国防项目口及农牧民基本生产生活等必要的民生项目以外的项目。</w:t>
                  </w:r>
                </w:p>
              </w:tc>
              <w:tc>
                <w:tcPr>
                  <w:tcW w:w="1352" w:type="pct"/>
                  <w:vAlign w:val="center"/>
                </w:tcPr>
                <w:p w14:paraId="103B358B">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项目不</w:t>
                  </w:r>
                  <w:r>
                    <w:rPr>
                      <w:rFonts w:hint="eastAsia" w:ascii="宋体" w:hAnsi="宋体"/>
                      <w:color w:val="000000" w:themeColor="text1"/>
                      <w:sz w:val="21"/>
                      <w:szCs w:val="21"/>
                      <w:highlight w:val="none"/>
                      <w14:textFill>
                        <w14:solidFill>
                          <w14:schemeClr w14:val="tx1"/>
                        </w14:solidFill>
                      </w14:textFill>
                    </w:rPr>
                    <w:t>涉及基本农田，不在生态保护红线范围内。</w:t>
                  </w:r>
                </w:p>
              </w:tc>
              <w:tc>
                <w:tcPr>
                  <w:tcW w:w="580" w:type="pct"/>
                  <w:vAlign w:val="center"/>
                </w:tcPr>
                <w:p w14:paraId="6D062EFC">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231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34BE453A">
                  <w:pPr>
                    <w:keepNext w:val="0"/>
                    <w:keepLines w:val="0"/>
                    <w:widowControl/>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p>
              </w:tc>
              <w:tc>
                <w:tcPr>
                  <w:tcW w:w="2764" w:type="pct"/>
                  <w:vAlign w:val="center"/>
                </w:tcPr>
                <w:p w14:paraId="3D03ADE5">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禁止新建、扩建法律法规和相关政策明令禁止的落后产能项目。</w:t>
                  </w:r>
                </w:p>
              </w:tc>
              <w:tc>
                <w:tcPr>
                  <w:tcW w:w="1352" w:type="pct"/>
                  <w:vAlign w:val="center"/>
                </w:tcPr>
                <w:p w14:paraId="26ED7FF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本项目不属于禁止落后产能项目</w:t>
                  </w:r>
                </w:p>
              </w:tc>
              <w:tc>
                <w:tcPr>
                  <w:tcW w:w="580" w:type="pct"/>
                  <w:vAlign w:val="center"/>
                </w:tcPr>
                <w:p w14:paraId="6E714EE4">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598F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2" w:type="pct"/>
                  <w:vAlign w:val="center"/>
                </w:tcPr>
                <w:p w14:paraId="5002B942">
                  <w:pPr>
                    <w:keepNext w:val="0"/>
                    <w:keepLines w:val="0"/>
                    <w:widowControl/>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p>
              </w:tc>
              <w:tc>
                <w:tcPr>
                  <w:tcW w:w="2764" w:type="pct"/>
                  <w:vAlign w:val="center"/>
                </w:tcPr>
                <w:p w14:paraId="6C09503E">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禁止新建、扩建不符合国家产能置换要求的严重过剩产能行业的项目。禁止新建、扩建不符合要求的高耗能高排放项目</w:t>
                  </w:r>
                </w:p>
              </w:tc>
              <w:tc>
                <w:tcPr>
                  <w:tcW w:w="1352" w:type="pct"/>
                  <w:vAlign w:val="center"/>
                </w:tcPr>
                <w:p w14:paraId="64512523">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本项目不属于过剩产能行业项目</w:t>
                  </w:r>
                </w:p>
              </w:tc>
              <w:tc>
                <w:tcPr>
                  <w:tcW w:w="580" w:type="pct"/>
                  <w:vAlign w:val="center"/>
                </w:tcPr>
                <w:p w14:paraId="730E5FBF">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bl>
          <w:p w14:paraId="695FF65D">
            <w:pPr>
              <w:keepNext w:val="0"/>
              <w:keepLines w:val="0"/>
              <w:suppressLineNumbers w:val="0"/>
              <w:spacing w:before="0" w:beforeAutospacing="0" w:after="0" w:afterAutospacing="0" w:line="360" w:lineRule="auto"/>
              <w:ind w:left="0" w:right="0" w:firstLine="480" w:firstLineChars="200"/>
              <w:jc w:val="left"/>
              <w:rPr>
                <w:rFonts w:hint="default" w:hAnsi="宋体"/>
                <w:bCs/>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综上所述，项目的建设符合</w:t>
            </w:r>
            <w:r>
              <w:rPr>
                <w:rFonts w:hint="eastAsia" w:hAnsi="宋体"/>
                <w:bCs/>
                <w:color w:val="000000" w:themeColor="text1"/>
                <w:sz w:val="24"/>
                <w:szCs w:val="20"/>
                <w:highlight w:val="none"/>
                <w14:textFill>
                  <w14:solidFill>
                    <w14:schemeClr w14:val="tx1"/>
                  </w14:solidFill>
                </w14:textFill>
              </w:rPr>
              <w:t>《长江经济带发展负面清单指南》（试行，</w:t>
            </w:r>
            <w:r>
              <w:rPr>
                <w:rFonts w:hint="default" w:hAnsi="宋体"/>
                <w:bCs/>
                <w:color w:val="000000" w:themeColor="text1"/>
                <w:sz w:val="24"/>
                <w:szCs w:val="20"/>
                <w:highlight w:val="none"/>
                <w14:textFill>
                  <w14:solidFill>
                    <w14:schemeClr w14:val="tx1"/>
                  </w14:solidFill>
                </w14:textFill>
              </w:rPr>
              <w:t>2022</w:t>
            </w:r>
            <w:r>
              <w:rPr>
                <w:rFonts w:hint="eastAsia" w:hAnsi="宋体"/>
                <w:bCs/>
                <w:color w:val="000000" w:themeColor="text1"/>
                <w:sz w:val="24"/>
                <w:szCs w:val="20"/>
                <w:highlight w:val="none"/>
                <w14:textFill>
                  <w14:solidFill>
                    <w14:schemeClr w14:val="tx1"/>
                  </w14:solidFill>
                </w14:textFill>
              </w:rPr>
              <w:t>年版）。</w:t>
            </w:r>
          </w:p>
          <w:p w14:paraId="21E4B949">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0"/>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8</w:t>
            </w:r>
            <w:r>
              <w:rPr>
                <w:rFonts w:hint="eastAsia"/>
                <w:b/>
                <w:bCs/>
                <w:color w:val="000000" w:themeColor="text1"/>
                <w:sz w:val="24"/>
                <w:szCs w:val="20"/>
                <w:highlight w:val="none"/>
                <w:lang w:val="en-US" w:eastAsia="zh-CN"/>
                <w14:textFill>
                  <w14:solidFill>
                    <w14:schemeClr w14:val="tx1"/>
                  </w14:solidFill>
                </w14:textFill>
              </w:rPr>
              <w:t>.</w:t>
            </w:r>
            <w:r>
              <w:rPr>
                <w:rFonts w:hint="default"/>
                <w:b/>
                <w:bCs/>
                <w:color w:val="000000" w:themeColor="text1"/>
                <w:sz w:val="24"/>
                <w:szCs w:val="20"/>
                <w:highlight w:val="none"/>
                <w14:textFill>
                  <w14:solidFill>
                    <w14:schemeClr w14:val="tx1"/>
                  </w14:solidFill>
                </w14:textFill>
              </w:rPr>
              <w:t>与《云南省长江经济带发展负面清单指南实施细则（试行，2022年版）》的符合性分析</w:t>
            </w:r>
          </w:p>
          <w:p w14:paraId="5D413D58">
            <w:pPr>
              <w:keepNext w:val="0"/>
              <w:keepLines w:val="0"/>
              <w:suppressLineNumbers w:val="0"/>
              <w:spacing w:before="0" w:beforeAutospacing="0" w:after="0" w:afterAutospacing="0" w:line="360" w:lineRule="auto"/>
              <w:ind w:left="0" w:right="0" w:firstLine="480" w:firstLineChars="200"/>
              <w:jc w:val="left"/>
              <w:rPr>
                <w:rFonts w:hint="default" w:hAnsi="宋体"/>
                <w:bCs/>
                <w:color w:val="000000" w:themeColor="text1"/>
                <w:sz w:val="24"/>
                <w:szCs w:val="20"/>
                <w:highlight w:val="none"/>
                <w14:textFill>
                  <w14:solidFill>
                    <w14:schemeClr w14:val="tx1"/>
                  </w14:solidFill>
                </w14:textFill>
              </w:rPr>
            </w:pPr>
            <w:r>
              <w:rPr>
                <w:rFonts w:hint="eastAsia" w:hAnsi="宋体"/>
                <w:bCs/>
                <w:color w:val="000000" w:themeColor="text1"/>
                <w:sz w:val="24"/>
                <w:szCs w:val="20"/>
                <w:highlight w:val="none"/>
                <w14:textFill>
                  <w14:solidFill>
                    <w14:schemeClr w14:val="tx1"/>
                  </w14:solidFill>
                </w14:textFill>
              </w:rPr>
              <w:t>项目与《云南省长江经济带发展负面清单指南实施细则（试行，2022年版）》对比分析情况见下表</w:t>
            </w:r>
            <w:r>
              <w:rPr>
                <w:rFonts w:hint="default" w:hAnsi="宋体"/>
                <w:bCs/>
                <w:color w:val="000000" w:themeColor="text1"/>
                <w:sz w:val="24"/>
                <w:szCs w:val="20"/>
                <w:highlight w:val="none"/>
                <w14:textFill>
                  <w14:solidFill>
                    <w14:schemeClr w14:val="tx1"/>
                  </w14:solidFill>
                </w14:textFill>
              </w:rPr>
              <w:t>1-</w:t>
            </w:r>
            <w:r>
              <w:rPr>
                <w:rFonts w:hint="eastAsia" w:hAnsi="宋体"/>
                <w:bCs/>
                <w:color w:val="000000" w:themeColor="text1"/>
                <w:sz w:val="24"/>
                <w:szCs w:val="20"/>
                <w:highlight w:val="none"/>
                <w:lang w:val="en-US" w:eastAsia="zh-CN"/>
                <w14:textFill>
                  <w14:solidFill>
                    <w14:schemeClr w14:val="tx1"/>
                  </w14:solidFill>
                </w14:textFill>
              </w:rPr>
              <w:t>9</w:t>
            </w:r>
            <w:r>
              <w:rPr>
                <w:rFonts w:hint="eastAsia" w:hAnsi="宋体"/>
                <w:bCs/>
                <w:color w:val="000000" w:themeColor="text1"/>
                <w:sz w:val="24"/>
                <w:szCs w:val="20"/>
                <w:highlight w:val="none"/>
                <w14:textFill>
                  <w14:solidFill>
                    <w14:schemeClr w14:val="tx1"/>
                  </w14:solidFill>
                </w14:textFill>
              </w:rPr>
              <w:t>。</w:t>
            </w:r>
          </w:p>
          <w:p w14:paraId="3320CBF1">
            <w:pPr>
              <w:keepNext w:val="0"/>
              <w:keepLines w:val="0"/>
              <w:suppressLineNumbers w:val="0"/>
              <w:spacing w:before="0" w:beforeAutospacing="0" w:after="0" w:afterAutospacing="0"/>
              <w:ind w:left="0" w:right="0"/>
              <w:jc w:val="center"/>
              <w:rPr>
                <w:rFonts w:hint="default"/>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表1-</w:t>
            </w:r>
            <w:r>
              <w:rPr>
                <w:rFonts w:hint="eastAsia"/>
                <w:b/>
                <w:bCs/>
                <w:color w:val="000000" w:themeColor="text1"/>
                <w:sz w:val="24"/>
                <w:szCs w:val="20"/>
                <w:highlight w:val="none"/>
                <w:lang w:val="en-US" w:eastAsia="zh-CN"/>
                <w14:textFill>
                  <w14:solidFill>
                    <w14:schemeClr w14:val="tx1"/>
                  </w14:solidFill>
                </w14:textFill>
              </w:rPr>
              <w:t>9</w:t>
            </w:r>
            <w:r>
              <w:rPr>
                <w:rFonts w:hint="eastAsia"/>
                <w:b/>
                <w:bCs/>
                <w:color w:val="000000" w:themeColor="text1"/>
                <w:sz w:val="24"/>
                <w:szCs w:val="20"/>
                <w:highlight w:val="none"/>
                <w14:textFill>
                  <w14:solidFill>
                    <w14:schemeClr w14:val="tx1"/>
                  </w14:solidFill>
                </w14:textFill>
              </w:rPr>
              <w:t xml:space="preserve">  项目与《云南省长江经济带发展负面清单指南实施细则</w:t>
            </w:r>
            <w:r>
              <w:rPr>
                <w:rFonts w:hint="default"/>
                <w:b/>
                <w:bCs/>
                <w:color w:val="000000" w:themeColor="text1"/>
                <w:sz w:val="24"/>
                <w:szCs w:val="20"/>
                <w:highlight w:val="none"/>
                <w14:textFill>
                  <w14:solidFill>
                    <w14:schemeClr w14:val="tx1"/>
                  </w14:solidFill>
                </w14:textFill>
              </w:rPr>
              <w:t>（试行，2022年版）》相符性分析</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4062"/>
              <w:gridCol w:w="2627"/>
              <w:gridCol w:w="954"/>
            </w:tblGrid>
            <w:tr w14:paraId="6467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7" w:type="pct"/>
                  <w:vAlign w:val="center"/>
                </w:tcPr>
                <w:p w14:paraId="4784E0AA">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序号</w:t>
                  </w:r>
                </w:p>
              </w:tc>
              <w:tc>
                <w:tcPr>
                  <w:tcW w:w="2477" w:type="pct"/>
                  <w:vAlign w:val="center"/>
                </w:tcPr>
                <w:p w14:paraId="33E7A8D1">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《云南省长江经济带发展负面清单指南实施细则（试行，2022年版）》</w:t>
                  </w:r>
                </w:p>
              </w:tc>
              <w:tc>
                <w:tcPr>
                  <w:tcW w:w="1602" w:type="pct"/>
                  <w:vAlign w:val="center"/>
                </w:tcPr>
                <w:p w14:paraId="1A796CE9">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本项目实际情况</w:t>
                  </w:r>
                </w:p>
              </w:tc>
              <w:tc>
                <w:tcPr>
                  <w:tcW w:w="582" w:type="pct"/>
                  <w:vAlign w:val="center"/>
                </w:tcPr>
                <w:p w14:paraId="4669C3A9">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符合性</w:t>
                  </w:r>
                </w:p>
              </w:tc>
            </w:tr>
            <w:tr w14:paraId="1D8B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3C7AA318">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w:t>
                  </w:r>
                </w:p>
              </w:tc>
              <w:tc>
                <w:tcPr>
                  <w:tcW w:w="2477" w:type="pct"/>
                  <w:vAlign w:val="center"/>
                </w:tcPr>
                <w:p w14:paraId="1EAE765A">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第一条</w:t>
                  </w:r>
                  <w:r>
                    <w:rPr>
                      <w:rFonts w:hint="eastAsia"/>
                      <w:color w:val="000000" w:themeColor="text1"/>
                      <w:sz w:val="21"/>
                      <w:szCs w:val="21"/>
                      <w:highlight w:val="none"/>
                      <w14:textFill>
                        <w14:solidFill>
                          <w14:schemeClr w14:val="tx1"/>
                        </w14:solidFill>
                      </w14:textFill>
                    </w:rPr>
                    <w:t xml:space="preserve">  </w:t>
                  </w:r>
                  <w:r>
                    <w:rPr>
                      <w:rFonts w:hint="default"/>
                      <w:color w:val="000000" w:themeColor="text1"/>
                      <w:sz w:val="21"/>
                      <w:szCs w:val="21"/>
                      <w:highlight w:val="none"/>
                      <w14:textFill>
                        <w14:solidFill>
                          <w14:schemeClr w14:val="tx1"/>
                        </w14:solidFill>
                      </w14:textFill>
                    </w:rPr>
                    <w:t>禁止新建、改建和扩建不符合《全国内河航道与港口布局规划》等全国港口规划和《昭通</w:t>
                  </w:r>
                  <w:r>
                    <w:rPr>
                      <w:rFonts w:hint="eastAsia"/>
                      <w:color w:val="000000" w:themeColor="text1"/>
                      <w:sz w:val="21"/>
                      <w:szCs w:val="21"/>
                      <w:highlight w:val="none"/>
                      <w:lang w:eastAsia="zh-CN"/>
                      <w14:textFill>
                        <w14:solidFill>
                          <w14:schemeClr w14:val="tx1"/>
                        </w14:solidFill>
                      </w14:textFill>
                    </w:rPr>
                    <w:t>市</w:t>
                  </w:r>
                  <w:r>
                    <w:rPr>
                      <w:rFonts w:hint="default"/>
                      <w:color w:val="000000" w:themeColor="text1"/>
                      <w:sz w:val="21"/>
                      <w:szCs w:val="21"/>
                      <w:highlight w:val="none"/>
                      <w14:textFill>
                        <w14:solidFill>
                          <w14:schemeClr w14:val="tx1"/>
                        </w14:solidFill>
                      </w14:textFill>
                    </w:rPr>
                    <w:t>港口码头岸线规划</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金沙江段2019年—2035年</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w:t>
                  </w:r>
                  <w:r>
                    <w:rPr>
                      <w:rFonts w:hint="default"/>
                      <w:color w:val="000000" w:themeColor="text1"/>
                      <w:sz w:val="21"/>
                      <w:szCs w:val="21"/>
                      <w:highlight w:val="none"/>
                      <w14:textFill>
                        <w14:solidFill>
                          <w14:schemeClr w14:val="tx1"/>
                        </w14:solidFill>
                      </w14:textFill>
                    </w:rPr>
                    <w:t>景洪港总体规划</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2019—2035年</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》等州</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市</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级以上港口布局规划以及港口总体规划的码头项目。</w:t>
                  </w:r>
                </w:p>
              </w:tc>
              <w:tc>
                <w:tcPr>
                  <w:tcW w:w="1602" w:type="pct"/>
                  <w:vAlign w:val="center"/>
                </w:tcPr>
                <w:p w14:paraId="4F41B22E">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snapToGrid w:val="0"/>
                      <w:color w:val="000000" w:themeColor="text1"/>
                      <w:sz w:val="21"/>
                      <w:szCs w:val="21"/>
                      <w:highlight w:val="none"/>
                      <w14:textFill>
                        <w14:solidFill>
                          <w14:schemeClr w14:val="tx1"/>
                        </w14:solidFill>
                      </w14:textFill>
                    </w:rPr>
                    <w:t>本项目为</w:t>
                  </w:r>
                  <w:r>
                    <w:rPr>
                      <w:rFonts w:hint="eastAsia"/>
                      <w:snapToGrid w:val="0"/>
                      <w:color w:val="000000" w:themeColor="text1"/>
                      <w:sz w:val="21"/>
                      <w:szCs w:val="21"/>
                      <w:highlight w:val="none"/>
                      <w14:textFill>
                        <w14:solidFill>
                          <w14:schemeClr w14:val="tx1"/>
                        </w14:solidFill>
                      </w14:textFill>
                    </w:rPr>
                    <w:t>磷石膏综合利用项目，</w:t>
                  </w:r>
                  <w:r>
                    <w:rPr>
                      <w:rFonts w:hint="eastAsia" w:ascii="宋体" w:hAnsi="宋体" w:cs="宋体"/>
                      <w:color w:val="000000" w:themeColor="text1"/>
                      <w:sz w:val="21"/>
                      <w:szCs w:val="21"/>
                      <w:highlight w:val="none"/>
                      <w:lang w:bidi="ar"/>
                      <w14:textFill>
                        <w14:solidFill>
                          <w14:schemeClr w14:val="tx1"/>
                        </w14:solidFill>
                      </w14:textFill>
                    </w:rPr>
                    <w:t>项目不属于码头或过长江通道项目。</w:t>
                  </w:r>
                </w:p>
              </w:tc>
              <w:tc>
                <w:tcPr>
                  <w:tcW w:w="582" w:type="pct"/>
                  <w:vAlign w:val="center"/>
                </w:tcPr>
                <w:p w14:paraId="65A91060">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0CFF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3C31D451">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2477" w:type="pct"/>
                  <w:vAlign w:val="center"/>
                </w:tcPr>
                <w:p w14:paraId="066A678E">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eastAsia="Times New Roman"/>
                      <w:color w:val="000000" w:themeColor="text1"/>
                      <w:sz w:val="21"/>
                      <w:szCs w:val="21"/>
                      <w:highlight w:val="none"/>
                      <w:lang w:val="zh-CN"/>
                      <w14:textFill>
                        <w14:solidFill>
                          <w14:schemeClr w14:val="tx1"/>
                        </w14:solidFill>
                      </w14:textFill>
                    </w:rPr>
                    <w:t>第二条</w:t>
                  </w:r>
                  <w:r>
                    <w:rPr>
                      <w:rFonts w:hint="eastAsia"/>
                      <w:color w:val="000000" w:themeColor="text1"/>
                      <w:sz w:val="21"/>
                      <w:szCs w:val="21"/>
                      <w:highlight w:val="none"/>
                      <w14:textFill>
                        <w14:solidFill>
                          <w14:schemeClr w14:val="tx1"/>
                        </w14:solidFill>
                      </w14:textFill>
                    </w:rPr>
                    <w:t xml:space="preserve">  </w:t>
                  </w:r>
                  <w:r>
                    <w:rPr>
                      <w:rFonts w:hint="default" w:eastAsia="Times New Roman"/>
                      <w:color w:val="000000" w:themeColor="text1"/>
                      <w:sz w:val="21"/>
                      <w:szCs w:val="21"/>
                      <w:highlight w:val="none"/>
                      <w:lang w:val="zh-CN"/>
                      <w14:textFill>
                        <w14:solidFill>
                          <w14:schemeClr w14:val="tx1"/>
                        </w14:solidFill>
                      </w14:textFill>
                    </w:rPr>
                    <w:t>禁止在自然保护区核心区、缓冲区的岸线和河段范围内投资建设旅游和生产经营项目。禁止建设与自然保护区保护方向不一致的旅游项目。禁止在自然保护区内进行开矿、采石、挖沙等活动。禁止在自然保护区的核心区和缓冲区内建设任何生产设施﹐禁止在自然保护区的实验区内建设污染环境、破坏资源或者景观的生产设施。</w:t>
                  </w:r>
                </w:p>
              </w:tc>
              <w:tc>
                <w:tcPr>
                  <w:tcW w:w="1602" w:type="pct"/>
                  <w:vAlign w:val="center"/>
                </w:tcPr>
                <w:p w14:paraId="44D2DA16">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snapToGrid w:val="0"/>
                      <w:color w:val="000000" w:themeColor="text1"/>
                      <w:sz w:val="21"/>
                      <w:szCs w:val="21"/>
                      <w:highlight w:val="none"/>
                      <w14:textFill>
                        <w14:solidFill>
                          <w14:schemeClr w14:val="tx1"/>
                        </w14:solidFill>
                      </w14:textFill>
                    </w:rPr>
                    <w:t>本项目</w:t>
                  </w:r>
                  <w:r>
                    <w:rPr>
                      <w:rFonts w:hint="eastAsia" w:ascii="宋体" w:hAnsi="宋体" w:cs="宋体"/>
                      <w:color w:val="000000" w:themeColor="text1"/>
                      <w:sz w:val="21"/>
                      <w:szCs w:val="21"/>
                      <w:highlight w:val="none"/>
                      <w:lang w:bidi="ar"/>
                      <w14:textFill>
                        <w14:solidFill>
                          <w14:schemeClr w14:val="tx1"/>
                        </w14:solidFill>
                      </w14:textFill>
                    </w:rPr>
                    <w:t>不涉及寻甸县自然保护区核心区、风景名胜区等特殊敏感区。</w:t>
                  </w:r>
                </w:p>
              </w:tc>
              <w:tc>
                <w:tcPr>
                  <w:tcW w:w="582" w:type="pct"/>
                  <w:vAlign w:val="center"/>
                </w:tcPr>
                <w:p w14:paraId="6C42A422">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33B0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7A1D4CDD">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2477" w:type="pct"/>
                  <w:vAlign w:val="center"/>
                </w:tcPr>
                <w:p w14:paraId="567B42CC">
                  <w:pPr>
                    <w:keepNext w:val="0"/>
                    <w:keepLines w:val="0"/>
                    <w:suppressLineNumbers w:val="0"/>
                    <w:spacing w:before="0" w:beforeAutospacing="0" w:after="0" w:afterAutospacing="0"/>
                    <w:ind w:left="0" w:right="0"/>
                    <w:jc w:val="center"/>
                    <w:rPr>
                      <w:rFonts w:hint="default" w:ascii="宋体" w:hAnsi="宋体" w:cs="宋体"/>
                      <w:color w:val="000000" w:themeColor="text1"/>
                      <w:sz w:val="21"/>
                      <w:szCs w:val="21"/>
                      <w:highlight w:val="none"/>
                      <w:lang w:bidi="ar"/>
                      <w14:textFill>
                        <w14:solidFill>
                          <w14:schemeClr w14:val="tx1"/>
                        </w14:solidFill>
                      </w14:textFill>
                    </w:rPr>
                  </w:pPr>
                  <w:r>
                    <w:rPr>
                      <w:rFonts w:hint="default" w:eastAsia="Times New Roman"/>
                      <w:color w:val="000000" w:themeColor="text1"/>
                      <w:sz w:val="21"/>
                      <w:szCs w:val="21"/>
                      <w:highlight w:val="none"/>
                      <w:lang w:val="zh-CN"/>
                      <w14:textFill>
                        <w14:solidFill>
                          <w14:schemeClr w14:val="tx1"/>
                        </w14:solidFill>
                      </w14:textFill>
                    </w:rPr>
                    <w:t>第三条</w:t>
                  </w:r>
                  <w:r>
                    <w:rPr>
                      <w:rFonts w:hint="eastAsia"/>
                      <w:color w:val="000000" w:themeColor="text1"/>
                      <w:sz w:val="21"/>
                      <w:szCs w:val="21"/>
                      <w:highlight w:val="none"/>
                      <w14:textFill>
                        <w14:solidFill>
                          <w14:schemeClr w14:val="tx1"/>
                        </w14:solidFill>
                      </w14:textFill>
                    </w:rPr>
                    <w:t xml:space="preserve">  </w:t>
                  </w:r>
                  <w:r>
                    <w:rPr>
                      <w:rFonts w:hint="default" w:eastAsia="Times New Roman"/>
                      <w:color w:val="000000" w:themeColor="text1"/>
                      <w:sz w:val="21"/>
                      <w:szCs w:val="21"/>
                      <w:highlight w:val="none"/>
                      <w:lang w:val="zh-CN"/>
                      <w14:textFill>
                        <w14:solidFill>
                          <w14:schemeClr w14:val="tx1"/>
                        </w14:solidFill>
                      </w14:textFill>
                    </w:rPr>
                    <w:t>禁止在风景名胜区核心景区的岸线和河段范围内投资建设与风景名胜资源保护无关的项目。禁止在风景名胜区内进行开山、采石、开矿、开荒、修坟立碑等破坏景观、植被和地形地貌的活动以及修建储存爆炸性、易燃性、放射性、毒害性、腐蚀性物品的设施</w:t>
                  </w:r>
                  <w:r>
                    <w:rPr>
                      <w:rFonts w:hint="eastAsia" w:eastAsia="Times New Roman"/>
                      <w:color w:val="000000" w:themeColor="text1"/>
                      <w:sz w:val="21"/>
                      <w:szCs w:val="21"/>
                      <w:highlight w:val="none"/>
                      <w:lang w:val="zh-CN"/>
                      <w14:textFill>
                        <w14:solidFill>
                          <w14:schemeClr w14:val="tx1"/>
                        </w14:solidFill>
                      </w14:textFill>
                    </w:rPr>
                    <w:t>；</w:t>
                  </w:r>
                  <w:r>
                    <w:rPr>
                      <w:rFonts w:hint="default" w:eastAsia="Times New Roman"/>
                      <w:color w:val="000000" w:themeColor="text1"/>
                      <w:sz w:val="21"/>
                      <w:szCs w:val="21"/>
                      <w:highlight w:val="none"/>
                      <w:lang w:val="zh-CN"/>
                      <w14:textFill>
                        <w14:solidFill>
                          <w14:schemeClr w14:val="tx1"/>
                        </w14:solidFill>
                      </w14:textFill>
                    </w:rPr>
                    <w:t>禁止在风景名胜区内设立开发区和在核心景区内建设宾馆、会所、培训中心、疗养院以及与风景名胜资源保护无关的投资建设项目。</w:t>
                  </w:r>
                </w:p>
              </w:tc>
              <w:tc>
                <w:tcPr>
                  <w:tcW w:w="1602" w:type="pct"/>
                  <w:vAlign w:val="center"/>
                </w:tcPr>
                <w:p w14:paraId="3FDD9E3B">
                  <w:pPr>
                    <w:keepNext w:val="0"/>
                    <w:keepLines w:val="0"/>
                    <w:suppressLineNumbers w:val="0"/>
                    <w:spacing w:before="0" w:beforeAutospacing="0" w:after="0" w:afterAutospacing="0"/>
                    <w:ind w:left="0" w:right="0"/>
                    <w:jc w:val="center"/>
                    <w:rPr>
                      <w:rFonts w:hint="default" w:ascii="宋体" w:hAnsi="宋体" w:cs="宋体"/>
                      <w:color w:val="000000" w:themeColor="text1"/>
                      <w:sz w:val="21"/>
                      <w:szCs w:val="21"/>
                      <w:highlight w:val="none"/>
                      <w:lang w:bidi="ar"/>
                      <w14:textFill>
                        <w14:solidFill>
                          <w14:schemeClr w14:val="tx1"/>
                        </w14:solidFill>
                      </w14:textFill>
                    </w:rPr>
                  </w:pPr>
                  <w:r>
                    <w:rPr>
                      <w:rFonts w:hint="default"/>
                      <w:snapToGrid w:val="0"/>
                      <w:color w:val="000000" w:themeColor="text1"/>
                      <w:sz w:val="21"/>
                      <w:szCs w:val="21"/>
                      <w:highlight w:val="none"/>
                      <w14:textFill>
                        <w14:solidFill>
                          <w14:schemeClr w14:val="tx1"/>
                        </w14:solidFill>
                      </w14:textFill>
                    </w:rPr>
                    <w:t>本项目</w:t>
                  </w:r>
                  <w:r>
                    <w:rPr>
                      <w:rFonts w:hint="eastAsia" w:ascii="宋体" w:hAnsi="宋体" w:cs="宋体"/>
                      <w:color w:val="000000" w:themeColor="text1"/>
                      <w:sz w:val="21"/>
                      <w:szCs w:val="21"/>
                      <w:highlight w:val="none"/>
                      <w:lang w:bidi="ar"/>
                      <w14:textFill>
                        <w14:solidFill>
                          <w14:schemeClr w14:val="tx1"/>
                        </w14:solidFill>
                      </w14:textFill>
                    </w:rPr>
                    <w:t>不涉及寻甸县自然保护区核心区、风景名胜区等特殊敏感区。</w:t>
                  </w:r>
                </w:p>
              </w:tc>
              <w:tc>
                <w:tcPr>
                  <w:tcW w:w="582" w:type="pct"/>
                  <w:vAlign w:val="center"/>
                </w:tcPr>
                <w:p w14:paraId="6DC9B6E4">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2F22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613C13EC">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p>
              </w:tc>
              <w:tc>
                <w:tcPr>
                  <w:tcW w:w="2477" w:type="pct"/>
                  <w:vAlign w:val="center"/>
                </w:tcPr>
                <w:p w14:paraId="1B667FAE">
                  <w:pPr>
                    <w:keepNext w:val="0"/>
                    <w:keepLines w:val="0"/>
                    <w:suppressLineNumbers w:val="0"/>
                    <w:spacing w:before="0" w:beforeAutospacing="0" w:after="0" w:afterAutospacing="0"/>
                    <w:ind w:left="0" w:right="0"/>
                    <w:jc w:val="center"/>
                    <w:rPr>
                      <w:rFonts w:hint="default" w:ascii="宋体" w:hAnsi="宋体" w:cs="宋体"/>
                      <w:color w:val="000000" w:themeColor="text1"/>
                      <w:sz w:val="21"/>
                      <w:szCs w:val="21"/>
                      <w:highlight w:val="none"/>
                      <w:lang w:bidi="ar"/>
                      <w14:textFill>
                        <w14:solidFill>
                          <w14:schemeClr w14:val="tx1"/>
                        </w14:solidFill>
                      </w14:textFill>
                    </w:rPr>
                  </w:pPr>
                  <w:r>
                    <w:rPr>
                      <w:rFonts w:hint="default" w:eastAsia="Times New Roman"/>
                      <w:color w:val="000000" w:themeColor="text1"/>
                      <w:sz w:val="21"/>
                      <w:szCs w:val="21"/>
                      <w:highlight w:val="none"/>
                      <w:lang w:val="zh-CN"/>
                      <w14:textFill>
                        <w14:solidFill>
                          <w14:schemeClr w14:val="tx1"/>
                        </w14:solidFill>
                      </w14:textFill>
                    </w:rPr>
                    <w:t>第四条</w:t>
                  </w:r>
                  <w:r>
                    <w:rPr>
                      <w:rFonts w:hint="eastAsia"/>
                      <w:color w:val="000000" w:themeColor="text1"/>
                      <w:sz w:val="21"/>
                      <w:szCs w:val="21"/>
                      <w:highlight w:val="none"/>
                      <w14:textFill>
                        <w14:solidFill>
                          <w14:schemeClr w14:val="tx1"/>
                        </w14:solidFill>
                      </w14:textFill>
                    </w:rPr>
                    <w:t xml:space="preserve"> </w:t>
                  </w:r>
                  <w:r>
                    <w:rPr>
                      <w:rFonts w:hint="default" w:eastAsia="Times New Roman"/>
                      <w:color w:val="000000" w:themeColor="text1"/>
                      <w:sz w:val="21"/>
                      <w:szCs w:val="21"/>
                      <w:highlight w:val="none"/>
                      <w:lang w:val="zh-CN"/>
                      <w14:textFill>
                        <w14:solidFill>
                          <w14:schemeClr w14:val="tx1"/>
                        </w14:solidFill>
                      </w14:textFill>
                    </w:rPr>
                    <w:t>禁止在饮用水水源一级保护区的岸线和河段范围内新建、改建、扩建与供水设施和保护水源无关的投资建设项目，以及网箱养殖、畜禽养殖、旅游等可能污染饮用水水体的投资建设项目。禁止在饮用水水源二级保护区的岸线和河段范围内新建、改建、扩建排放污染物的投资建设项目。</w:t>
                  </w:r>
                </w:p>
              </w:tc>
              <w:tc>
                <w:tcPr>
                  <w:tcW w:w="1602" w:type="pct"/>
                  <w:vAlign w:val="center"/>
                </w:tcPr>
                <w:p w14:paraId="06748339">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snapToGrid w:val="0"/>
                      <w:color w:val="000000" w:themeColor="text1"/>
                      <w:sz w:val="21"/>
                      <w:szCs w:val="21"/>
                      <w:highlight w:val="none"/>
                      <w14:textFill>
                        <w14:solidFill>
                          <w14:schemeClr w14:val="tx1"/>
                        </w14:solidFill>
                      </w14:textFill>
                    </w:rPr>
                    <w:t>本项目</w:t>
                  </w:r>
                  <w:r>
                    <w:rPr>
                      <w:rFonts w:hint="eastAsia"/>
                      <w:snapToGrid w:val="0"/>
                      <w:color w:val="000000" w:themeColor="text1"/>
                      <w:sz w:val="21"/>
                      <w:szCs w:val="21"/>
                      <w:highlight w:val="none"/>
                      <w:lang w:eastAsia="zh-CN"/>
                      <w14:textFill>
                        <w14:solidFill>
                          <w14:schemeClr w14:val="tx1"/>
                        </w14:solidFill>
                      </w14:textFill>
                    </w:rPr>
                    <w:t>用地</w:t>
                  </w:r>
                  <w:r>
                    <w:rPr>
                      <w:rFonts w:hint="eastAsia" w:ascii="宋体" w:hAnsi="宋体" w:cs="宋体"/>
                      <w:color w:val="000000" w:themeColor="text1"/>
                      <w:sz w:val="21"/>
                      <w:szCs w:val="21"/>
                      <w:highlight w:val="none"/>
                      <w:lang w:bidi="ar"/>
                      <w14:textFill>
                        <w14:solidFill>
                          <w14:schemeClr w14:val="tx1"/>
                        </w14:solidFill>
                      </w14:textFill>
                    </w:rPr>
                    <w:t>不</w:t>
                  </w:r>
                  <w:r>
                    <w:rPr>
                      <w:rFonts w:hint="eastAsia" w:ascii="宋体" w:hAnsi="宋体" w:cs="宋体"/>
                      <w:color w:val="000000" w:themeColor="text1"/>
                      <w:sz w:val="21"/>
                      <w:szCs w:val="21"/>
                      <w:highlight w:val="none"/>
                      <w:lang w:eastAsia="zh-CN" w:bidi="ar"/>
                      <w14:textFill>
                        <w14:solidFill>
                          <w14:schemeClr w14:val="tx1"/>
                        </w14:solidFill>
                      </w14:textFill>
                    </w:rPr>
                    <w:t>涉及</w:t>
                  </w:r>
                  <w:r>
                    <w:rPr>
                      <w:rFonts w:hint="eastAsia" w:ascii="宋体" w:hAnsi="宋体" w:cs="宋体"/>
                      <w:color w:val="000000" w:themeColor="text1"/>
                      <w:sz w:val="21"/>
                      <w:szCs w:val="21"/>
                      <w:highlight w:val="none"/>
                      <w:lang w:bidi="ar"/>
                      <w14:textFill>
                        <w14:solidFill>
                          <w14:schemeClr w14:val="tx1"/>
                        </w14:solidFill>
                      </w14:textFill>
                    </w:rPr>
                    <w:t>饮用水水源</w:t>
                  </w:r>
                  <w:r>
                    <w:rPr>
                      <w:rFonts w:hint="eastAsia" w:ascii="宋体" w:hAnsi="宋体" w:cs="宋体"/>
                      <w:color w:val="000000" w:themeColor="text1"/>
                      <w:sz w:val="21"/>
                      <w:szCs w:val="21"/>
                      <w:highlight w:val="none"/>
                      <w:lang w:eastAsia="zh-CN" w:bidi="ar"/>
                      <w14:textFill>
                        <w14:solidFill>
                          <w14:schemeClr w14:val="tx1"/>
                        </w14:solidFill>
                      </w14:textFill>
                    </w:rPr>
                    <w:t>一级、</w:t>
                  </w:r>
                  <w:r>
                    <w:rPr>
                      <w:rFonts w:hint="eastAsia" w:ascii="宋体" w:hAnsi="宋体" w:cs="宋体"/>
                      <w:color w:val="000000" w:themeColor="text1"/>
                      <w:sz w:val="21"/>
                      <w:szCs w:val="21"/>
                      <w:highlight w:val="none"/>
                      <w:lang w:bidi="ar"/>
                      <w14:textFill>
                        <w14:solidFill>
                          <w14:schemeClr w14:val="tx1"/>
                        </w14:solidFill>
                      </w14:textFill>
                    </w:rPr>
                    <w:t>二级保护区的岸线和河段范围内。</w:t>
                  </w:r>
                </w:p>
              </w:tc>
              <w:tc>
                <w:tcPr>
                  <w:tcW w:w="582" w:type="pct"/>
                  <w:vAlign w:val="center"/>
                </w:tcPr>
                <w:p w14:paraId="47A5D9FF">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37C9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03E3D579">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c>
                <w:tcPr>
                  <w:tcW w:w="2477" w:type="pct"/>
                  <w:vAlign w:val="center"/>
                </w:tcPr>
                <w:p w14:paraId="6A7700BD">
                  <w:pPr>
                    <w:keepNext w:val="0"/>
                    <w:keepLines w:val="0"/>
                    <w:suppressLineNumbers w:val="0"/>
                    <w:spacing w:before="0" w:beforeAutospacing="0" w:after="0" w:afterAutospacing="0"/>
                    <w:ind w:left="0" w:right="0"/>
                    <w:jc w:val="center"/>
                    <w:rPr>
                      <w:rFonts w:hint="default" w:ascii="宋体" w:hAnsi="宋体" w:cs="宋体"/>
                      <w:color w:val="000000" w:themeColor="text1"/>
                      <w:sz w:val="21"/>
                      <w:szCs w:val="21"/>
                      <w:highlight w:val="none"/>
                      <w:lang w:bidi="ar"/>
                      <w14:textFill>
                        <w14:solidFill>
                          <w14:schemeClr w14:val="tx1"/>
                        </w14:solidFill>
                      </w14:textFill>
                    </w:rPr>
                  </w:pPr>
                  <w:r>
                    <w:rPr>
                      <w:rFonts w:hint="default"/>
                      <w:color w:val="000000" w:themeColor="text1"/>
                      <w:sz w:val="21"/>
                      <w:szCs w:val="21"/>
                      <w:highlight w:val="none"/>
                      <w14:textFill>
                        <w14:solidFill>
                          <w14:schemeClr w14:val="tx1"/>
                        </w14:solidFill>
                      </w14:textFill>
                    </w:rPr>
                    <w:t>第五条</w:t>
                  </w:r>
                  <w:r>
                    <w:rPr>
                      <w:rFonts w:hint="eastAsia"/>
                      <w:color w:val="000000" w:themeColor="text1"/>
                      <w:sz w:val="21"/>
                      <w:szCs w:val="21"/>
                      <w:highlight w:val="none"/>
                      <w14:textFill>
                        <w14:solidFill>
                          <w14:schemeClr w14:val="tx1"/>
                        </w14:solidFill>
                      </w14:textFill>
                    </w:rPr>
                    <w:t xml:space="preserve">  </w:t>
                  </w:r>
                  <w:r>
                    <w:rPr>
                      <w:rFonts w:hint="default"/>
                      <w:color w:val="000000" w:themeColor="text1"/>
                      <w:sz w:val="21"/>
                      <w:szCs w:val="21"/>
                      <w:highlight w:val="none"/>
                      <w14:textFill>
                        <w14:solidFill>
                          <w14:schemeClr w14:val="tx1"/>
                        </w14:solidFill>
                      </w14:textFill>
                    </w:rPr>
                    <w:t>禁止在水产种质资源保护区的岸线和河段范围内新建围湖造田、围湖造地或围填海等投资建设项目。禁止擅自征收、占用国家湿地公园的土地</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禁止在国家湿地公园内挖沙、采矿</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以及建设度假村、高尔夫球场等任何不符合主体功能定位的投资建设项目。</w:t>
                  </w:r>
                </w:p>
              </w:tc>
              <w:tc>
                <w:tcPr>
                  <w:tcW w:w="1602" w:type="pct"/>
                  <w:vAlign w:val="center"/>
                </w:tcPr>
                <w:p w14:paraId="1408E5B6">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default"/>
                      <w:snapToGrid w:val="0"/>
                      <w:color w:val="000000" w:themeColor="text1"/>
                      <w:sz w:val="21"/>
                      <w:szCs w:val="21"/>
                      <w:highlight w:val="none"/>
                      <w14:textFill>
                        <w14:solidFill>
                          <w14:schemeClr w14:val="tx1"/>
                        </w14:solidFill>
                      </w14:textFill>
                    </w:rPr>
                    <w:t>本项目</w:t>
                  </w:r>
                  <w:r>
                    <w:rPr>
                      <w:rFonts w:hint="eastAsia"/>
                      <w:snapToGrid w:val="0"/>
                      <w:color w:val="000000" w:themeColor="text1"/>
                      <w:sz w:val="21"/>
                      <w:szCs w:val="21"/>
                      <w:highlight w:val="none"/>
                      <w:lang w:eastAsia="zh-CN"/>
                      <w14:textFill>
                        <w14:solidFill>
                          <w14:schemeClr w14:val="tx1"/>
                        </w14:solidFill>
                      </w14:textFill>
                    </w:rPr>
                    <w:t>用地</w:t>
                  </w:r>
                  <w:r>
                    <w:rPr>
                      <w:rFonts w:hint="eastAsia" w:ascii="宋体" w:hAnsi="宋体" w:cs="宋体"/>
                      <w:color w:val="000000" w:themeColor="text1"/>
                      <w:sz w:val="21"/>
                      <w:szCs w:val="21"/>
                      <w:highlight w:val="none"/>
                      <w:lang w:eastAsia="zh-CN" w:bidi="ar"/>
                      <w14:textFill>
                        <w14:solidFill>
                          <w14:schemeClr w14:val="tx1"/>
                        </w14:solidFill>
                      </w14:textFill>
                    </w:rPr>
                    <w:t>不涉及</w:t>
                  </w:r>
                  <w:r>
                    <w:rPr>
                      <w:rFonts w:hint="eastAsia" w:ascii="宋体" w:hAnsi="宋体" w:cs="宋体"/>
                      <w:color w:val="000000" w:themeColor="text1"/>
                      <w:sz w:val="21"/>
                      <w:szCs w:val="21"/>
                      <w:highlight w:val="none"/>
                      <w:lang w:bidi="ar"/>
                      <w14:textFill>
                        <w14:solidFill>
                          <w14:schemeClr w14:val="tx1"/>
                        </w14:solidFill>
                      </w14:textFill>
                    </w:rPr>
                    <w:t>水产种质资源保护区的岸线和河段范围</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default"/>
                      <w:color w:val="000000" w:themeColor="text1"/>
                      <w:sz w:val="21"/>
                      <w:szCs w:val="21"/>
                      <w:highlight w:val="none"/>
                      <w14:textFill>
                        <w14:solidFill>
                          <w14:schemeClr w14:val="tx1"/>
                        </w14:solidFill>
                      </w14:textFill>
                    </w:rPr>
                    <w:t>国家湿地公园</w:t>
                  </w:r>
                  <w:r>
                    <w:rPr>
                      <w:rFonts w:hint="eastAsia" w:ascii="宋体" w:hAnsi="宋体" w:cs="宋体"/>
                      <w:color w:val="000000" w:themeColor="text1"/>
                      <w:sz w:val="21"/>
                      <w:szCs w:val="21"/>
                      <w:highlight w:val="none"/>
                      <w:lang w:bidi="ar"/>
                      <w14:textFill>
                        <w14:solidFill>
                          <w14:schemeClr w14:val="tx1"/>
                        </w14:solidFill>
                      </w14:textFill>
                    </w:rPr>
                    <w:t>。</w:t>
                  </w:r>
                </w:p>
              </w:tc>
              <w:tc>
                <w:tcPr>
                  <w:tcW w:w="582" w:type="pct"/>
                  <w:vAlign w:val="center"/>
                </w:tcPr>
                <w:p w14:paraId="2364C2FC">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5CB5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41E920BB">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p>
              </w:tc>
              <w:tc>
                <w:tcPr>
                  <w:tcW w:w="2477" w:type="pct"/>
                  <w:vAlign w:val="center"/>
                </w:tcPr>
                <w:p w14:paraId="20C63CE6">
                  <w:pPr>
                    <w:keepNext w:val="0"/>
                    <w:keepLines w:val="0"/>
                    <w:widowControl/>
                    <w:suppressLineNumbers w:val="0"/>
                    <w:spacing w:before="0" w:beforeAutospacing="0" w:after="0" w:afterAutospacing="0"/>
                    <w:ind w:left="0" w:right="0"/>
                    <w:jc w:val="left"/>
                    <w:rPr>
                      <w:rFonts w:hint="default" w:ascii="宋体" w:hAnsi="宋体" w:cs="宋体"/>
                      <w:color w:val="000000" w:themeColor="text1"/>
                      <w:sz w:val="21"/>
                      <w:szCs w:val="21"/>
                      <w:highlight w:val="none"/>
                      <w:lang w:bidi="ar"/>
                      <w14:textFill>
                        <w14:solidFill>
                          <w14:schemeClr w14:val="tx1"/>
                        </w14:solidFill>
                      </w14:textFill>
                    </w:rPr>
                  </w:pPr>
                  <w:r>
                    <w:rPr>
                      <w:rFonts w:hint="default" w:eastAsia="Times New Roman"/>
                      <w:color w:val="000000" w:themeColor="text1"/>
                      <w:sz w:val="21"/>
                      <w:szCs w:val="21"/>
                      <w:highlight w:val="none"/>
                      <w:lang w:val="zh-CN"/>
                      <w14:textFill>
                        <w14:solidFill>
                          <w14:schemeClr w14:val="tx1"/>
                        </w14:solidFill>
                      </w14:textFill>
                    </w:rPr>
                    <w:t>第六条</w:t>
                  </w:r>
                  <w:r>
                    <w:rPr>
                      <w:rFonts w:hint="eastAsia"/>
                      <w:color w:val="000000" w:themeColor="text1"/>
                      <w:sz w:val="21"/>
                      <w:szCs w:val="21"/>
                      <w:highlight w:val="none"/>
                      <w14:textFill>
                        <w14:solidFill>
                          <w14:schemeClr w14:val="tx1"/>
                        </w14:solidFill>
                      </w14:textFill>
                    </w:rPr>
                    <w:t xml:space="preserve">  </w:t>
                  </w:r>
                  <w:r>
                    <w:rPr>
                      <w:rFonts w:hint="default" w:eastAsia="Times New Roman"/>
                      <w:color w:val="000000" w:themeColor="text1"/>
                      <w:sz w:val="21"/>
                      <w:szCs w:val="21"/>
                      <w:highlight w:val="none"/>
                      <w:lang w:val="zh-CN"/>
                      <w14:textFill>
                        <w14:solidFill>
                          <w14:schemeClr w14:val="tx1"/>
                        </w14:solidFill>
                      </w14:textFill>
                    </w:rPr>
                    <w:t>禁止违法利用、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1602" w:type="pct"/>
                  <w:vAlign w:val="center"/>
                </w:tcPr>
                <w:p w14:paraId="481525CF">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default"/>
                      <w:snapToGrid w:val="0"/>
                      <w:color w:val="000000" w:themeColor="text1"/>
                      <w:sz w:val="21"/>
                      <w:szCs w:val="21"/>
                      <w:highlight w:val="none"/>
                      <w14:textFill>
                        <w14:solidFill>
                          <w14:schemeClr w14:val="tx1"/>
                        </w14:solidFill>
                      </w14:textFill>
                    </w:rPr>
                    <w:t>本项目</w:t>
                  </w:r>
                  <w:r>
                    <w:rPr>
                      <w:rFonts w:hint="eastAsia"/>
                      <w:snapToGrid w:val="0"/>
                      <w:color w:val="000000" w:themeColor="text1"/>
                      <w:sz w:val="21"/>
                      <w:szCs w:val="21"/>
                      <w:highlight w:val="none"/>
                      <w:lang w:eastAsia="zh-CN"/>
                      <w14:textFill>
                        <w14:solidFill>
                          <w14:schemeClr w14:val="tx1"/>
                        </w14:solidFill>
                      </w14:textFill>
                    </w:rPr>
                    <w:t>用地不涉及</w:t>
                  </w:r>
                  <w:r>
                    <w:rPr>
                      <w:rFonts w:hint="default" w:eastAsia="Times New Roman"/>
                      <w:color w:val="000000" w:themeColor="text1"/>
                      <w:sz w:val="21"/>
                      <w:szCs w:val="21"/>
                      <w:highlight w:val="none"/>
                      <w:lang w:val="zh-CN"/>
                      <w14:textFill>
                        <w14:solidFill>
                          <w14:schemeClr w14:val="tx1"/>
                        </w14:solidFill>
                      </w14:textFill>
                    </w:rPr>
                    <w:t>长江流域河湖岸线</w:t>
                  </w:r>
                  <w:r>
                    <w:rPr>
                      <w:rFonts w:hint="eastAsia" w:eastAsia="Times New Roman"/>
                      <w:color w:val="000000" w:themeColor="text1"/>
                      <w:sz w:val="21"/>
                      <w:szCs w:val="21"/>
                      <w:highlight w:val="none"/>
                      <w:lang w:val="zh-CN"/>
                      <w14:textFill>
                        <w14:solidFill>
                          <w14:schemeClr w14:val="tx1"/>
                        </w14:solidFill>
                      </w14:textFill>
                    </w:rPr>
                    <w:t>、</w:t>
                  </w:r>
                  <w:r>
                    <w:rPr>
                      <w:rFonts w:hint="default" w:eastAsia="Times New Roman"/>
                      <w:color w:val="000000" w:themeColor="text1"/>
                      <w:sz w:val="21"/>
                      <w:szCs w:val="21"/>
                      <w:highlight w:val="none"/>
                      <w:lang w:val="zh-CN"/>
                      <w14:textFill>
                        <w14:solidFill>
                          <w14:schemeClr w14:val="tx1"/>
                        </w14:solidFill>
                      </w14:textFill>
                    </w:rPr>
                    <w:t>金沙江岸线保护区和保留区</w:t>
                  </w:r>
                  <w:r>
                    <w:rPr>
                      <w:rFonts w:hint="eastAsia" w:eastAsia="Times New Roman"/>
                      <w:color w:val="000000" w:themeColor="text1"/>
                      <w:sz w:val="21"/>
                      <w:szCs w:val="21"/>
                      <w:highlight w:val="none"/>
                      <w:lang w:val="zh-CN"/>
                      <w14:textFill>
                        <w14:solidFill>
                          <w14:schemeClr w14:val="tx1"/>
                        </w14:solidFill>
                      </w14:textFill>
                    </w:rPr>
                    <w:t>、</w:t>
                  </w:r>
                  <w:r>
                    <w:rPr>
                      <w:rFonts w:hint="default" w:eastAsia="Times New Roman"/>
                      <w:color w:val="000000" w:themeColor="text1"/>
                      <w:sz w:val="21"/>
                      <w:szCs w:val="21"/>
                      <w:highlight w:val="none"/>
                      <w:lang w:val="zh-CN"/>
                      <w14:textFill>
                        <w14:solidFill>
                          <w14:schemeClr w14:val="tx1"/>
                        </w14:solidFill>
                      </w14:textFill>
                    </w:rPr>
                    <w:t>金沙江干流、九大高原湖泊保护区、保留区</w:t>
                  </w:r>
                  <w:r>
                    <w:rPr>
                      <w:rFonts w:hint="eastAsia" w:ascii="宋体" w:hAnsi="宋体" w:cs="宋体"/>
                      <w:color w:val="000000" w:themeColor="text1"/>
                      <w:sz w:val="21"/>
                      <w:szCs w:val="21"/>
                      <w:highlight w:val="none"/>
                      <w:lang w:bidi="ar"/>
                      <w14:textFill>
                        <w14:solidFill>
                          <w14:schemeClr w14:val="tx1"/>
                        </w14:solidFill>
                      </w14:textFill>
                    </w:rPr>
                    <w:t>。</w:t>
                  </w:r>
                </w:p>
              </w:tc>
              <w:tc>
                <w:tcPr>
                  <w:tcW w:w="582" w:type="pct"/>
                  <w:vAlign w:val="center"/>
                </w:tcPr>
                <w:p w14:paraId="4E88EC1F">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5843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11E74A79">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p>
              </w:tc>
              <w:tc>
                <w:tcPr>
                  <w:tcW w:w="2477" w:type="pct"/>
                  <w:vAlign w:val="center"/>
                </w:tcPr>
                <w:p w14:paraId="215193E7">
                  <w:pPr>
                    <w:keepNext w:val="0"/>
                    <w:keepLines w:val="0"/>
                    <w:suppressLineNumbers w:val="0"/>
                    <w:spacing w:before="0" w:beforeAutospacing="0" w:after="0" w:afterAutospacing="0"/>
                    <w:ind w:left="0" w:right="0"/>
                    <w:rPr>
                      <w:rFonts w:hint="default" w:ascii="宋体" w:hAnsi="宋体" w:cs="宋体"/>
                      <w:color w:val="000000" w:themeColor="text1"/>
                      <w:sz w:val="21"/>
                      <w:szCs w:val="21"/>
                      <w:highlight w:val="none"/>
                      <w:lang w:bidi="ar"/>
                      <w14:textFill>
                        <w14:solidFill>
                          <w14:schemeClr w14:val="tx1"/>
                        </w14:solidFill>
                      </w14:textFill>
                    </w:rPr>
                  </w:pPr>
                  <w:r>
                    <w:rPr>
                      <w:rFonts w:hint="default" w:eastAsia="Times New Roman"/>
                      <w:color w:val="000000" w:themeColor="text1"/>
                      <w:sz w:val="21"/>
                      <w:szCs w:val="21"/>
                      <w:highlight w:val="none"/>
                      <w:lang w:val="zh-CN"/>
                      <w14:textFill>
                        <w14:solidFill>
                          <w14:schemeClr w14:val="tx1"/>
                        </w14:solidFill>
                      </w14:textFill>
                    </w:rPr>
                    <w:t>第七条</w:t>
                  </w:r>
                  <w:r>
                    <w:rPr>
                      <w:rFonts w:hint="eastAsia"/>
                      <w:color w:val="000000" w:themeColor="text1"/>
                      <w:sz w:val="21"/>
                      <w:szCs w:val="21"/>
                      <w:highlight w:val="none"/>
                      <w14:textFill>
                        <w14:solidFill>
                          <w14:schemeClr w14:val="tx1"/>
                        </w14:solidFill>
                      </w14:textFill>
                    </w:rPr>
                    <w:t xml:space="preserve">  </w:t>
                  </w:r>
                  <w:r>
                    <w:rPr>
                      <w:rFonts w:hint="default" w:eastAsia="Times New Roman"/>
                      <w:color w:val="000000" w:themeColor="text1"/>
                      <w:sz w:val="21"/>
                      <w:szCs w:val="21"/>
                      <w:highlight w:val="none"/>
                      <w:lang w:val="zh-CN"/>
                      <w14:textFill>
                        <w14:solidFill>
                          <w14:schemeClr w14:val="tx1"/>
                        </w14:solidFill>
                      </w14:textFill>
                    </w:rPr>
                    <w:t>禁止在金沙江干流、长江一级支流建设除党中央、国务院、国家投资主管部门、省级有关部门批复同意以外的过江基础设施项目</w:t>
                  </w:r>
                  <w:r>
                    <w:rPr>
                      <w:rFonts w:hint="eastAsia" w:eastAsia="Times New Roman"/>
                      <w:color w:val="000000" w:themeColor="text1"/>
                      <w:sz w:val="21"/>
                      <w:szCs w:val="21"/>
                      <w:highlight w:val="none"/>
                      <w:lang w:val="zh-CN"/>
                      <w14:textFill>
                        <w14:solidFill>
                          <w14:schemeClr w14:val="tx1"/>
                        </w14:solidFill>
                      </w14:textFill>
                    </w:rPr>
                    <w:t>；</w:t>
                  </w:r>
                  <w:r>
                    <w:rPr>
                      <w:rFonts w:hint="default" w:eastAsia="Times New Roman"/>
                      <w:color w:val="000000" w:themeColor="text1"/>
                      <w:sz w:val="21"/>
                      <w:szCs w:val="21"/>
                      <w:highlight w:val="none"/>
                      <w:lang w:val="zh-CN"/>
                      <w14:textFill>
                        <w14:solidFill>
                          <w14:schemeClr w14:val="tx1"/>
                        </w14:solidFill>
                      </w14:textFill>
                    </w:rPr>
                    <w:t>禁止未经许可在金沙江干流、长江一级支流、九大高原湖泊流域新设、改设或扩大排污口。</w:t>
                  </w:r>
                </w:p>
              </w:tc>
              <w:tc>
                <w:tcPr>
                  <w:tcW w:w="1602" w:type="pct"/>
                  <w:vAlign w:val="center"/>
                </w:tcPr>
                <w:p w14:paraId="0D366020">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本项目位于长江一级支流牛栏江的流域范围内，但本项目不设置排污口。</w:t>
                  </w:r>
                </w:p>
              </w:tc>
              <w:tc>
                <w:tcPr>
                  <w:tcW w:w="582" w:type="pct"/>
                  <w:vAlign w:val="center"/>
                </w:tcPr>
                <w:p w14:paraId="20F9C67B">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38B1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6BF92AD7">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p>
              </w:tc>
              <w:tc>
                <w:tcPr>
                  <w:tcW w:w="2477" w:type="pct"/>
                  <w:vAlign w:val="center"/>
                </w:tcPr>
                <w:p w14:paraId="550F13EC">
                  <w:pPr>
                    <w:keepNext w:val="0"/>
                    <w:keepLines w:val="0"/>
                    <w:suppressLineNumbers w:val="0"/>
                    <w:spacing w:before="0" w:beforeAutospacing="0" w:after="0" w:afterAutospacing="0"/>
                    <w:ind w:left="0" w:right="0"/>
                    <w:rPr>
                      <w:rFonts w:hint="default" w:ascii="宋体" w:hAnsi="宋体" w:cs="宋体"/>
                      <w:color w:val="000000" w:themeColor="text1"/>
                      <w:sz w:val="21"/>
                      <w:szCs w:val="21"/>
                      <w:highlight w:val="none"/>
                      <w:lang w:bidi="ar"/>
                      <w14:textFill>
                        <w14:solidFill>
                          <w14:schemeClr w14:val="tx1"/>
                        </w14:solidFill>
                      </w14:textFill>
                    </w:rPr>
                  </w:pPr>
                  <w:r>
                    <w:rPr>
                      <w:rFonts w:hint="default" w:eastAsia="Times New Roman"/>
                      <w:color w:val="000000" w:themeColor="text1"/>
                      <w:sz w:val="21"/>
                      <w:szCs w:val="21"/>
                      <w:highlight w:val="none"/>
                      <w:lang w:val="zh-CN"/>
                      <w14:textFill>
                        <w14:solidFill>
                          <w14:schemeClr w14:val="tx1"/>
                        </w14:solidFill>
                      </w14:textFill>
                    </w:rPr>
                    <w:t>第八条</w:t>
                  </w:r>
                  <w:r>
                    <w:rPr>
                      <w:rFonts w:hint="eastAsia"/>
                      <w:color w:val="000000" w:themeColor="text1"/>
                      <w:sz w:val="21"/>
                      <w:szCs w:val="21"/>
                      <w:highlight w:val="none"/>
                      <w14:textFill>
                        <w14:solidFill>
                          <w14:schemeClr w14:val="tx1"/>
                        </w14:solidFill>
                      </w14:textFill>
                    </w:rPr>
                    <w:t xml:space="preserve">  </w:t>
                  </w:r>
                  <w:r>
                    <w:rPr>
                      <w:rFonts w:hint="default" w:eastAsia="Times New Roman"/>
                      <w:color w:val="000000" w:themeColor="text1"/>
                      <w:sz w:val="21"/>
                      <w:szCs w:val="21"/>
                      <w:highlight w:val="none"/>
                      <w:lang w:val="zh-CN"/>
                      <w14:textFill>
                        <w14:solidFill>
                          <w14:schemeClr w14:val="tx1"/>
                        </w14:solidFill>
                      </w14:textFill>
                    </w:rPr>
                    <w:t>禁止在金沙江干流、长江一级支流、水生生物保护区和长江流域禁捕水域开展天然渔业资源生产性捕捞。</w:t>
                  </w:r>
                </w:p>
              </w:tc>
              <w:tc>
                <w:tcPr>
                  <w:tcW w:w="1602" w:type="pct"/>
                  <w:vAlign w:val="center"/>
                </w:tcPr>
                <w:p w14:paraId="38FCB440">
                  <w:pPr>
                    <w:keepNext w:val="0"/>
                    <w:keepLines w:val="0"/>
                    <w:suppressLineNumbers w:val="0"/>
                    <w:spacing w:before="0" w:beforeAutospacing="0" w:after="0" w:afterAutospacing="0"/>
                    <w:ind w:left="0" w:right="0"/>
                    <w:rPr>
                      <w:rFonts w:hint="default" w:ascii="宋体" w:hAnsi="宋体" w:cs="宋体"/>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本项目不涉及</w:t>
                  </w:r>
                  <w:r>
                    <w:rPr>
                      <w:rFonts w:hint="default" w:eastAsia="Times New Roman"/>
                      <w:color w:val="000000" w:themeColor="text1"/>
                      <w:sz w:val="21"/>
                      <w:szCs w:val="21"/>
                      <w:highlight w:val="none"/>
                      <w:lang w:val="zh-CN"/>
                      <w14:textFill>
                        <w14:solidFill>
                          <w14:schemeClr w14:val="tx1"/>
                        </w14:solidFill>
                      </w14:textFill>
                    </w:rPr>
                    <w:t>天然渔业资源生产性捕捞</w:t>
                  </w:r>
                  <w:r>
                    <w:rPr>
                      <w:rFonts w:hint="eastAsia" w:eastAsia="Times New Roman"/>
                      <w:color w:val="000000" w:themeColor="text1"/>
                      <w:sz w:val="21"/>
                      <w:szCs w:val="21"/>
                      <w:highlight w:val="none"/>
                      <w:lang w:val="zh-CN"/>
                      <w14:textFill>
                        <w14:solidFill>
                          <w14:schemeClr w14:val="tx1"/>
                        </w14:solidFill>
                      </w14:textFill>
                    </w:rPr>
                    <w:t>。</w:t>
                  </w:r>
                </w:p>
              </w:tc>
              <w:tc>
                <w:tcPr>
                  <w:tcW w:w="582" w:type="pct"/>
                  <w:vAlign w:val="center"/>
                </w:tcPr>
                <w:p w14:paraId="00D9A264">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68F4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21FBEC97">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w:t>
                  </w:r>
                </w:p>
              </w:tc>
              <w:tc>
                <w:tcPr>
                  <w:tcW w:w="2477" w:type="pct"/>
                  <w:vAlign w:val="center"/>
                </w:tcPr>
                <w:p w14:paraId="19621C0B">
                  <w:pPr>
                    <w:keepNext w:val="0"/>
                    <w:keepLines w:val="0"/>
                    <w:suppressLineNumbers w:val="0"/>
                    <w:spacing w:before="0" w:beforeAutospacing="0" w:after="0" w:afterAutospacing="0"/>
                    <w:ind w:left="0" w:right="0"/>
                    <w:rPr>
                      <w:rFonts w:hint="default" w:ascii="宋体" w:hAnsi="宋体" w:cs="宋体"/>
                      <w:color w:val="000000" w:themeColor="text1"/>
                      <w:sz w:val="21"/>
                      <w:szCs w:val="21"/>
                      <w:highlight w:val="none"/>
                      <w:lang w:bidi="ar"/>
                      <w14:textFill>
                        <w14:solidFill>
                          <w14:schemeClr w14:val="tx1"/>
                        </w14:solidFill>
                      </w14:textFill>
                    </w:rPr>
                  </w:pPr>
                  <w:r>
                    <w:rPr>
                      <w:rFonts w:hint="default" w:eastAsia="Times New Roman"/>
                      <w:color w:val="000000" w:themeColor="text1"/>
                      <w:sz w:val="21"/>
                      <w:szCs w:val="21"/>
                      <w:highlight w:val="none"/>
                      <w:lang w:val="zh-CN"/>
                      <w14:textFill>
                        <w14:solidFill>
                          <w14:schemeClr w14:val="tx1"/>
                        </w14:solidFill>
                      </w14:textFill>
                    </w:rPr>
                    <w:t>第九条</w:t>
                  </w:r>
                  <w:r>
                    <w:rPr>
                      <w:rFonts w:hint="eastAsia"/>
                      <w:color w:val="000000" w:themeColor="text1"/>
                      <w:sz w:val="21"/>
                      <w:szCs w:val="21"/>
                      <w:highlight w:val="none"/>
                      <w14:textFill>
                        <w14:solidFill>
                          <w14:schemeClr w14:val="tx1"/>
                        </w14:solidFill>
                      </w14:textFill>
                    </w:rPr>
                    <w:t xml:space="preserve">  </w:t>
                  </w:r>
                  <w:r>
                    <w:rPr>
                      <w:rFonts w:hint="default" w:eastAsia="Times New Roman"/>
                      <w:color w:val="000000" w:themeColor="text1"/>
                      <w:sz w:val="21"/>
                      <w:szCs w:val="21"/>
                      <w:highlight w:val="none"/>
                      <w:lang w:val="zh-CN"/>
                      <w14:textFill>
                        <w14:solidFill>
                          <w14:schemeClr w14:val="tx1"/>
                        </w14:solidFill>
                      </w14:textFill>
                    </w:rPr>
                    <w:t>禁止在金沙江干流</w:t>
                  </w:r>
                  <w:r>
                    <w:rPr>
                      <w:rFonts w:hint="eastAsia" w:eastAsia="Times New Roman"/>
                      <w:color w:val="000000" w:themeColor="text1"/>
                      <w:sz w:val="21"/>
                      <w:szCs w:val="21"/>
                      <w:highlight w:val="none"/>
                      <w:lang w:val="zh-CN"/>
                      <w14:textFill>
                        <w14:solidFill>
                          <w14:schemeClr w14:val="tx1"/>
                        </w14:solidFill>
                      </w14:textFill>
                    </w:rPr>
                    <w:t>，</w:t>
                  </w:r>
                  <w:r>
                    <w:rPr>
                      <w:rFonts w:hint="default" w:eastAsia="Times New Roman"/>
                      <w:color w:val="000000" w:themeColor="text1"/>
                      <w:sz w:val="21"/>
                      <w:szCs w:val="21"/>
                      <w:highlight w:val="none"/>
                      <w:lang w:val="zh-CN"/>
                      <w14:textFill>
                        <w14:solidFill>
                          <w14:schemeClr w14:val="tx1"/>
                        </w14:solidFill>
                      </w14:textFill>
                    </w:rPr>
                    <w:t>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1602" w:type="pct"/>
                  <w:vAlign w:val="center"/>
                </w:tcPr>
                <w:p w14:paraId="7BF1422C">
                  <w:pPr>
                    <w:keepNext w:val="0"/>
                    <w:keepLines w:val="0"/>
                    <w:suppressLineNumbers w:val="0"/>
                    <w:spacing w:before="0" w:beforeAutospacing="0" w:after="0" w:afterAutospacing="0"/>
                    <w:ind w:left="0" w:right="0"/>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项目</w:t>
                  </w:r>
                  <w:r>
                    <w:rPr>
                      <w:rFonts w:hint="eastAsia"/>
                      <w:color w:val="000000" w:themeColor="text1"/>
                      <w:sz w:val="21"/>
                      <w:szCs w:val="21"/>
                      <w:highlight w:val="none"/>
                      <w:lang w:val="en-US" w:eastAsia="zh-CN"/>
                      <w14:textFill>
                        <w14:solidFill>
                          <w14:schemeClr w14:val="tx1"/>
                        </w14:solidFill>
                      </w14:textFill>
                    </w:rPr>
                    <w:t>厂界距离</w:t>
                  </w:r>
                  <w:r>
                    <w:rPr>
                      <w:rFonts w:hint="eastAsia"/>
                      <w:color w:val="000000" w:themeColor="text1"/>
                      <w:sz w:val="21"/>
                      <w:szCs w:val="21"/>
                      <w:highlight w:val="none"/>
                      <w14:textFill>
                        <w14:solidFill>
                          <w14:schemeClr w14:val="tx1"/>
                        </w14:solidFill>
                      </w14:textFill>
                    </w:rPr>
                    <w:t>长江一级支流牛栏江</w:t>
                  </w:r>
                  <w:r>
                    <w:rPr>
                      <w:rFonts w:hint="eastAsia"/>
                      <w:color w:val="000000" w:themeColor="text1"/>
                      <w:sz w:val="21"/>
                      <w:szCs w:val="21"/>
                      <w:highlight w:val="none"/>
                      <w:lang w:val="en-US" w:eastAsia="zh-CN"/>
                      <w14:textFill>
                        <w14:solidFill>
                          <w14:schemeClr w14:val="tx1"/>
                        </w14:solidFill>
                      </w14:textFill>
                    </w:rPr>
                    <w:t>最近距离</w:t>
                  </w:r>
                  <w:r>
                    <w:rPr>
                      <w:rFonts w:hint="eastAsia"/>
                      <w:color w:val="000000" w:themeColor="text1"/>
                      <w:sz w:val="21"/>
                      <w:szCs w:val="21"/>
                      <w:highlight w:val="none"/>
                      <w14:textFill>
                        <w14:solidFill>
                          <w14:schemeClr w14:val="tx1"/>
                        </w14:solidFill>
                      </w14:textFill>
                    </w:rPr>
                    <w:t>约</w:t>
                  </w:r>
                  <w:r>
                    <w:rPr>
                      <w:rFonts w:hint="eastAsia"/>
                      <w:color w:val="000000" w:themeColor="text1"/>
                      <w:sz w:val="21"/>
                      <w:szCs w:val="21"/>
                      <w:highlight w:val="none"/>
                      <w:lang w:val="en-US" w:eastAsia="zh-CN"/>
                      <w14:textFill>
                        <w14:solidFill>
                          <w14:schemeClr w14:val="tx1"/>
                        </w14:solidFill>
                      </w14:textFill>
                    </w:rPr>
                    <w:t>869m</w:t>
                  </w:r>
                  <w:r>
                    <w:rPr>
                      <w:rFonts w:hint="eastAsia"/>
                      <w:color w:val="000000" w:themeColor="text1"/>
                      <w:sz w:val="21"/>
                      <w:szCs w:val="21"/>
                      <w:highlight w:val="none"/>
                      <w14:textFill>
                        <w14:solidFill>
                          <w14:schemeClr w14:val="tx1"/>
                        </w14:solidFill>
                      </w14:textFill>
                    </w:rPr>
                    <w:t>；本项目为</w:t>
                  </w:r>
                  <w:r>
                    <w:rPr>
                      <w:rFonts w:hint="eastAsia"/>
                      <w:color w:val="000000" w:themeColor="text1"/>
                      <w:sz w:val="21"/>
                      <w:szCs w:val="21"/>
                      <w:highlight w:val="none"/>
                      <w:lang w:val="en-US" w:eastAsia="zh-CN"/>
                      <w14:textFill>
                        <w14:solidFill>
                          <w14:schemeClr w14:val="tx1"/>
                        </w14:solidFill>
                      </w14:textFill>
                    </w:rPr>
                    <w:t>磷石膏改性</w:t>
                  </w:r>
                  <w:r>
                    <w:rPr>
                      <w:rFonts w:hint="eastAsia"/>
                      <w:color w:val="000000" w:themeColor="text1"/>
                      <w:sz w:val="21"/>
                      <w:szCs w:val="21"/>
                      <w:highlight w:val="none"/>
                      <w14:textFill>
                        <w14:solidFill>
                          <w14:schemeClr w14:val="tx1"/>
                        </w14:solidFill>
                      </w14:textFill>
                    </w:rPr>
                    <w:t>工程</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不属于</w:t>
                  </w:r>
                  <w:r>
                    <w:rPr>
                      <w:rFonts w:hint="default" w:eastAsia="Times New Roman"/>
                      <w:color w:val="000000" w:themeColor="text1"/>
                      <w:sz w:val="21"/>
                      <w:szCs w:val="21"/>
                      <w:highlight w:val="none"/>
                      <w:lang w:val="zh-CN"/>
                      <w14:textFill>
                        <w14:solidFill>
                          <w14:schemeClr w14:val="tx1"/>
                        </w14:solidFill>
                      </w14:textFill>
                    </w:rPr>
                    <w:t>新建、扩建化工园区和化工项目</w:t>
                  </w:r>
                  <w:r>
                    <w:rPr>
                      <w:rFonts w:hint="eastAsia" w:eastAsia="Times New Roman"/>
                      <w:color w:val="000000" w:themeColor="text1"/>
                      <w:sz w:val="21"/>
                      <w:szCs w:val="21"/>
                      <w:highlight w:val="none"/>
                      <w:lang w:val="zh-CN"/>
                      <w14:textFill>
                        <w14:solidFill>
                          <w14:schemeClr w14:val="tx1"/>
                        </w14:solidFill>
                      </w14:textFill>
                    </w:rPr>
                    <w:t>，</w:t>
                  </w:r>
                  <w:r>
                    <w:rPr>
                      <w:rFonts w:hint="eastAsia" w:eastAsia="宋体"/>
                      <w:color w:val="000000" w:themeColor="text1"/>
                      <w:sz w:val="21"/>
                      <w:szCs w:val="21"/>
                      <w:highlight w:val="none"/>
                      <w:lang w:val="en-US" w:eastAsia="zh-CN"/>
                      <w14:textFill>
                        <w14:solidFill>
                          <w14:schemeClr w14:val="tx1"/>
                        </w14:solidFill>
                      </w14:textFill>
                    </w:rPr>
                    <w:t>不属于</w:t>
                  </w:r>
                  <w:r>
                    <w:rPr>
                      <w:rFonts w:hint="default" w:eastAsia="Times New Roman"/>
                      <w:color w:val="000000" w:themeColor="text1"/>
                      <w:sz w:val="21"/>
                      <w:szCs w:val="21"/>
                      <w:highlight w:val="none"/>
                      <w:lang w:val="zh-CN"/>
                      <w14:textFill>
                        <w14:solidFill>
                          <w14:schemeClr w14:val="tx1"/>
                        </w14:solidFill>
                      </w14:textFill>
                    </w:rPr>
                    <w:t>新建、改建、扩建尾矿库、冶炼渣库和磷石膏库</w:t>
                  </w:r>
                  <w:r>
                    <w:rPr>
                      <w:rFonts w:hint="eastAsia" w:eastAsia="宋体"/>
                      <w:color w:val="000000" w:themeColor="text1"/>
                      <w:sz w:val="21"/>
                      <w:szCs w:val="21"/>
                      <w:highlight w:val="none"/>
                      <w:lang w:val="en-US" w:eastAsia="zh-CN"/>
                      <w14:textFill>
                        <w14:solidFill>
                          <w14:schemeClr w14:val="tx1"/>
                        </w14:solidFill>
                      </w14:textFill>
                    </w:rPr>
                    <w:t>的项目。</w:t>
                  </w:r>
                </w:p>
              </w:tc>
              <w:tc>
                <w:tcPr>
                  <w:tcW w:w="582" w:type="pct"/>
                  <w:vAlign w:val="center"/>
                </w:tcPr>
                <w:p w14:paraId="39B57A46">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0E1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555230F0">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p>
              </w:tc>
              <w:tc>
                <w:tcPr>
                  <w:tcW w:w="2477" w:type="pct"/>
                  <w:vAlign w:val="center"/>
                </w:tcPr>
                <w:p w14:paraId="38D33F32">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eastAsia="Times New Roman"/>
                      <w:color w:val="000000" w:themeColor="text1"/>
                      <w:sz w:val="21"/>
                      <w:szCs w:val="21"/>
                      <w:highlight w:val="none"/>
                      <w:lang w:val="zh-CN"/>
                      <w14:textFill>
                        <w14:solidFill>
                          <w14:schemeClr w14:val="tx1"/>
                        </w14:solidFill>
                      </w14:textFill>
                    </w:rPr>
                    <w:t>第十条</w:t>
                  </w:r>
                  <w:r>
                    <w:rPr>
                      <w:rFonts w:hint="eastAsia"/>
                      <w:color w:val="000000" w:themeColor="text1"/>
                      <w:sz w:val="21"/>
                      <w:szCs w:val="21"/>
                      <w:highlight w:val="none"/>
                      <w14:textFill>
                        <w14:solidFill>
                          <w14:schemeClr w14:val="tx1"/>
                        </w14:solidFill>
                      </w14:textFill>
                    </w:rPr>
                    <w:t xml:space="preserve">  </w:t>
                  </w:r>
                  <w:r>
                    <w:rPr>
                      <w:rFonts w:hint="default" w:eastAsia="Times New Roman"/>
                      <w:color w:val="000000" w:themeColor="text1"/>
                      <w:sz w:val="21"/>
                      <w:szCs w:val="21"/>
                      <w:highlight w:val="none"/>
                      <w:lang w:val="zh-CN"/>
                      <w14:textFill>
                        <w14:solidFill>
                          <w14:schemeClr w14:val="tx1"/>
                        </w14:solidFill>
                      </w14:textFill>
                    </w:rPr>
                    <w:t>禁止在合规园区外新建、扩建钢铁、石化、化工、焦化、建材、有色、制浆造纸行业中的高污染项目。</w:t>
                  </w:r>
                </w:p>
              </w:tc>
              <w:tc>
                <w:tcPr>
                  <w:tcW w:w="1602" w:type="pct"/>
                  <w:vAlign w:val="center"/>
                </w:tcPr>
                <w:p w14:paraId="13E419EA">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项目不属于</w:t>
                  </w:r>
                  <w:r>
                    <w:rPr>
                      <w:rFonts w:hint="default" w:eastAsia="Times New Roman"/>
                      <w:color w:val="000000" w:themeColor="text1"/>
                      <w:sz w:val="21"/>
                      <w:szCs w:val="21"/>
                      <w:highlight w:val="none"/>
                      <w:lang w:val="zh-CN"/>
                      <w14:textFill>
                        <w14:solidFill>
                          <w14:schemeClr w14:val="tx1"/>
                        </w14:solidFill>
                      </w14:textFill>
                    </w:rPr>
                    <w:t>钢铁、石化、化工、焦化、建材、有色、制浆造纸行业中的高污染项目</w:t>
                  </w:r>
                  <w:r>
                    <w:rPr>
                      <w:rFonts w:hint="eastAsia" w:eastAsia="Times New Roman"/>
                      <w:color w:val="000000" w:themeColor="text1"/>
                      <w:sz w:val="21"/>
                      <w:szCs w:val="21"/>
                      <w:highlight w:val="none"/>
                      <w:lang w:val="zh-CN"/>
                      <w14:textFill>
                        <w14:solidFill>
                          <w14:schemeClr w14:val="tx1"/>
                        </w14:solidFill>
                      </w14:textFill>
                    </w:rPr>
                    <w:t>。</w:t>
                  </w:r>
                </w:p>
              </w:tc>
              <w:tc>
                <w:tcPr>
                  <w:tcW w:w="582" w:type="pct"/>
                  <w:vAlign w:val="center"/>
                </w:tcPr>
                <w:p w14:paraId="70DB24F3">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7591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tcBorders>
                    <w:bottom w:val="single" w:color="auto" w:sz="4" w:space="0"/>
                  </w:tcBorders>
                  <w:vAlign w:val="center"/>
                </w:tcPr>
                <w:p w14:paraId="78D4EB9F">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w:t>
                  </w:r>
                </w:p>
              </w:tc>
              <w:tc>
                <w:tcPr>
                  <w:tcW w:w="2477" w:type="pct"/>
                  <w:tcBorders>
                    <w:bottom w:val="single" w:color="auto" w:sz="4" w:space="0"/>
                  </w:tcBorders>
                  <w:vAlign w:val="center"/>
                </w:tcPr>
                <w:p w14:paraId="169FDDC7">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第十一条</w:t>
                  </w:r>
                  <w:r>
                    <w:rPr>
                      <w:rFonts w:hint="eastAsia"/>
                      <w:color w:val="000000" w:themeColor="text1"/>
                      <w:sz w:val="21"/>
                      <w:szCs w:val="21"/>
                      <w:highlight w:val="none"/>
                      <w14:textFill>
                        <w14:solidFill>
                          <w14:schemeClr w14:val="tx1"/>
                        </w14:solidFill>
                      </w14:textFill>
                    </w:rPr>
                    <w:t xml:space="preserve">  </w:t>
                  </w:r>
                  <w:r>
                    <w:rPr>
                      <w:rFonts w:hint="default"/>
                      <w:color w:val="000000" w:themeColor="text1"/>
                      <w:sz w:val="21"/>
                      <w:szCs w:val="21"/>
                      <w:highlight w:val="none"/>
                      <w14:textFill>
                        <w14:solidFill>
                          <w14:schemeClr w14:val="tx1"/>
                        </w14:solidFill>
                      </w14:textFill>
                    </w:rPr>
                    <w:t>禁止新建、扩建不符合国家石化、现代煤化工等产业布局规划的项目。禁止列入《云南省城镇人口密集区危险化学品生产企业搬迁改造名单》的搬迁改造企业在原址新建、扩建危险化学品生产项目。</w:t>
                  </w:r>
                </w:p>
              </w:tc>
              <w:tc>
                <w:tcPr>
                  <w:tcW w:w="1602" w:type="pct"/>
                  <w:tcBorders>
                    <w:bottom w:val="single" w:color="auto" w:sz="4" w:space="0"/>
                  </w:tcBorders>
                  <w:vAlign w:val="center"/>
                </w:tcPr>
                <w:p w14:paraId="34424077">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项目不涉及石化、煤化工业，项目不属于</w:t>
                  </w:r>
                  <w:r>
                    <w:rPr>
                      <w:rFonts w:hint="default"/>
                      <w:color w:val="000000" w:themeColor="text1"/>
                      <w:sz w:val="21"/>
                      <w:szCs w:val="21"/>
                      <w:highlight w:val="none"/>
                      <w14:textFill>
                        <w14:solidFill>
                          <w14:schemeClr w14:val="tx1"/>
                        </w14:solidFill>
                      </w14:textFill>
                    </w:rPr>
                    <w:t>《云南省城镇人口密集区危险化学品生产企业搬迁改造名单》的搬迁改造企业</w:t>
                  </w:r>
                  <w:r>
                    <w:rPr>
                      <w:rFonts w:hint="eastAsia"/>
                      <w:color w:val="000000" w:themeColor="text1"/>
                      <w:sz w:val="21"/>
                      <w:szCs w:val="21"/>
                      <w:highlight w:val="none"/>
                      <w14:textFill>
                        <w14:solidFill>
                          <w14:schemeClr w14:val="tx1"/>
                        </w14:solidFill>
                      </w14:textFill>
                    </w:rPr>
                    <w:t>。</w:t>
                  </w:r>
                </w:p>
              </w:tc>
              <w:tc>
                <w:tcPr>
                  <w:tcW w:w="582" w:type="pct"/>
                  <w:tcBorders>
                    <w:bottom w:val="single" w:color="auto" w:sz="4" w:space="0"/>
                  </w:tcBorders>
                  <w:vAlign w:val="center"/>
                </w:tcPr>
                <w:p w14:paraId="0ACA2C37">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175A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7" w:type="pct"/>
                  <w:vAlign w:val="center"/>
                </w:tcPr>
                <w:p w14:paraId="489DBDAF">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w:t>
                  </w:r>
                </w:p>
              </w:tc>
              <w:tc>
                <w:tcPr>
                  <w:tcW w:w="2477" w:type="pct"/>
                  <w:vAlign w:val="center"/>
                </w:tcPr>
                <w:p w14:paraId="467584DA">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第十二条</w:t>
                  </w:r>
                  <w:r>
                    <w:rPr>
                      <w:rFonts w:hint="eastAsia"/>
                      <w:color w:val="000000" w:themeColor="text1"/>
                      <w:sz w:val="21"/>
                      <w:szCs w:val="21"/>
                      <w:highlight w:val="none"/>
                      <w14:textFill>
                        <w14:solidFill>
                          <w14:schemeClr w14:val="tx1"/>
                        </w14:solidFill>
                      </w14:textFill>
                    </w:rPr>
                    <w:t xml:space="preserve">  </w:t>
                  </w:r>
                  <w:r>
                    <w:rPr>
                      <w:rFonts w:hint="default"/>
                      <w:color w:val="000000" w:themeColor="text1"/>
                      <w:sz w:val="21"/>
                      <w:szCs w:val="21"/>
                      <w:highlight w:val="none"/>
                      <w14:textFill>
                        <w14:solidFill>
                          <w14:schemeClr w14:val="tx1"/>
                        </w14:solidFill>
                      </w14:textFill>
                    </w:rPr>
                    <w:t>禁止新建、扩建法律法规和相关政策</w:t>
                  </w:r>
                  <w:r>
                    <w:rPr>
                      <w:rFonts w:hint="eastAsia"/>
                      <w:color w:val="000000" w:themeColor="text1"/>
                      <w:sz w:val="21"/>
                      <w:szCs w:val="21"/>
                      <w:highlight w:val="none"/>
                      <w:lang w:val="en-US" w:eastAsia="zh-CN"/>
                      <w14:textFill>
                        <w14:solidFill>
                          <w14:schemeClr w14:val="tx1"/>
                        </w14:solidFill>
                      </w14:textFill>
                    </w:rPr>
                    <w:t>明令</w:t>
                  </w:r>
                  <w:r>
                    <w:rPr>
                      <w:rFonts w:hint="default"/>
                      <w:color w:val="000000" w:themeColor="text1"/>
                      <w:sz w:val="21"/>
                      <w:szCs w:val="21"/>
                      <w:highlight w:val="none"/>
                      <w14:textFill>
                        <w14:solidFill>
                          <w14:schemeClr w14:val="tx1"/>
                        </w14:solidFill>
                      </w14:textFill>
                    </w:rPr>
                    <w:t>禁止的落后产能项目﹐依法依规关停退出能耗、环保、质量、安全不达标产能和技术落后产能。禁止新建、扩建不符合国家产能置换要求的过剩产能行业的项目。禁止新建、扩建不符合要求的高耗能、高排放项目﹐推动退出重点高耗能行业</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限制类</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产能。禁止建设高毒高残留以及对环境影响大的农药原药生产装置，严控尿素、磷铵、电石、焦炭、黄磷、烧碱、纯碱、聚氯乙烯等行业新增产能。</w:t>
                  </w:r>
                </w:p>
              </w:tc>
              <w:tc>
                <w:tcPr>
                  <w:tcW w:w="1602" w:type="pct"/>
                  <w:vAlign w:val="center"/>
                </w:tcPr>
                <w:p w14:paraId="5333AD14">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根据</w:t>
                  </w:r>
                  <w:r>
                    <w:rPr>
                      <w:rFonts w:hint="eastAsia"/>
                      <w:color w:val="000000" w:themeColor="text1"/>
                      <w:sz w:val="21"/>
                      <w:szCs w:val="21"/>
                      <w:highlight w:val="none"/>
                      <w:lang w:eastAsia="zh-CN"/>
                      <w14:textFill>
                        <w14:solidFill>
                          <w14:schemeClr w14:val="tx1"/>
                        </w14:solidFill>
                      </w14:textFill>
                    </w:rPr>
                    <w:t>国家发展改革委</w:t>
                  </w:r>
                  <w:r>
                    <w:rPr>
                      <w:rFonts w:hint="default"/>
                      <w:color w:val="000000" w:themeColor="text1"/>
                      <w:sz w:val="21"/>
                      <w:szCs w:val="21"/>
                      <w:highlight w:val="none"/>
                      <w14:textFill>
                        <w14:solidFill>
                          <w14:schemeClr w14:val="tx1"/>
                        </w14:solidFill>
                      </w14:textFill>
                    </w:rPr>
                    <w:t>《产业结构调整指导目录（20</w:t>
                  </w:r>
                  <w:r>
                    <w:rPr>
                      <w:rFonts w:hint="eastAsia"/>
                      <w:color w:val="000000" w:themeColor="text1"/>
                      <w:sz w:val="21"/>
                      <w:szCs w:val="21"/>
                      <w:highlight w:val="none"/>
                      <w14:textFill>
                        <w14:solidFill>
                          <w14:schemeClr w14:val="tx1"/>
                        </w14:solidFill>
                      </w14:textFill>
                    </w:rPr>
                    <w:t>24</w:t>
                  </w:r>
                  <w:r>
                    <w:rPr>
                      <w:rFonts w:hint="default"/>
                      <w:color w:val="000000" w:themeColor="text1"/>
                      <w:sz w:val="21"/>
                      <w:szCs w:val="21"/>
                      <w:highlight w:val="none"/>
                      <w14:textFill>
                        <w14:solidFill>
                          <w14:schemeClr w14:val="tx1"/>
                        </w14:solidFill>
                      </w14:textFill>
                    </w:rPr>
                    <w:t>年本）》中的相关内容，项目不属于产业政策中的限制和淘汰类行业，</w:t>
                  </w:r>
                  <w:r>
                    <w:rPr>
                      <w:rFonts w:hint="eastAsia"/>
                      <w:color w:val="000000" w:themeColor="text1"/>
                      <w:sz w:val="21"/>
                      <w:szCs w:val="21"/>
                      <w:highlight w:val="none"/>
                      <w14:textFill>
                        <w14:solidFill>
                          <w14:schemeClr w14:val="tx1"/>
                        </w14:solidFill>
                      </w14:textFill>
                    </w:rPr>
                    <w:t>本项目所选设备、工艺均未列入《淘汰落后生产力、工艺和产品目录》中；项目</w:t>
                  </w:r>
                  <w:r>
                    <w:rPr>
                      <w:rFonts w:hint="eastAsia" w:ascii="宋体" w:hAnsi="宋体" w:cs="宋体"/>
                      <w:color w:val="000000" w:themeColor="text1"/>
                      <w:sz w:val="21"/>
                      <w:szCs w:val="21"/>
                      <w:highlight w:val="none"/>
                      <w:lang w:bidi="ar"/>
                      <w14:textFill>
                        <w14:solidFill>
                          <w14:schemeClr w14:val="tx1"/>
                        </w14:solidFill>
                      </w14:textFill>
                    </w:rPr>
                    <w:t>不属于国家产能置换要求的严重过剩产能行业的项目。</w:t>
                  </w:r>
                </w:p>
              </w:tc>
              <w:tc>
                <w:tcPr>
                  <w:tcW w:w="582" w:type="pct"/>
                  <w:vAlign w:val="center"/>
                </w:tcPr>
                <w:p w14:paraId="15B4A9D2">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bl>
          <w:p w14:paraId="0D68FEB9">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综上所述，本项目符合</w:t>
            </w:r>
            <w:r>
              <w:rPr>
                <w:rFonts w:hint="eastAsia" w:hAnsi="宋体"/>
                <w:bCs/>
                <w:color w:val="000000" w:themeColor="text1"/>
                <w:sz w:val="24"/>
                <w:szCs w:val="20"/>
                <w:highlight w:val="none"/>
                <w14:textFill>
                  <w14:solidFill>
                    <w14:schemeClr w14:val="tx1"/>
                  </w14:solidFill>
                </w14:textFill>
              </w:rPr>
              <w:t>《云南省长江经济带发展负面清单指南实施细则（试行，2022年版）》</w:t>
            </w:r>
            <w:r>
              <w:rPr>
                <w:rFonts w:hint="eastAsia"/>
                <w:color w:val="000000" w:themeColor="text1"/>
                <w:sz w:val="24"/>
                <w:szCs w:val="20"/>
                <w:highlight w:val="none"/>
                <w14:textFill>
                  <w14:solidFill>
                    <w14:schemeClr w14:val="tx1"/>
                  </w14:solidFill>
                </w14:textFill>
              </w:rPr>
              <w:t>中相应要求。</w:t>
            </w:r>
          </w:p>
          <w:p w14:paraId="49F1CEFB">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9</w:t>
            </w:r>
            <w:r>
              <w:rPr>
                <w:rFonts w:hint="eastAsia"/>
                <w:b/>
                <w:bCs/>
                <w:color w:val="000000" w:themeColor="text1"/>
                <w:sz w:val="24"/>
                <w:szCs w:val="20"/>
                <w:highlight w:val="none"/>
                <w:lang w:val="en-US" w:eastAsia="zh-CN"/>
                <w14:textFill>
                  <w14:solidFill>
                    <w14:schemeClr w14:val="tx1"/>
                  </w14:solidFill>
                </w14:textFill>
              </w:rPr>
              <w:t>.</w:t>
            </w:r>
            <w:r>
              <w:rPr>
                <w:rFonts w:hint="default"/>
                <w:b/>
                <w:bCs/>
                <w:color w:val="000000" w:themeColor="text1"/>
                <w:sz w:val="24"/>
                <w:szCs w:val="20"/>
                <w:highlight w:val="none"/>
                <w14:textFill>
                  <w14:solidFill>
                    <w14:schemeClr w14:val="tx1"/>
                  </w14:solidFill>
                </w14:textFill>
              </w:rPr>
              <w:t>与《中华人民共和国长江保护法》相符性分析</w:t>
            </w:r>
          </w:p>
          <w:p w14:paraId="4B5C8611">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2020年12月26日第十三届全国人民代表大会常务委员会第二十四次会议通过《中华人民共和国长江保护法》，于</w:t>
            </w:r>
            <w:r>
              <w:rPr>
                <w:rFonts w:hint="eastAsia"/>
                <w:color w:val="000000" w:themeColor="text1"/>
                <w:sz w:val="24"/>
                <w:szCs w:val="20"/>
                <w:highlight w:val="none"/>
                <w14:textFill>
                  <w14:solidFill>
                    <w14:schemeClr w14:val="tx1"/>
                  </w14:solidFill>
                </w14:textFill>
              </w:rPr>
              <w:t>2021年3月1日起施行</w:t>
            </w:r>
            <w:r>
              <w:rPr>
                <w:rFonts w:hint="default"/>
                <w:color w:val="000000" w:themeColor="text1"/>
                <w:sz w:val="24"/>
                <w:szCs w:val="20"/>
                <w:highlight w:val="none"/>
                <w14:textFill>
                  <w14:solidFill>
                    <w14:schemeClr w14:val="tx1"/>
                  </w14:solidFill>
                </w14:textFill>
              </w:rPr>
              <w:t>。</w:t>
            </w:r>
          </w:p>
          <w:p w14:paraId="7D6129D2">
            <w:pPr>
              <w:keepNext w:val="0"/>
              <w:keepLines w:val="0"/>
              <w:suppressLineNumbers w:val="0"/>
              <w:spacing w:before="0" w:beforeAutospacing="0" w:after="0" w:afterAutospacing="0"/>
              <w:ind w:left="0" w:right="0"/>
              <w:jc w:val="center"/>
              <w:rPr>
                <w:rFonts w:hint="default"/>
                <w:b/>
                <w:bCs/>
                <w:color w:val="000000" w:themeColor="text1"/>
                <w:sz w:val="24"/>
                <w:szCs w:val="20"/>
                <w:highlight w:val="none"/>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表1</w:t>
            </w:r>
            <w:r>
              <w:rPr>
                <w:rFonts w:hint="eastAsia"/>
                <w:b/>
                <w:bCs/>
                <w:color w:val="000000" w:themeColor="text1"/>
                <w:sz w:val="24"/>
                <w:szCs w:val="20"/>
                <w:highlight w:val="none"/>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10</w:t>
            </w:r>
            <w:r>
              <w:rPr>
                <w:rFonts w:hint="eastAsia"/>
                <w:b/>
                <w:bCs/>
                <w:color w:val="000000" w:themeColor="text1"/>
                <w:sz w:val="24"/>
                <w:szCs w:val="20"/>
                <w:highlight w:val="none"/>
                <w14:textFill>
                  <w14:solidFill>
                    <w14:schemeClr w14:val="tx1"/>
                  </w14:solidFill>
                </w14:textFill>
              </w:rPr>
              <w:t xml:space="preserve">  </w:t>
            </w:r>
            <w:r>
              <w:rPr>
                <w:rFonts w:hint="default"/>
                <w:b/>
                <w:bCs/>
                <w:color w:val="000000" w:themeColor="text1"/>
                <w:sz w:val="24"/>
                <w:szCs w:val="20"/>
                <w:highlight w:val="none"/>
                <w14:textFill>
                  <w14:solidFill>
                    <w14:schemeClr w14:val="tx1"/>
                  </w14:solidFill>
                </w14:textFill>
              </w:rPr>
              <w:t>项目与《</w:t>
            </w:r>
            <w:r>
              <w:rPr>
                <w:rFonts w:hint="eastAsia"/>
                <w:b/>
                <w:bCs/>
                <w:color w:val="000000" w:themeColor="text1"/>
                <w:sz w:val="24"/>
                <w:szCs w:val="20"/>
                <w:highlight w:val="none"/>
                <w14:textFill>
                  <w14:solidFill>
                    <w14:schemeClr w14:val="tx1"/>
                  </w14:solidFill>
                </w14:textFill>
              </w:rPr>
              <w:t>中华人民共和国长江保护法</w:t>
            </w:r>
            <w:r>
              <w:rPr>
                <w:rFonts w:hint="default"/>
                <w:b/>
                <w:bCs/>
                <w:color w:val="000000" w:themeColor="text1"/>
                <w:sz w:val="24"/>
                <w:szCs w:val="20"/>
                <w:highlight w:val="none"/>
                <w14:textFill>
                  <w14:solidFill>
                    <w14:schemeClr w14:val="tx1"/>
                  </w14:solidFill>
                </w14:textFill>
              </w:rPr>
              <w:t>》</w:t>
            </w:r>
            <w:r>
              <w:rPr>
                <w:rFonts w:hint="eastAsia"/>
                <w:b/>
                <w:bCs/>
                <w:color w:val="000000" w:themeColor="text1"/>
                <w:sz w:val="24"/>
                <w:szCs w:val="20"/>
                <w:highlight w:val="none"/>
                <w14:textFill>
                  <w14:solidFill>
                    <w14:schemeClr w14:val="tx1"/>
                  </w14:solidFill>
                </w14:textFill>
              </w:rPr>
              <w:t>相符性</w:t>
            </w:r>
            <w:r>
              <w:rPr>
                <w:rFonts w:hint="default"/>
                <w:b/>
                <w:bCs/>
                <w:color w:val="000000" w:themeColor="text1"/>
                <w:sz w:val="24"/>
                <w:szCs w:val="20"/>
                <w:highlight w:val="none"/>
                <w14:textFill>
                  <w14:solidFill>
                    <w14:schemeClr w14:val="tx1"/>
                  </w14:solidFill>
                </w14:textFill>
              </w:rPr>
              <w:t>分析</w:t>
            </w:r>
          </w:p>
          <w:tbl>
            <w:tblPr>
              <w:tblStyle w:val="4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21"/>
              <w:gridCol w:w="3776"/>
              <w:gridCol w:w="897"/>
            </w:tblGrid>
            <w:tr w14:paraId="37AB0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148" w:type="pct"/>
                  <w:tcBorders>
                    <w:top w:val="single" w:color="auto" w:sz="4" w:space="0"/>
                    <w:left w:val="single" w:color="auto" w:sz="4" w:space="0"/>
                    <w:bottom w:val="single" w:color="auto" w:sz="4" w:space="0"/>
                    <w:right w:val="single" w:color="auto" w:sz="4" w:space="0"/>
                  </w:tcBorders>
                  <w:vAlign w:val="center"/>
                </w:tcPr>
                <w:p w14:paraId="77266C3C">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相关</w:t>
                  </w:r>
                  <w:r>
                    <w:rPr>
                      <w:rFonts w:hint="default" w:ascii="宋体" w:hAnsi="宋体"/>
                      <w:b/>
                      <w:bCs/>
                      <w:color w:val="000000" w:themeColor="text1"/>
                      <w:sz w:val="21"/>
                      <w:szCs w:val="21"/>
                      <w:highlight w:val="none"/>
                      <w14:textFill>
                        <w14:solidFill>
                          <w14:schemeClr w14:val="tx1"/>
                        </w14:solidFill>
                      </w14:textFill>
                    </w:rPr>
                    <w:t>要求</w:t>
                  </w:r>
                </w:p>
              </w:tc>
              <w:tc>
                <w:tcPr>
                  <w:tcW w:w="2303" w:type="pct"/>
                  <w:tcBorders>
                    <w:top w:val="single" w:color="auto" w:sz="4" w:space="0"/>
                    <w:left w:val="single" w:color="auto" w:sz="4" w:space="0"/>
                    <w:bottom w:val="single" w:color="auto" w:sz="4" w:space="0"/>
                    <w:right w:val="single" w:color="auto" w:sz="4" w:space="0"/>
                  </w:tcBorders>
                  <w:vAlign w:val="center"/>
                </w:tcPr>
                <w:p w14:paraId="148DA8EB">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拟建项目的</w:t>
                  </w:r>
                  <w:r>
                    <w:rPr>
                      <w:rFonts w:hint="eastAsia" w:ascii="宋体" w:hAnsi="宋体"/>
                      <w:b/>
                      <w:bCs/>
                      <w:color w:val="000000" w:themeColor="text1"/>
                      <w:sz w:val="21"/>
                      <w:szCs w:val="21"/>
                      <w:highlight w:val="none"/>
                      <w14:textFill>
                        <w14:solidFill>
                          <w14:schemeClr w14:val="tx1"/>
                        </w14:solidFill>
                      </w14:textFill>
                    </w:rPr>
                    <w:t>情况</w:t>
                  </w:r>
                </w:p>
              </w:tc>
              <w:tc>
                <w:tcPr>
                  <w:tcW w:w="547" w:type="pct"/>
                  <w:tcBorders>
                    <w:top w:val="single" w:color="auto" w:sz="4" w:space="0"/>
                    <w:left w:val="single" w:color="auto" w:sz="4" w:space="0"/>
                    <w:bottom w:val="single" w:color="auto" w:sz="4" w:space="0"/>
                    <w:right w:val="single" w:color="auto" w:sz="4" w:space="0"/>
                  </w:tcBorders>
                  <w:vAlign w:val="center"/>
                </w:tcPr>
                <w:p w14:paraId="6C1BBAF7">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符合性</w:t>
                  </w:r>
                </w:p>
              </w:tc>
            </w:tr>
            <w:tr w14:paraId="7F714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48" w:type="pct"/>
                  <w:tcBorders>
                    <w:top w:val="single" w:color="auto" w:sz="4" w:space="0"/>
                    <w:left w:val="single" w:color="auto" w:sz="4" w:space="0"/>
                    <w:bottom w:val="single" w:color="auto" w:sz="4" w:space="0"/>
                    <w:right w:val="single" w:color="auto" w:sz="4" w:space="0"/>
                  </w:tcBorders>
                  <w:vAlign w:val="center"/>
                </w:tcPr>
                <w:p w14:paraId="774C49F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禁止在长江干支流岸线一公里范围内新建、扩建化工园区和化工项目。</w:t>
                  </w:r>
                </w:p>
                <w:p w14:paraId="022B901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禁止在长江干流岸线三公里范围内和重要支流岸线一公里范围内新建、改建、扩建尾矿库；但是以提升安全、生态环境保护水平为目的的改建除外。</w:t>
                  </w:r>
                </w:p>
              </w:tc>
              <w:tc>
                <w:tcPr>
                  <w:tcW w:w="2303" w:type="pct"/>
                  <w:tcBorders>
                    <w:top w:val="single" w:color="auto" w:sz="4" w:space="0"/>
                    <w:left w:val="single" w:color="auto" w:sz="4" w:space="0"/>
                    <w:bottom w:val="single" w:color="auto" w:sz="4" w:space="0"/>
                    <w:right w:val="single" w:color="auto" w:sz="4" w:space="0"/>
                  </w:tcBorders>
                  <w:vAlign w:val="center"/>
                </w:tcPr>
                <w:p w14:paraId="2E2BA93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项目位于长江流域牛栏江支流聂鼠龙河流域，距牛栏江干流约</w:t>
                  </w:r>
                  <w:r>
                    <w:rPr>
                      <w:rFonts w:hint="eastAsia" w:ascii="宋体" w:hAnsi="宋体"/>
                      <w:color w:val="000000" w:themeColor="text1"/>
                      <w:sz w:val="21"/>
                      <w:szCs w:val="21"/>
                      <w:highlight w:val="none"/>
                      <w:lang w:val="en-US" w:eastAsia="zh-CN"/>
                      <w14:textFill>
                        <w14:solidFill>
                          <w14:schemeClr w14:val="tx1"/>
                        </w14:solidFill>
                      </w14:textFill>
                    </w:rPr>
                    <w:t>869</w:t>
                  </w:r>
                  <w:r>
                    <w:rPr>
                      <w:rFonts w:hint="eastAsia" w:ascii="宋体" w:hAnsi="宋体"/>
                      <w:color w:val="000000" w:themeColor="text1"/>
                      <w:sz w:val="21"/>
                      <w:szCs w:val="21"/>
                      <w:highlight w:val="none"/>
                      <w14:textFill>
                        <w14:solidFill>
                          <w14:schemeClr w14:val="tx1"/>
                        </w14:solidFill>
                      </w14:textFill>
                    </w:rPr>
                    <w:t>m。聂鼠龙河未被列入《云南省重要江河湖泊名录》，不属于</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重要支流</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范畴。本项目为</w:t>
                  </w:r>
                  <w:r>
                    <w:rPr>
                      <w:rFonts w:hint="eastAsia" w:ascii="宋体" w:hAnsi="宋体"/>
                      <w:color w:val="000000" w:themeColor="text1"/>
                      <w:sz w:val="21"/>
                      <w:szCs w:val="21"/>
                      <w:highlight w:val="none"/>
                      <w:lang w:val="en-US" w:eastAsia="zh-CN"/>
                      <w14:textFill>
                        <w14:solidFill>
                          <w14:schemeClr w14:val="tx1"/>
                        </w14:solidFill>
                      </w14:textFill>
                    </w:rPr>
                    <w:t>改性磷石膏加工工程，不属于</w:t>
                  </w:r>
                  <w:r>
                    <w:rPr>
                      <w:rFonts w:hint="eastAsia" w:ascii="宋体" w:hAnsi="宋体" w:eastAsia="宋体" w:cs="Times New Roman"/>
                      <w:color w:val="000000" w:themeColor="text1"/>
                      <w:sz w:val="21"/>
                      <w:szCs w:val="21"/>
                      <w:highlight w:val="none"/>
                      <w14:textFill>
                        <w14:solidFill>
                          <w14:schemeClr w14:val="tx1"/>
                        </w14:solidFill>
                      </w14:textFill>
                    </w:rPr>
                    <w:t>新建、改建、扩建尾矿库</w:t>
                  </w:r>
                  <w:r>
                    <w:rPr>
                      <w:rFonts w:hint="eastAsia" w:ascii="宋体" w:hAnsi="宋体" w:cs="Times New Roman"/>
                      <w:color w:val="000000" w:themeColor="text1"/>
                      <w:sz w:val="21"/>
                      <w:szCs w:val="21"/>
                      <w:highlight w:val="none"/>
                      <w:lang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项目</w:t>
                  </w:r>
                  <w:r>
                    <w:rPr>
                      <w:rFonts w:hint="eastAsia" w:ascii="宋体" w:hAnsi="宋体"/>
                      <w:color w:val="000000" w:themeColor="text1"/>
                      <w:sz w:val="21"/>
                      <w:szCs w:val="21"/>
                      <w:highlight w:val="none"/>
                      <w14:textFill>
                        <w14:solidFill>
                          <w14:schemeClr w14:val="tx1"/>
                        </w14:solidFill>
                      </w14:textFill>
                    </w:rPr>
                    <w:t>通过对161.42万吨存量磷石膏进行无害化改性实现资源化利用，从根本上消除渣场长期堆存的环境风险，属于</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以提升生态环境保护水平为目的的治理工程</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且</w:t>
                  </w:r>
                  <w:r>
                    <w:rPr>
                      <w:rFonts w:hint="default"/>
                      <w:b w:val="0"/>
                      <w:bCs w:val="0"/>
                      <w:color w:val="000000" w:themeColor="text1"/>
                      <w:sz w:val="21"/>
                      <w:szCs w:val="21"/>
                      <w:highlight w:val="none"/>
                      <w14:textFill>
                        <w14:solidFill>
                          <w14:schemeClr w14:val="tx1"/>
                        </w14:solidFill>
                      </w14:textFill>
                    </w:rPr>
                    <w:t>项目属阶段性临时</w:t>
                  </w:r>
                  <w:r>
                    <w:rPr>
                      <w:rFonts w:hint="eastAsia"/>
                      <w:b w:val="0"/>
                      <w:bCs w:val="0"/>
                      <w:color w:val="000000" w:themeColor="text1"/>
                      <w:sz w:val="21"/>
                      <w:szCs w:val="21"/>
                      <w:highlight w:val="none"/>
                      <w:lang w:val="en-US" w:eastAsia="zh-CN"/>
                      <w14:textFill>
                        <w14:solidFill>
                          <w14:schemeClr w14:val="tx1"/>
                        </w14:solidFill>
                      </w14:textFill>
                    </w:rPr>
                    <w:t>工程</w:t>
                  </w:r>
                  <w:r>
                    <w:rPr>
                      <w:rFonts w:hint="default"/>
                      <w:b w:val="0"/>
                      <w:bCs w:val="0"/>
                      <w:color w:val="000000" w:themeColor="text1"/>
                      <w:sz w:val="21"/>
                      <w:szCs w:val="21"/>
                      <w:highlight w:val="none"/>
                      <w14:textFill>
                        <w14:solidFill>
                          <w14:schemeClr w14:val="tx1"/>
                        </w14:solidFill>
                      </w14:textFill>
                    </w:rPr>
                    <w:t>，待存量磷石膏全部改性处置完成后即刻停产撤场，从源头消除磷石膏堆存对区域水环境的潜在风险，契合流域生态环境整治总体要求。</w:t>
                  </w:r>
                </w:p>
              </w:tc>
              <w:tc>
                <w:tcPr>
                  <w:tcW w:w="547" w:type="pct"/>
                  <w:tcBorders>
                    <w:top w:val="single" w:color="auto" w:sz="4" w:space="0"/>
                    <w:left w:val="single" w:color="auto" w:sz="4" w:space="0"/>
                    <w:bottom w:val="single" w:color="auto" w:sz="4" w:space="0"/>
                    <w:right w:val="single" w:color="auto" w:sz="4" w:space="0"/>
                  </w:tcBorders>
                  <w:vAlign w:val="center"/>
                </w:tcPr>
                <w:p w14:paraId="4FCF575B">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0E0EF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148" w:type="pct"/>
                  <w:tcBorders>
                    <w:top w:val="single" w:color="auto" w:sz="4" w:space="0"/>
                    <w:left w:val="single" w:color="auto" w:sz="4" w:space="0"/>
                    <w:bottom w:val="single" w:color="auto" w:sz="4" w:space="0"/>
                    <w:right w:val="single" w:color="auto" w:sz="4" w:space="0"/>
                  </w:tcBorders>
                  <w:vAlign w:val="center"/>
                </w:tcPr>
                <w:p w14:paraId="61DB1C2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禁止在长江流域河湖管理范围内倾倒、填埋、堆放、弃置、处理固体废物。</w:t>
                  </w:r>
                </w:p>
              </w:tc>
              <w:tc>
                <w:tcPr>
                  <w:tcW w:w="2303" w:type="pct"/>
                  <w:tcBorders>
                    <w:top w:val="single" w:color="auto" w:sz="4" w:space="0"/>
                    <w:left w:val="single" w:color="auto" w:sz="4" w:space="0"/>
                    <w:bottom w:val="single" w:color="auto" w:sz="4" w:space="0"/>
                    <w:right w:val="single" w:color="auto" w:sz="4" w:space="0"/>
                  </w:tcBorders>
                  <w:vAlign w:val="center"/>
                </w:tcPr>
                <w:p w14:paraId="50BF3EC9">
                  <w:pPr>
                    <w:keepNext w:val="0"/>
                    <w:keepLines w:val="0"/>
                    <w:suppressLineNumbers w:val="0"/>
                    <w:spacing w:before="0" w:beforeAutospacing="0" w:after="0" w:afterAutospacing="0"/>
                    <w:ind w:left="0" w:right="0"/>
                    <w:jc w:val="both"/>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本项目不涉及</w:t>
                  </w:r>
                  <w:r>
                    <w:rPr>
                      <w:rFonts w:hint="eastAsia" w:ascii="宋体" w:hAnsi="宋体"/>
                      <w:color w:val="000000" w:themeColor="text1"/>
                      <w:sz w:val="21"/>
                      <w:szCs w:val="21"/>
                      <w:highlight w:val="none"/>
                      <w14:textFill>
                        <w14:solidFill>
                          <w14:schemeClr w14:val="tx1"/>
                        </w14:solidFill>
                      </w14:textFill>
                    </w:rPr>
                    <w:t>在河湖管理范围内倾倒、填埋、堆放、弃置、处理固体废物。</w:t>
                  </w:r>
                </w:p>
              </w:tc>
              <w:tc>
                <w:tcPr>
                  <w:tcW w:w="547" w:type="pct"/>
                  <w:tcBorders>
                    <w:top w:val="single" w:color="auto" w:sz="4" w:space="0"/>
                    <w:left w:val="single" w:color="auto" w:sz="4" w:space="0"/>
                    <w:bottom w:val="single" w:color="auto" w:sz="4" w:space="0"/>
                    <w:right w:val="single" w:color="auto" w:sz="4" w:space="0"/>
                  </w:tcBorders>
                  <w:vAlign w:val="center"/>
                </w:tcPr>
                <w:p w14:paraId="251F9C78">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20F64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2148" w:type="pct"/>
                  <w:tcBorders>
                    <w:top w:val="single" w:color="auto" w:sz="4" w:space="0"/>
                    <w:left w:val="single" w:color="auto" w:sz="4" w:space="0"/>
                    <w:bottom w:val="single" w:color="auto" w:sz="4" w:space="0"/>
                    <w:right w:val="single" w:color="auto" w:sz="4" w:space="0"/>
                  </w:tcBorders>
                  <w:vAlign w:val="center"/>
                </w:tcPr>
                <w:p w14:paraId="5196652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禁止在长江流域水上运输剧毒化学品和国家规定禁止通过内河运输的其他危险化学品。</w:t>
                  </w:r>
                </w:p>
              </w:tc>
              <w:tc>
                <w:tcPr>
                  <w:tcW w:w="2303" w:type="pct"/>
                  <w:tcBorders>
                    <w:top w:val="single" w:color="auto" w:sz="4" w:space="0"/>
                    <w:left w:val="single" w:color="auto" w:sz="4" w:space="0"/>
                    <w:bottom w:val="single" w:color="auto" w:sz="4" w:space="0"/>
                    <w:right w:val="single" w:color="auto" w:sz="4" w:space="0"/>
                  </w:tcBorders>
                  <w:vAlign w:val="center"/>
                </w:tcPr>
                <w:p w14:paraId="563725D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w:t>
                  </w:r>
                  <w:r>
                    <w:rPr>
                      <w:rFonts w:hint="default" w:ascii="宋体" w:hAnsi="宋体"/>
                      <w:color w:val="000000" w:themeColor="text1"/>
                      <w:sz w:val="21"/>
                      <w:szCs w:val="21"/>
                      <w:highlight w:val="none"/>
                      <w14:textFill>
                        <w14:solidFill>
                          <w14:schemeClr w14:val="tx1"/>
                        </w14:solidFill>
                      </w14:textFill>
                    </w:rPr>
                    <w:t>不涉及</w:t>
                  </w:r>
                  <w:r>
                    <w:rPr>
                      <w:rFonts w:hint="eastAsia" w:ascii="宋体" w:hAnsi="宋体"/>
                      <w:color w:val="000000" w:themeColor="text1"/>
                      <w:sz w:val="21"/>
                      <w:szCs w:val="21"/>
                      <w:highlight w:val="none"/>
                      <w14:textFill>
                        <w14:solidFill>
                          <w14:schemeClr w14:val="tx1"/>
                        </w14:solidFill>
                      </w14:textFill>
                    </w:rPr>
                    <w:t>长江流域水上运输。</w:t>
                  </w:r>
                </w:p>
              </w:tc>
              <w:tc>
                <w:tcPr>
                  <w:tcW w:w="547" w:type="pct"/>
                  <w:tcBorders>
                    <w:top w:val="single" w:color="auto" w:sz="4" w:space="0"/>
                    <w:left w:val="single" w:color="auto" w:sz="4" w:space="0"/>
                    <w:bottom w:val="single" w:color="auto" w:sz="4" w:space="0"/>
                    <w:right w:val="single" w:color="auto" w:sz="4" w:space="0"/>
                  </w:tcBorders>
                  <w:vAlign w:val="center"/>
                </w:tcPr>
                <w:p w14:paraId="763A87C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25F61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48" w:type="pct"/>
                  <w:tcBorders>
                    <w:top w:val="single" w:color="auto" w:sz="4" w:space="0"/>
                    <w:left w:val="single" w:color="auto" w:sz="4" w:space="0"/>
                    <w:bottom w:val="single" w:color="auto" w:sz="4" w:space="0"/>
                    <w:right w:val="single" w:color="auto" w:sz="4" w:space="0"/>
                  </w:tcBorders>
                  <w:vAlign w:val="center"/>
                </w:tcPr>
                <w:p w14:paraId="08778E13">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禁止违法利用、占用长江流域河湖岸线。</w:t>
                  </w:r>
                </w:p>
              </w:tc>
              <w:tc>
                <w:tcPr>
                  <w:tcW w:w="2303" w:type="pct"/>
                  <w:tcBorders>
                    <w:top w:val="single" w:color="auto" w:sz="4" w:space="0"/>
                    <w:left w:val="single" w:color="auto" w:sz="4" w:space="0"/>
                    <w:bottom w:val="single" w:color="auto" w:sz="4" w:space="0"/>
                    <w:right w:val="single" w:color="auto" w:sz="4" w:space="0"/>
                  </w:tcBorders>
                  <w:vAlign w:val="center"/>
                </w:tcPr>
                <w:p w14:paraId="3FB764C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w:t>
                  </w:r>
                  <w:r>
                    <w:rPr>
                      <w:rFonts w:hint="default" w:ascii="宋体" w:hAnsi="宋体"/>
                      <w:color w:val="000000" w:themeColor="text1"/>
                      <w:sz w:val="21"/>
                      <w:szCs w:val="21"/>
                      <w:highlight w:val="none"/>
                      <w14:textFill>
                        <w14:solidFill>
                          <w14:schemeClr w14:val="tx1"/>
                        </w14:solidFill>
                      </w14:textFill>
                    </w:rPr>
                    <w:t>不涉及</w:t>
                  </w:r>
                  <w:r>
                    <w:rPr>
                      <w:rFonts w:hint="eastAsia" w:ascii="宋体" w:hAnsi="宋体"/>
                      <w:color w:val="000000" w:themeColor="text1"/>
                      <w:sz w:val="21"/>
                      <w:szCs w:val="21"/>
                      <w:highlight w:val="none"/>
                      <w14:textFill>
                        <w14:solidFill>
                          <w14:schemeClr w14:val="tx1"/>
                        </w14:solidFill>
                      </w14:textFill>
                    </w:rPr>
                    <w:t>长江流域河湖岸线。</w:t>
                  </w:r>
                </w:p>
              </w:tc>
              <w:tc>
                <w:tcPr>
                  <w:tcW w:w="547" w:type="pct"/>
                  <w:tcBorders>
                    <w:top w:val="single" w:color="auto" w:sz="4" w:space="0"/>
                    <w:left w:val="single" w:color="auto" w:sz="4" w:space="0"/>
                    <w:bottom w:val="single" w:color="auto" w:sz="4" w:space="0"/>
                    <w:right w:val="single" w:color="auto" w:sz="4" w:space="0"/>
                  </w:tcBorders>
                  <w:vAlign w:val="center"/>
                </w:tcPr>
                <w:p w14:paraId="789BAA1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702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48" w:type="pct"/>
                  <w:tcBorders>
                    <w:top w:val="single" w:color="auto" w:sz="4" w:space="0"/>
                    <w:left w:val="single" w:color="auto" w:sz="4" w:space="0"/>
                    <w:bottom w:val="single" w:color="auto" w:sz="4" w:space="0"/>
                    <w:right w:val="single" w:color="auto" w:sz="4" w:space="0"/>
                  </w:tcBorders>
                  <w:vAlign w:val="center"/>
                </w:tcPr>
                <w:p w14:paraId="33D7AEB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禁止在长江流域水土流失严重、生态脆弱的区域开展可能造成水土流失的生产建设活动。</w:t>
                  </w:r>
                </w:p>
              </w:tc>
              <w:tc>
                <w:tcPr>
                  <w:tcW w:w="2303" w:type="pct"/>
                  <w:tcBorders>
                    <w:top w:val="single" w:color="auto" w:sz="4" w:space="0"/>
                    <w:left w:val="single" w:color="auto" w:sz="4" w:space="0"/>
                    <w:bottom w:val="single" w:color="auto" w:sz="4" w:space="0"/>
                    <w:right w:val="single" w:color="auto" w:sz="4" w:space="0"/>
                  </w:tcBorders>
                  <w:vAlign w:val="center"/>
                </w:tcPr>
                <w:p w14:paraId="6638F3F3">
                  <w:pPr>
                    <w:keepNext w:val="0"/>
                    <w:keepLines w:val="0"/>
                    <w:suppressLineNumbers w:val="0"/>
                    <w:spacing w:before="0" w:beforeAutospacing="0" w:after="0" w:afterAutospacing="0"/>
                    <w:ind w:left="0" w:right="0"/>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w:t>
                  </w:r>
                  <w:r>
                    <w:rPr>
                      <w:rFonts w:hint="default" w:ascii="宋体" w:hAnsi="宋体"/>
                      <w:color w:val="000000" w:themeColor="text1"/>
                      <w:sz w:val="21"/>
                      <w:szCs w:val="21"/>
                      <w:highlight w:val="none"/>
                      <w14:textFill>
                        <w14:solidFill>
                          <w14:schemeClr w14:val="tx1"/>
                        </w14:solidFill>
                      </w14:textFill>
                    </w:rPr>
                    <w:t>项</w:t>
                  </w:r>
                  <w:r>
                    <w:rPr>
                      <w:rFonts w:hint="eastAsia" w:ascii="宋体" w:hAnsi="宋体"/>
                      <w:color w:val="000000" w:themeColor="text1"/>
                      <w:sz w:val="21"/>
                      <w:szCs w:val="21"/>
                      <w:highlight w:val="none"/>
                      <w:lang w:val="en-US" w:eastAsia="zh-CN"/>
                      <w14:textFill>
                        <w14:solidFill>
                          <w14:schemeClr w14:val="tx1"/>
                        </w14:solidFill>
                      </w14:textFill>
                    </w:rPr>
                    <w:t>在租赁场地内进行建设，不新增占地，不涉及</w:t>
                  </w:r>
                  <w:r>
                    <w:rPr>
                      <w:rFonts w:hint="eastAsia" w:ascii="宋体" w:hAnsi="宋体"/>
                      <w:color w:val="000000" w:themeColor="text1"/>
                      <w:sz w:val="21"/>
                      <w:szCs w:val="21"/>
                      <w:highlight w:val="none"/>
                      <w14:textFill>
                        <w14:solidFill>
                          <w14:schemeClr w14:val="tx1"/>
                        </w14:solidFill>
                      </w14:textFill>
                    </w:rPr>
                    <w:t>可能造成水土流失的生产建设活动</w:t>
                  </w:r>
                  <w:r>
                    <w:rPr>
                      <w:rFonts w:hint="eastAsia" w:ascii="宋体" w:hAnsi="宋体"/>
                      <w:color w:val="000000" w:themeColor="text1"/>
                      <w:sz w:val="21"/>
                      <w:szCs w:val="21"/>
                      <w:highlight w:val="none"/>
                      <w:lang w:eastAsia="zh-CN"/>
                      <w14:textFill>
                        <w14:solidFill>
                          <w14:schemeClr w14:val="tx1"/>
                        </w14:solidFill>
                      </w14:textFill>
                    </w:rPr>
                    <w:t>。</w:t>
                  </w:r>
                </w:p>
              </w:tc>
              <w:tc>
                <w:tcPr>
                  <w:tcW w:w="547" w:type="pct"/>
                  <w:tcBorders>
                    <w:top w:val="single" w:color="auto" w:sz="4" w:space="0"/>
                    <w:left w:val="single" w:color="auto" w:sz="4" w:space="0"/>
                    <w:bottom w:val="single" w:color="auto" w:sz="4" w:space="0"/>
                    <w:right w:val="single" w:color="auto" w:sz="4" w:space="0"/>
                  </w:tcBorders>
                  <w:vAlign w:val="center"/>
                </w:tcPr>
                <w:p w14:paraId="7C10C18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0321B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2148" w:type="pct"/>
                  <w:tcBorders>
                    <w:top w:val="single" w:color="auto" w:sz="4" w:space="0"/>
                    <w:left w:val="single" w:color="auto" w:sz="4" w:space="0"/>
                    <w:bottom w:val="single" w:color="auto" w:sz="4" w:space="0"/>
                    <w:right w:val="single" w:color="auto" w:sz="4" w:space="0"/>
                  </w:tcBorders>
                  <w:vAlign w:val="center"/>
                </w:tcPr>
                <w:p w14:paraId="14CA9E1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磷矿开采加工、磷肥和含磷农药制造等企业，应当按照排污许可要求，采取有效措施控制总磷排放浓度和排放总量；</w:t>
                  </w:r>
                </w:p>
              </w:tc>
              <w:tc>
                <w:tcPr>
                  <w:tcW w:w="2303" w:type="pct"/>
                  <w:tcBorders>
                    <w:top w:val="single" w:color="auto" w:sz="4" w:space="0"/>
                    <w:left w:val="single" w:color="auto" w:sz="4" w:space="0"/>
                    <w:bottom w:val="single" w:color="auto" w:sz="4" w:space="0"/>
                    <w:right w:val="single" w:color="auto" w:sz="4" w:space="0"/>
                  </w:tcBorders>
                  <w:vAlign w:val="center"/>
                </w:tcPr>
                <w:p w14:paraId="4B8712B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w:t>
                  </w:r>
                  <w:r>
                    <w:rPr>
                      <w:rFonts w:hint="default" w:ascii="宋体" w:hAnsi="宋体"/>
                      <w:color w:val="000000" w:themeColor="text1"/>
                      <w:sz w:val="21"/>
                      <w:szCs w:val="21"/>
                      <w:highlight w:val="none"/>
                      <w14:textFill>
                        <w14:solidFill>
                          <w14:schemeClr w14:val="tx1"/>
                        </w14:solidFill>
                      </w14:textFill>
                    </w:rPr>
                    <w:t>不涉及</w:t>
                  </w:r>
                  <w:r>
                    <w:rPr>
                      <w:rFonts w:hint="eastAsia" w:ascii="宋体" w:hAnsi="宋体"/>
                      <w:color w:val="000000" w:themeColor="text1"/>
                      <w:sz w:val="21"/>
                      <w:szCs w:val="21"/>
                      <w:highlight w:val="none"/>
                      <w14:textFill>
                        <w14:solidFill>
                          <w14:schemeClr w14:val="tx1"/>
                        </w14:solidFill>
                      </w14:textFill>
                    </w:rPr>
                    <w:t>磷矿开采加工、磷肥和含磷农药制造。</w:t>
                  </w:r>
                </w:p>
              </w:tc>
              <w:tc>
                <w:tcPr>
                  <w:tcW w:w="547" w:type="pct"/>
                  <w:tcBorders>
                    <w:top w:val="single" w:color="auto" w:sz="4" w:space="0"/>
                    <w:left w:val="single" w:color="auto" w:sz="4" w:space="0"/>
                    <w:bottom w:val="single" w:color="auto" w:sz="4" w:space="0"/>
                    <w:right w:val="single" w:color="auto" w:sz="4" w:space="0"/>
                  </w:tcBorders>
                  <w:vAlign w:val="center"/>
                </w:tcPr>
                <w:p w14:paraId="30D8C5E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bl>
          <w:p w14:paraId="34D7770F">
            <w:pPr>
              <w:pStyle w:val="105"/>
              <w:keepNext w:val="0"/>
              <w:keepLines w:val="0"/>
              <w:suppressLineNumbers w:val="0"/>
              <w:spacing w:before="2" w:beforeAutospacing="0" w:after="0" w:afterAutospacing="0" w:line="364" w:lineRule="auto"/>
              <w:ind w:left="107" w:right="96" w:firstLine="600" w:firstLineChars="250"/>
              <w:jc w:val="both"/>
              <w:rPr>
                <w:rFonts w:hint="default"/>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综上</w:t>
            </w:r>
            <w:r>
              <w:rPr>
                <w:rFonts w:hint="default"/>
                <w:color w:val="000000" w:themeColor="text1"/>
                <w:sz w:val="24"/>
                <w:szCs w:val="24"/>
                <w:highlight w:val="none"/>
                <w:lang w:eastAsia="zh-CN"/>
                <w14:textFill>
                  <w14:solidFill>
                    <w14:schemeClr w14:val="tx1"/>
                  </w14:solidFill>
                </w14:textFill>
              </w:rPr>
              <w:t>，项目符合</w:t>
            </w:r>
            <w:r>
              <w:rPr>
                <w:rFonts w:hint="default" w:ascii="Times New Roman" w:hAnsi="Times New Roman"/>
                <w:color w:val="000000" w:themeColor="text1"/>
                <w:kern w:val="2"/>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中华人民共和国长江保护法</w:t>
            </w:r>
            <w:r>
              <w:rPr>
                <w:rFonts w:hint="default" w:ascii="Times New Roman" w:hAnsi="Times New Roman"/>
                <w:color w:val="000000" w:themeColor="text1"/>
                <w:kern w:val="2"/>
                <w:sz w:val="24"/>
                <w:szCs w:val="24"/>
                <w:highlight w:val="none"/>
                <w:lang w:eastAsia="zh-CN"/>
                <w14:textFill>
                  <w14:solidFill>
                    <w14:schemeClr w14:val="tx1"/>
                  </w14:solidFill>
                </w14:textFill>
              </w:rPr>
              <w:t>》</w:t>
            </w:r>
            <w:r>
              <w:rPr>
                <w:rFonts w:hint="default"/>
                <w:color w:val="000000" w:themeColor="text1"/>
                <w:sz w:val="24"/>
                <w:szCs w:val="24"/>
                <w:highlight w:val="none"/>
                <w:lang w:eastAsia="zh-CN"/>
                <w14:textFill>
                  <w14:solidFill>
                    <w14:schemeClr w14:val="tx1"/>
                  </w14:solidFill>
                </w14:textFill>
              </w:rPr>
              <w:t>要求。</w:t>
            </w:r>
          </w:p>
          <w:p w14:paraId="091EDA7D">
            <w:pPr>
              <w:keepNext w:val="0"/>
              <w:keepLines w:val="0"/>
              <w:suppressLineNumbers w:val="0"/>
              <w:spacing w:before="0" w:beforeAutospacing="0" w:after="0" w:afterAutospacing="0" w:line="360" w:lineRule="auto"/>
              <w:ind w:left="0" w:right="0" w:firstLine="482" w:firstLineChars="200"/>
              <w:jc w:val="left"/>
              <w:rPr>
                <w:rFonts w:hint="default"/>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10</w:t>
            </w:r>
            <w:r>
              <w:rPr>
                <w:rFonts w:hint="eastAsia"/>
                <w:b/>
                <w:bCs/>
                <w:color w:val="000000" w:themeColor="text1"/>
                <w:sz w:val="24"/>
                <w:szCs w:val="20"/>
                <w:highlight w:val="none"/>
                <w:lang w:val="en-US" w:eastAsia="zh-CN"/>
                <w14:textFill>
                  <w14:solidFill>
                    <w14:schemeClr w14:val="tx1"/>
                  </w14:solidFill>
                </w14:textFill>
              </w:rPr>
              <w:t>.</w:t>
            </w:r>
            <w:r>
              <w:rPr>
                <w:rFonts w:hint="eastAsia"/>
                <w:b/>
                <w:bCs/>
                <w:color w:val="000000" w:themeColor="text1"/>
                <w:sz w:val="24"/>
                <w:szCs w:val="20"/>
                <w:highlight w:val="none"/>
                <w14:textFill>
                  <w14:solidFill>
                    <w14:schemeClr w14:val="tx1"/>
                  </w14:solidFill>
                </w14:textFill>
              </w:rPr>
              <w:t>与《昆明市大气污染防治条例》相符性分析</w:t>
            </w:r>
          </w:p>
          <w:p w14:paraId="038B9DDE">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0"/>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项目与</w:t>
            </w:r>
            <w:r>
              <w:rPr>
                <w:rFonts w:hint="eastAsia" w:ascii="宋体" w:hAnsi="宋体" w:cs="宋体"/>
                <w:color w:val="000000" w:themeColor="text1"/>
                <w:sz w:val="24"/>
                <w:szCs w:val="20"/>
                <w:highlight w:val="none"/>
                <w:lang w:bidi="ar"/>
                <w14:textFill>
                  <w14:solidFill>
                    <w14:schemeClr w14:val="tx1"/>
                  </w14:solidFill>
                </w14:textFill>
              </w:rPr>
              <w:t>《</w:t>
            </w:r>
            <w:r>
              <w:rPr>
                <w:rFonts w:hint="eastAsia"/>
                <w:color w:val="000000" w:themeColor="text1"/>
                <w:sz w:val="24"/>
                <w:szCs w:val="20"/>
                <w:highlight w:val="none"/>
                <w14:textFill>
                  <w14:solidFill>
                    <w14:schemeClr w14:val="tx1"/>
                  </w14:solidFill>
                </w14:textFill>
              </w:rPr>
              <w:t>昆明市</w:t>
            </w:r>
            <w:r>
              <w:rPr>
                <w:rFonts w:hint="eastAsia" w:ascii="宋体" w:hAnsi="宋体" w:cs="宋体"/>
                <w:color w:val="000000" w:themeColor="text1"/>
                <w:sz w:val="24"/>
                <w:szCs w:val="20"/>
                <w:highlight w:val="none"/>
                <w:lang w:bidi="ar"/>
                <w14:textFill>
                  <w14:solidFill>
                    <w14:schemeClr w14:val="tx1"/>
                  </w14:solidFill>
                </w14:textFill>
              </w:rPr>
              <w:t>大气污染防治条例》相符性分析</w:t>
            </w:r>
            <w:r>
              <w:rPr>
                <w:rFonts w:hint="default"/>
                <w:color w:val="000000" w:themeColor="text1"/>
                <w:sz w:val="24"/>
                <w:szCs w:val="20"/>
                <w:highlight w:val="none"/>
                <w:lang w:bidi="ar"/>
                <w14:textFill>
                  <w14:solidFill>
                    <w14:schemeClr w14:val="tx1"/>
                  </w14:solidFill>
                </w14:textFill>
              </w:rPr>
              <w:t>见表1-</w:t>
            </w:r>
            <w:r>
              <w:rPr>
                <w:rFonts w:hint="eastAsia"/>
                <w:color w:val="000000" w:themeColor="text1"/>
                <w:sz w:val="24"/>
                <w:szCs w:val="20"/>
                <w:highlight w:val="none"/>
                <w:lang w:bidi="ar"/>
                <w14:textFill>
                  <w14:solidFill>
                    <w14:schemeClr w14:val="tx1"/>
                  </w14:solidFill>
                </w14:textFill>
              </w:rPr>
              <w:t>9</w:t>
            </w:r>
            <w:r>
              <w:rPr>
                <w:rFonts w:hint="default"/>
                <w:color w:val="000000" w:themeColor="text1"/>
                <w:sz w:val="24"/>
                <w:szCs w:val="20"/>
                <w:highlight w:val="none"/>
                <w:lang w:bidi="ar"/>
                <w14:textFill>
                  <w14:solidFill>
                    <w14:schemeClr w14:val="tx1"/>
                  </w14:solidFill>
                </w14:textFill>
              </w:rPr>
              <w:t>。</w:t>
            </w:r>
          </w:p>
          <w:p w14:paraId="50E83FAC">
            <w:pPr>
              <w:keepNext w:val="0"/>
              <w:keepLines w:val="0"/>
              <w:suppressLineNumbers w:val="0"/>
              <w:spacing w:before="0" w:beforeAutospacing="0" w:after="0" w:afterAutospacing="0"/>
              <w:ind w:left="0" w:right="0"/>
              <w:jc w:val="center"/>
              <w:rPr>
                <w:rFonts w:hint="default" w:ascii="宋体" w:hAnsi="宋体" w:cs="宋体"/>
                <w:b/>
                <w:bCs/>
                <w:color w:val="000000" w:themeColor="text1"/>
                <w:sz w:val="24"/>
                <w:szCs w:val="20"/>
                <w:highlight w:val="none"/>
                <w:lang w:bidi="ar"/>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表1-1</w:t>
            </w:r>
            <w:r>
              <w:rPr>
                <w:rFonts w:hint="eastAsia"/>
                <w:b/>
                <w:bCs/>
                <w:color w:val="000000" w:themeColor="text1"/>
                <w:sz w:val="24"/>
                <w:szCs w:val="20"/>
                <w:highlight w:val="none"/>
                <w:lang w:val="en-US" w:eastAsia="zh-CN"/>
                <w14:textFill>
                  <w14:solidFill>
                    <w14:schemeClr w14:val="tx1"/>
                  </w14:solidFill>
                </w14:textFill>
              </w:rPr>
              <w:t>1</w:t>
            </w:r>
            <w:r>
              <w:rPr>
                <w:rFonts w:hint="eastAsia"/>
                <w:b/>
                <w:bCs/>
                <w:color w:val="000000" w:themeColor="text1"/>
                <w:sz w:val="24"/>
                <w:szCs w:val="20"/>
                <w:highlight w:val="none"/>
                <w14:textFill>
                  <w14:solidFill>
                    <w14:schemeClr w14:val="tx1"/>
                  </w14:solidFill>
                </w14:textFill>
              </w:rPr>
              <w:t xml:space="preserve">  项目与</w:t>
            </w:r>
            <w:r>
              <w:rPr>
                <w:rFonts w:hint="eastAsia" w:ascii="宋体" w:hAnsi="宋体" w:cs="宋体"/>
                <w:b/>
                <w:bCs/>
                <w:color w:val="000000" w:themeColor="text1"/>
                <w:sz w:val="24"/>
                <w:szCs w:val="20"/>
                <w:highlight w:val="none"/>
                <w:lang w:bidi="ar"/>
                <w14:textFill>
                  <w14:solidFill>
                    <w14:schemeClr w14:val="tx1"/>
                  </w14:solidFill>
                </w14:textFill>
              </w:rPr>
              <w:t>《</w:t>
            </w:r>
            <w:r>
              <w:rPr>
                <w:rFonts w:hint="eastAsia"/>
                <w:b/>
                <w:bCs/>
                <w:color w:val="000000" w:themeColor="text1"/>
                <w:sz w:val="24"/>
                <w:szCs w:val="20"/>
                <w:highlight w:val="none"/>
                <w14:textFill>
                  <w14:solidFill>
                    <w14:schemeClr w14:val="tx1"/>
                  </w14:solidFill>
                </w14:textFill>
              </w:rPr>
              <w:t>昆明市</w:t>
            </w:r>
            <w:r>
              <w:rPr>
                <w:rFonts w:hint="eastAsia" w:ascii="宋体" w:hAnsi="宋体" w:cs="宋体"/>
                <w:b/>
                <w:bCs/>
                <w:color w:val="000000" w:themeColor="text1"/>
                <w:sz w:val="24"/>
                <w:szCs w:val="20"/>
                <w:highlight w:val="none"/>
                <w:lang w:bidi="ar"/>
                <w14:textFill>
                  <w14:solidFill>
                    <w14:schemeClr w14:val="tx1"/>
                  </w14:solidFill>
                </w14:textFill>
              </w:rPr>
              <w:t>大气污染防治条例》符合性分析</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3796"/>
              <w:gridCol w:w="2954"/>
              <w:gridCol w:w="953"/>
            </w:tblGrid>
            <w:tr w14:paraId="438B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 w:type="pct"/>
                  <w:vAlign w:val="center"/>
                </w:tcPr>
                <w:p w14:paraId="1B62A5A7">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序号</w:t>
                  </w:r>
                </w:p>
              </w:tc>
              <w:tc>
                <w:tcPr>
                  <w:tcW w:w="2316" w:type="pct"/>
                  <w:vAlign w:val="center"/>
                </w:tcPr>
                <w:p w14:paraId="76521029">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《昆明市大气污染防治条例》</w:t>
                  </w:r>
                </w:p>
              </w:tc>
              <w:tc>
                <w:tcPr>
                  <w:tcW w:w="1802" w:type="pct"/>
                  <w:vAlign w:val="center"/>
                </w:tcPr>
                <w:p w14:paraId="5A283045">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本项目实际情况</w:t>
                  </w:r>
                </w:p>
              </w:tc>
              <w:tc>
                <w:tcPr>
                  <w:tcW w:w="582" w:type="pct"/>
                  <w:vAlign w:val="center"/>
                </w:tcPr>
                <w:p w14:paraId="3FFBD13E">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符合性</w:t>
                  </w:r>
                </w:p>
              </w:tc>
            </w:tr>
            <w:tr w14:paraId="04B1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1" w:type="pct"/>
                  <w:vAlign w:val="center"/>
                </w:tcPr>
                <w:p w14:paraId="3D889553">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w:t>
                  </w:r>
                </w:p>
              </w:tc>
              <w:tc>
                <w:tcPr>
                  <w:tcW w:w="2316" w:type="pct"/>
                  <w:vAlign w:val="center"/>
                </w:tcPr>
                <w:p w14:paraId="07A956D1">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禁止排放超过排放标准或者超过重点大气污染物排放总量控制指标的大气污染物。排放大气污染物的企业事业单位和其他生产经营者应当加强精细化管理，严格按照有关规定，配套建设、使用和维护大气污染防治装备。大气排放污染物的企业事业单位和其他生产经营者，应当按照有关规定设置大气污染物排放口。禁止通过偷排、篡改或者伪造监测数据、以逃避现场检查为目的的临时停产、非紧急情况下开启应急排放通道、擅自拆除或者不正常运行大气污染防治设施等逃避监管的方式排放大气污染物。</w:t>
                  </w:r>
                </w:p>
              </w:tc>
              <w:tc>
                <w:tcPr>
                  <w:tcW w:w="1802" w:type="pct"/>
                  <w:vAlign w:val="center"/>
                </w:tcPr>
                <w:p w14:paraId="4B342F21">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本项目不涉及排放超过排放标准或者超过重点大气污染物排放总量控制指标的大气污染物；</w:t>
                  </w:r>
                  <w:r>
                    <w:rPr>
                      <w:rFonts w:hint="eastAsia"/>
                      <w:color w:val="000000" w:themeColor="text1"/>
                      <w:sz w:val="21"/>
                      <w:szCs w:val="21"/>
                      <w:highlight w:val="none"/>
                      <w14:textFill>
                        <w14:solidFill>
                          <w14:schemeClr w14:val="tx1"/>
                        </w14:solidFill>
                      </w14:textFill>
                    </w:rPr>
                    <w:t>改性车间采用全封闭钢结构厂房，破碎、投料出料口设置喷淋抑尘系统，待检区配置雾炮并采用密目网苫盖堆体。物料编织覆盖，</w:t>
                  </w:r>
                  <w:r>
                    <w:rPr>
                      <w:rFonts w:hint="eastAsia"/>
                      <w:bCs/>
                      <w:color w:val="000000" w:themeColor="text1"/>
                      <w:sz w:val="21"/>
                      <w:szCs w:val="21"/>
                      <w:highlight w:val="none"/>
                      <w14:textFill>
                        <w14:solidFill>
                          <w14:schemeClr w14:val="tx1"/>
                        </w14:solidFill>
                      </w14:textFill>
                    </w:rPr>
                    <w:t>且</w:t>
                  </w:r>
                  <w:r>
                    <w:rPr>
                      <w:rFonts w:hint="eastAsia"/>
                      <w:color w:val="000000" w:themeColor="text1"/>
                      <w:sz w:val="21"/>
                      <w:szCs w:val="21"/>
                      <w:highlight w:val="none"/>
                      <w14:textFill>
                        <w14:solidFill>
                          <w14:schemeClr w14:val="tx1"/>
                        </w14:solidFill>
                      </w14:textFill>
                    </w:rPr>
                    <w:t>整套双轴搅拌机设备机身为封闭式，下料口连接皮带输送系统；所有皮带运输、计量系统设备采用彩钢瓦全封闭；</w:t>
                  </w:r>
                  <w:r>
                    <w:rPr>
                      <w:rFonts w:hint="default"/>
                      <w:color w:val="000000" w:themeColor="text1"/>
                      <w:sz w:val="21"/>
                      <w:szCs w:val="21"/>
                      <w:highlight w:val="none"/>
                      <w14:textFill>
                        <w14:solidFill>
                          <w14:schemeClr w14:val="tx1"/>
                        </w14:solidFill>
                      </w14:textFill>
                    </w:rPr>
                    <w:t>运输道路洒水降尘等措施控制项目区无组织粉尘</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本项目废气均设置合理的处置措施处理达标后排</w:t>
                  </w:r>
                  <w:r>
                    <w:rPr>
                      <w:rFonts w:hint="eastAsia"/>
                      <w:color w:val="000000" w:themeColor="text1"/>
                      <w:sz w:val="21"/>
                      <w:szCs w:val="21"/>
                      <w:highlight w:val="none"/>
                      <w14:textFill>
                        <w14:solidFill>
                          <w14:schemeClr w14:val="tx1"/>
                        </w14:solidFill>
                      </w14:textFill>
                    </w:rPr>
                    <w:t>放，不存在偷排。</w:t>
                  </w:r>
                </w:p>
              </w:tc>
              <w:tc>
                <w:tcPr>
                  <w:tcW w:w="582" w:type="pct"/>
                  <w:vAlign w:val="center"/>
                </w:tcPr>
                <w:p w14:paraId="6C3FA38F">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00B1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1" w:type="pct"/>
                  <w:vAlign w:val="center"/>
                </w:tcPr>
                <w:p w14:paraId="7165AF8A">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2316" w:type="pct"/>
                  <w:vAlign w:val="center"/>
                </w:tcPr>
                <w:p w14:paraId="27459953">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运输煤炭、垃圾、渣土、砂石、土方、灰浆等散装、流体物料的车辆应当采取密闭或者其他措施防止物料遗撒造成扬尘污染，并按照规定的路线和时间行驶。  </w:t>
                  </w:r>
                </w:p>
              </w:tc>
              <w:tc>
                <w:tcPr>
                  <w:tcW w:w="1802" w:type="pct"/>
                  <w:vAlign w:val="center"/>
                </w:tcPr>
                <w:p w14:paraId="6C9399F5">
                  <w:pPr>
                    <w:keepNext w:val="0"/>
                    <w:keepLines w:val="0"/>
                    <w:widowControl/>
                    <w:suppressLineNumbers w:val="0"/>
                    <w:spacing w:before="0" w:beforeAutospacing="0" w:after="0" w:afterAutospacing="0"/>
                    <w:ind w:left="0" w:right="0"/>
                    <w:jc w:val="left"/>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本项目运输物料的车辆均覆盖运输，</w:t>
                  </w:r>
                  <w:r>
                    <w:rPr>
                      <w:rFonts w:hint="eastAsia"/>
                      <w:color w:val="000000" w:themeColor="text1"/>
                      <w:sz w:val="21"/>
                      <w:szCs w:val="21"/>
                      <w:highlight w:val="none"/>
                      <w14:textFill>
                        <w14:solidFill>
                          <w14:schemeClr w14:val="tx1"/>
                        </w14:solidFill>
                      </w14:textFill>
                    </w:rPr>
                    <w:t>并按照规定的路线和时间行驶。</w:t>
                  </w:r>
                </w:p>
              </w:tc>
              <w:tc>
                <w:tcPr>
                  <w:tcW w:w="582" w:type="pct"/>
                  <w:vAlign w:val="center"/>
                </w:tcPr>
                <w:p w14:paraId="52A76B7F">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1814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1" w:type="pct"/>
                  <w:vAlign w:val="center"/>
                </w:tcPr>
                <w:p w14:paraId="70EAB200">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2316" w:type="pct"/>
                  <w:vAlign w:val="center"/>
                </w:tcPr>
                <w:p w14:paraId="1E67F8DC">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矿产资源开采、露天物料堆场等应当采用防风抑尘工艺、技术和设备，采取有效措施防治扬尘污染。</w:t>
                  </w:r>
                </w:p>
              </w:tc>
              <w:tc>
                <w:tcPr>
                  <w:tcW w:w="1802" w:type="pct"/>
                  <w:vAlign w:val="center"/>
                </w:tcPr>
                <w:p w14:paraId="03B97B1C">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改性车间采用全封闭钢结构厂房，破碎、投料出料口设置喷淋抑尘系统，待检区配置雾炮并采用密目网苫盖堆体。物料编织覆盖，</w:t>
                  </w:r>
                  <w:r>
                    <w:rPr>
                      <w:rFonts w:hint="eastAsia"/>
                      <w:bCs/>
                      <w:color w:val="000000" w:themeColor="text1"/>
                      <w:sz w:val="21"/>
                      <w:szCs w:val="21"/>
                      <w:highlight w:val="none"/>
                      <w14:textFill>
                        <w14:solidFill>
                          <w14:schemeClr w14:val="tx1"/>
                        </w14:solidFill>
                      </w14:textFill>
                    </w:rPr>
                    <w:t>且</w:t>
                  </w:r>
                  <w:r>
                    <w:rPr>
                      <w:rFonts w:hint="eastAsia"/>
                      <w:color w:val="000000" w:themeColor="text1"/>
                      <w:sz w:val="21"/>
                      <w:szCs w:val="21"/>
                      <w:highlight w:val="none"/>
                      <w14:textFill>
                        <w14:solidFill>
                          <w14:schemeClr w14:val="tx1"/>
                        </w14:solidFill>
                      </w14:textFill>
                    </w:rPr>
                    <w:t>整套双轴搅拌机设备机身为封闭式，下料口连接皮带输送系统；所有皮带运输、计量系统设备采用彩钢瓦全封闭；</w:t>
                  </w:r>
                  <w:r>
                    <w:rPr>
                      <w:rFonts w:hint="default"/>
                      <w:color w:val="000000" w:themeColor="text1"/>
                      <w:sz w:val="21"/>
                      <w:szCs w:val="21"/>
                      <w:highlight w:val="none"/>
                      <w14:textFill>
                        <w14:solidFill>
                          <w14:schemeClr w14:val="tx1"/>
                        </w14:solidFill>
                      </w14:textFill>
                    </w:rPr>
                    <w:t>运输道路洒水降尘等措施控制项目区无组织粉尘</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本项目废气均设置合理的处置措施处理达标后排</w:t>
                  </w:r>
                  <w:r>
                    <w:rPr>
                      <w:rFonts w:hint="eastAsia"/>
                      <w:color w:val="000000" w:themeColor="text1"/>
                      <w:sz w:val="21"/>
                      <w:szCs w:val="21"/>
                      <w:highlight w:val="none"/>
                      <w14:textFill>
                        <w14:solidFill>
                          <w14:schemeClr w14:val="tx1"/>
                        </w14:solidFill>
                      </w14:textFill>
                    </w:rPr>
                    <w:t>放，</w:t>
                  </w:r>
                </w:p>
              </w:tc>
              <w:tc>
                <w:tcPr>
                  <w:tcW w:w="582" w:type="pct"/>
                  <w:vAlign w:val="center"/>
                </w:tcPr>
                <w:p w14:paraId="3D55EAA0">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bl>
          <w:p w14:paraId="1F526115">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综上所述，项目符合</w:t>
            </w:r>
            <w:r>
              <w:rPr>
                <w:rFonts w:hint="eastAsia" w:ascii="宋体" w:hAnsi="宋体" w:cs="宋体"/>
                <w:color w:val="000000" w:themeColor="text1"/>
                <w:sz w:val="24"/>
                <w:szCs w:val="20"/>
                <w:highlight w:val="none"/>
                <w:lang w:bidi="ar"/>
                <w14:textFill>
                  <w14:solidFill>
                    <w14:schemeClr w14:val="tx1"/>
                  </w14:solidFill>
                </w14:textFill>
              </w:rPr>
              <w:t>《</w:t>
            </w:r>
            <w:r>
              <w:rPr>
                <w:rFonts w:hint="eastAsia"/>
                <w:color w:val="000000" w:themeColor="text1"/>
                <w:sz w:val="24"/>
                <w:szCs w:val="20"/>
                <w:highlight w:val="none"/>
                <w14:textFill>
                  <w14:solidFill>
                    <w14:schemeClr w14:val="tx1"/>
                  </w14:solidFill>
                </w14:textFill>
              </w:rPr>
              <w:t>昆明市</w:t>
            </w:r>
            <w:r>
              <w:rPr>
                <w:rFonts w:hint="eastAsia" w:ascii="宋体" w:hAnsi="宋体" w:cs="宋体"/>
                <w:color w:val="000000" w:themeColor="text1"/>
                <w:sz w:val="24"/>
                <w:szCs w:val="20"/>
                <w:highlight w:val="none"/>
                <w:lang w:bidi="ar"/>
                <w14:textFill>
                  <w14:solidFill>
                    <w14:schemeClr w14:val="tx1"/>
                  </w14:solidFill>
                </w14:textFill>
              </w:rPr>
              <w:t>大气污染防治条例》中的相关要求。</w:t>
            </w:r>
          </w:p>
          <w:p w14:paraId="640284D2">
            <w:pPr>
              <w:keepNext w:val="0"/>
              <w:keepLines w:val="0"/>
              <w:suppressLineNumbers w:val="0"/>
              <w:spacing w:before="0" w:beforeAutospacing="0" w:after="0" w:afterAutospacing="0" w:line="360" w:lineRule="auto"/>
              <w:ind w:left="0" w:right="0" w:firstLine="482" w:firstLineChars="200"/>
              <w:jc w:val="left"/>
              <w:rPr>
                <w:rFonts w:hint="default"/>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11</w:t>
            </w:r>
            <w:r>
              <w:rPr>
                <w:rFonts w:hint="eastAsia"/>
                <w:b/>
                <w:bCs/>
                <w:color w:val="000000" w:themeColor="text1"/>
                <w:sz w:val="24"/>
                <w:szCs w:val="20"/>
                <w:highlight w:val="none"/>
                <w:lang w:val="en-US" w:eastAsia="zh-CN"/>
                <w14:textFill>
                  <w14:solidFill>
                    <w14:schemeClr w14:val="tx1"/>
                  </w14:solidFill>
                </w14:textFill>
              </w:rPr>
              <w:t>.</w:t>
            </w:r>
            <w:r>
              <w:rPr>
                <w:rFonts w:hint="default"/>
                <w:b/>
                <w:bCs/>
                <w:color w:val="000000" w:themeColor="text1"/>
                <w:sz w:val="24"/>
                <w:szCs w:val="20"/>
                <w:highlight w:val="none"/>
                <w14:textFill>
                  <w14:solidFill>
                    <w14:schemeClr w14:val="tx1"/>
                  </w14:solidFill>
                </w14:textFill>
              </w:rPr>
              <w:t>《关于做好“三磷”建设项目环境影响评价与排污许可管理工作的通知》符合性分析</w:t>
            </w:r>
          </w:p>
          <w:p w14:paraId="7D73A541">
            <w:pPr>
              <w:pStyle w:val="105"/>
              <w:keepNext w:val="0"/>
              <w:keepLines w:val="0"/>
              <w:suppressLineNumbers w:val="0"/>
              <w:spacing w:before="0" w:beforeAutospacing="0" w:after="0" w:afterAutospacing="0"/>
              <w:ind w:left="0" w:right="0"/>
              <w:jc w:val="center"/>
              <w:rPr>
                <w:rFonts w:hint="default" w:ascii="Times New Roman" w:hAnsi="Times New Roman"/>
                <w:b/>
                <w:color w:val="000000" w:themeColor="text1"/>
                <w:kern w:val="2"/>
                <w:sz w:val="24"/>
                <w:szCs w:val="24"/>
                <w:highlight w:val="none"/>
                <w:lang w:eastAsia="zh-CN"/>
                <w14:textFill>
                  <w14:solidFill>
                    <w14:schemeClr w14:val="tx1"/>
                  </w14:solidFill>
                </w14:textFill>
              </w:rPr>
            </w:pPr>
            <w:r>
              <w:rPr>
                <w:rFonts w:hint="eastAsia" w:ascii="Times New Roman" w:hAnsi="Times New Roman"/>
                <w:b/>
                <w:color w:val="000000" w:themeColor="text1"/>
                <w:kern w:val="2"/>
                <w:sz w:val="24"/>
                <w:szCs w:val="24"/>
                <w:highlight w:val="none"/>
                <w:lang w:eastAsia="zh-CN"/>
                <w14:textFill>
                  <w14:solidFill>
                    <w14:schemeClr w14:val="tx1"/>
                  </w14:solidFill>
                </w14:textFill>
              </w:rPr>
              <w:t>表1</w:t>
            </w:r>
            <w:r>
              <w:rPr>
                <w:rFonts w:hint="default" w:ascii="Times New Roman" w:hAnsi="Times New Roman"/>
                <w:b/>
                <w:color w:val="000000" w:themeColor="text1"/>
                <w:kern w:val="2"/>
                <w:sz w:val="24"/>
                <w:szCs w:val="24"/>
                <w:highlight w:val="none"/>
                <w:lang w:eastAsia="zh-CN"/>
                <w14:textFill>
                  <w14:solidFill>
                    <w14:schemeClr w14:val="tx1"/>
                  </w14:solidFill>
                </w14:textFill>
              </w:rPr>
              <w:t>-</w:t>
            </w:r>
            <w:r>
              <w:rPr>
                <w:rFonts w:hint="eastAsia" w:ascii="Times New Roman" w:hAnsi="Times New Roman"/>
                <w:b/>
                <w:color w:val="000000" w:themeColor="text1"/>
                <w:kern w:val="2"/>
                <w:sz w:val="24"/>
                <w:szCs w:val="24"/>
                <w:highlight w:val="none"/>
                <w:lang w:eastAsia="zh-CN"/>
                <w14:textFill>
                  <w14:solidFill>
                    <w14:schemeClr w14:val="tx1"/>
                  </w14:solidFill>
                </w14:textFill>
              </w:rPr>
              <w:t>1</w:t>
            </w:r>
            <w:r>
              <w:rPr>
                <w:rFonts w:hint="eastAsia" w:ascii="Times New Roman" w:hAnsi="Times New Roman"/>
                <w:b/>
                <w:color w:val="000000" w:themeColor="text1"/>
                <w:kern w:val="2"/>
                <w:sz w:val="24"/>
                <w:szCs w:val="24"/>
                <w:highlight w:val="none"/>
                <w:lang w:val="en-US" w:eastAsia="zh-CN"/>
                <w14:textFill>
                  <w14:solidFill>
                    <w14:schemeClr w14:val="tx1"/>
                  </w14:solidFill>
                </w14:textFill>
              </w:rPr>
              <w:t>2</w:t>
            </w:r>
            <w:r>
              <w:rPr>
                <w:rFonts w:hint="eastAsia" w:ascii="Times New Roman" w:hAnsi="Times New Roman"/>
                <w:b/>
                <w:color w:val="000000" w:themeColor="text1"/>
                <w:kern w:val="2"/>
                <w:sz w:val="24"/>
                <w:szCs w:val="24"/>
                <w:highlight w:val="none"/>
                <w:lang w:eastAsia="zh-CN"/>
                <w14:textFill>
                  <w14:solidFill>
                    <w14:schemeClr w14:val="tx1"/>
                  </w14:solidFill>
                </w14:textFill>
              </w:rPr>
              <w:t xml:space="preserve"> </w:t>
            </w:r>
            <w:r>
              <w:rPr>
                <w:rFonts w:hint="default" w:ascii="Times New Roman" w:hAnsi="Times New Roman"/>
                <w:b/>
                <w:color w:val="000000" w:themeColor="text1"/>
                <w:kern w:val="2"/>
                <w:sz w:val="24"/>
                <w:szCs w:val="24"/>
                <w:highlight w:val="none"/>
                <w:lang w:eastAsia="zh-CN"/>
                <w14:textFill>
                  <w14:solidFill>
                    <w14:schemeClr w14:val="tx1"/>
                  </w14:solidFill>
                </w14:textFill>
              </w:rPr>
              <w:t xml:space="preserve"> </w:t>
            </w:r>
            <w:r>
              <w:rPr>
                <w:rFonts w:hint="eastAsia" w:ascii="Times New Roman" w:hAnsi="Times New Roman"/>
                <w:b/>
                <w:color w:val="000000" w:themeColor="text1"/>
                <w:kern w:val="2"/>
                <w:sz w:val="24"/>
                <w:szCs w:val="24"/>
                <w:highlight w:val="none"/>
                <w:lang w:eastAsia="zh-CN"/>
                <w14:textFill>
                  <w14:solidFill>
                    <w14:schemeClr w14:val="tx1"/>
                  </w14:solidFill>
                </w14:textFill>
              </w:rPr>
              <w:t>项目</w:t>
            </w:r>
            <w:r>
              <w:rPr>
                <w:rFonts w:hint="default" w:ascii="Times New Roman" w:hAnsi="Times New Roman"/>
                <w:b/>
                <w:color w:val="000000" w:themeColor="text1"/>
                <w:kern w:val="2"/>
                <w:sz w:val="24"/>
                <w:szCs w:val="24"/>
                <w:highlight w:val="none"/>
                <w:lang w:eastAsia="zh-CN"/>
                <w14:textFill>
                  <w14:solidFill>
                    <w14:schemeClr w14:val="tx1"/>
                  </w14:solidFill>
                </w14:textFill>
              </w:rPr>
              <w:t>与《关于做好“三磷”建设项目环境影响评价与排污许可管理工作的通知》符合性分析</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0"/>
              <w:gridCol w:w="3310"/>
              <w:gridCol w:w="883"/>
            </w:tblGrid>
            <w:tr w14:paraId="629E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1" w:type="pct"/>
                  <w:vAlign w:val="center"/>
                </w:tcPr>
                <w:p w14:paraId="4E3C276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通知要求</w:t>
                  </w:r>
                </w:p>
              </w:tc>
              <w:tc>
                <w:tcPr>
                  <w:tcW w:w="2020" w:type="pct"/>
                  <w:vAlign w:val="center"/>
                </w:tcPr>
                <w:p w14:paraId="7485C50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本项目</w:t>
                  </w:r>
                </w:p>
              </w:tc>
              <w:tc>
                <w:tcPr>
                  <w:tcW w:w="539" w:type="pct"/>
                  <w:vAlign w:val="center"/>
                </w:tcPr>
                <w:p w14:paraId="2EDE17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符合性</w:t>
                  </w:r>
                </w:p>
              </w:tc>
            </w:tr>
            <w:tr w14:paraId="24B8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441" w:type="pct"/>
                  <w:vAlign w:val="center"/>
                </w:tcPr>
                <w:p w14:paraId="4C7E6A7C">
                  <w:pPr>
                    <w:pStyle w:val="10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Times New Roman" w:hAnsi="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color w:val="000000" w:themeColor="text1"/>
                      <w:kern w:val="2"/>
                      <w:sz w:val="21"/>
                      <w:szCs w:val="21"/>
                      <w:highlight w:val="none"/>
                      <w:lang w:eastAsia="zh-CN"/>
                      <w14:textFill>
                        <w14:solidFill>
                          <w14:schemeClr w14:val="tx1"/>
                        </w14:solidFill>
                      </w14:textFill>
                    </w:rPr>
                    <w:t>一、严格环境影响评价，源头防范环境风险</w:t>
                  </w:r>
                </w:p>
                <w:p w14:paraId="248A53D5">
                  <w:pPr>
                    <w:pStyle w:val="10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Times New Roman" w:hAnsi="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color w:val="000000" w:themeColor="text1"/>
                      <w:kern w:val="2"/>
                      <w:sz w:val="21"/>
                      <w:szCs w:val="21"/>
                      <w:highlight w:val="none"/>
                      <w:lang w:eastAsia="zh-CN"/>
                      <w14:textFill>
                        <w14:solidFill>
                          <w14:schemeClr w14:val="tx1"/>
                        </w14:solidFill>
                      </w14:textFill>
                    </w:rPr>
                    <w:t>（一）优化产业规划布局，严格项目选址要求。新建、扩建磷化工项目应布设在依法合规设立的化工园区或具有化工定位的产业园区内，所在化工园区或产业园区应依法开展规划环境影响评价工作，并与所在省（区、市）生态保护红线、环境质量底线、资源利用上线和生态环境准入清单成果做好衔接， 落实相应管控要求。磷化工建设项目应符合园区规划及规划环评要求。“三磷”建设项目应论证是否符合生态环境准入清单， 对不符合的依法不予审批。</w:t>
                  </w:r>
                </w:p>
                <w:p w14:paraId="071E76B5">
                  <w:pPr>
                    <w:pStyle w:val="10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color w:val="000000" w:themeColor="text1"/>
                      <w:sz w:val="21"/>
                      <w:szCs w:val="21"/>
                      <w:highlight w:val="none"/>
                      <w14:textFill>
                        <w14:solidFill>
                          <w14:schemeClr w14:val="tx1"/>
                        </w14:solidFill>
                      </w14:textFill>
                    </w:rPr>
                  </w:pPr>
                  <w:r>
                    <w:rPr>
                      <w:rFonts w:hint="default" w:ascii="Times New Roman" w:hAnsi="Times New Roman"/>
                      <w:color w:val="000000" w:themeColor="text1"/>
                      <w:kern w:val="2"/>
                      <w:sz w:val="21"/>
                      <w:szCs w:val="21"/>
                      <w:highlight w:val="none"/>
                      <w:lang w:eastAsia="zh-CN"/>
                      <w14:textFill>
                        <w14:solidFill>
                          <w14:schemeClr w14:val="tx1"/>
                        </w14:solidFill>
                      </w14:textFill>
                    </w:rPr>
                    <w:t>三磷建设项目选址不得位于饮用水水源保护区、自然保护区、风景名胜区以及国家法律法规明确的其他禁止建设区域。选址应避开岩溶强发育、存在较多落水洞或岩溶漏斗的区域。长江干流及主要支流岸线1公里范围内禁止新建、扩建磷矿、磷化工项目，长江干流3公里范围内、主要支流岸线1公里范围内禁止新建、扩建尾矿库和磷石膏库。磷石膏库、尾矿库、暂存场按第</w:t>
                  </w:r>
                  <w:r>
                    <w:rPr>
                      <w:rFonts w:hint="eastAsia"/>
                      <w:color w:val="000000" w:themeColor="text1"/>
                      <w:kern w:val="2"/>
                      <w:sz w:val="21"/>
                      <w:szCs w:val="21"/>
                      <w:highlight w:val="none"/>
                      <w:lang w:eastAsia="zh-CN"/>
                      <w14:textFill>
                        <w14:solidFill>
                          <w14:schemeClr w14:val="tx1"/>
                        </w14:solidFill>
                      </w14:textFill>
                    </w:rPr>
                    <w:t>Ⅱ</w:t>
                  </w:r>
                  <w:r>
                    <w:rPr>
                      <w:rFonts w:hint="default" w:ascii="Times New Roman" w:hAnsi="Times New Roman"/>
                      <w:color w:val="000000" w:themeColor="text1"/>
                      <w:kern w:val="2"/>
                      <w:sz w:val="21"/>
                      <w:szCs w:val="21"/>
                      <w:highlight w:val="none"/>
                      <w:lang w:eastAsia="zh-CN"/>
                      <w14:textFill>
                        <w14:solidFill>
                          <w14:schemeClr w14:val="tx1"/>
                        </w14:solidFill>
                      </w14:textFill>
                    </w:rPr>
                    <w:t>类一般工业固体废物处置要求采取防渗、地下水导排等措施，并建设地下水监测井，开展日常监控，防范地下水环境污染。</w:t>
                  </w:r>
                </w:p>
              </w:tc>
              <w:tc>
                <w:tcPr>
                  <w:tcW w:w="2020" w:type="pct"/>
                  <w:vAlign w:val="center"/>
                </w:tcPr>
                <w:p w14:paraId="1B14DD49">
                  <w:pPr>
                    <w:pStyle w:val="10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eastAsia" w:ascii="Times New Roman" w:hAnsi="Times New Roman"/>
                      <w:color w:val="000000" w:themeColor="text1"/>
                      <w:kern w:val="2"/>
                      <w:sz w:val="21"/>
                      <w:szCs w:val="21"/>
                      <w:highlight w:val="none"/>
                      <w:lang w:eastAsia="zh-CN"/>
                      <w14:textFill>
                        <w14:solidFill>
                          <w14:schemeClr w14:val="tx1"/>
                        </w14:solidFill>
                      </w14:textFill>
                    </w:rPr>
                  </w:pPr>
                  <w:r>
                    <w:rPr>
                      <w:rFonts w:hint="eastAsia" w:ascii="Times New Roman" w:hAnsi="Times New Roman"/>
                      <w:color w:val="000000" w:themeColor="text1"/>
                      <w:kern w:val="2"/>
                      <w:sz w:val="21"/>
                      <w:szCs w:val="21"/>
                      <w:highlight w:val="none"/>
                      <w:lang w:eastAsia="zh-CN"/>
                      <w14:textFill>
                        <w14:solidFill>
                          <w14:schemeClr w14:val="tx1"/>
                        </w14:solidFill>
                      </w14:textFill>
                    </w:rPr>
                    <w:t>1. 项目属性与选址：本项目位于昆明市寻甸县塘子街道原泰康化工厂区</w:t>
                  </w:r>
                  <w:r>
                    <w:rPr>
                      <w:rFonts w:hint="eastAsia" w:ascii="Times New Roman" w:hAnsi="Times New Roman"/>
                      <w:color w:val="000000" w:themeColor="text1"/>
                      <w:kern w:val="2"/>
                      <w:sz w:val="21"/>
                      <w:szCs w:val="21"/>
                      <w:highlight w:val="none"/>
                      <w:lang w:val="en-US" w:eastAsia="zh-CN"/>
                      <w14:textFill>
                        <w14:solidFill>
                          <w14:schemeClr w14:val="tx1"/>
                        </w14:solidFill>
                      </w14:textFill>
                    </w:rPr>
                    <w:t>内</w:t>
                  </w:r>
                  <w:r>
                    <w:rPr>
                      <w:rFonts w:hint="eastAsia" w:ascii="Times New Roman" w:hAnsi="Times New Roman"/>
                      <w:color w:val="000000" w:themeColor="text1"/>
                      <w:kern w:val="2"/>
                      <w:sz w:val="21"/>
                      <w:szCs w:val="21"/>
                      <w:highlight w:val="none"/>
                      <w:lang w:eastAsia="zh-CN"/>
                      <w14:textFill>
                        <w14:solidFill>
                          <w14:schemeClr w14:val="tx1"/>
                        </w14:solidFill>
                      </w14:textFill>
                    </w:rPr>
                    <w:t>，属于固体废物治理项目（N7723），非新建、扩建磷化工项目。项目选址不涉及饮用水水源保护区、自然保护区、风景名胜区等禁止建设区域；区域地质条件稳定，避开岩溶强发育区。</w:t>
                  </w:r>
                </w:p>
                <w:p w14:paraId="438ED4C3">
                  <w:pPr>
                    <w:pStyle w:val="10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项目位于长江流域牛栏江支流聂鼠龙河流域，距牛栏江干流约</w:t>
                  </w:r>
                  <w:r>
                    <w:rPr>
                      <w:rFonts w:hint="eastAsia" w:ascii="宋体" w:hAnsi="宋体"/>
                      <w:color w:val="000000" w:themeColor="text1"/>
                      <w:sz w:val="21"/>
                      <w:szCs w:val="21"/>
                      <w:highlight w:val="none"/>
                      <w:lang w:val="en-US" w:eastAsia="zh-CN"/>
                      <w14:textFill>
                        <w14:solidFill>
                          <w14:schemeClr w14:val="tx1"/>
                        </w14:solidFill>
                      </w14:textFill>
                    </w:rPr>
                    <w:t>869</w:t>
                  </w:r>
                  <w:r>
                    <w:rPr>
                      <w:rFonts w:hint="eastAsia" w:ascii="宋体" w:hAnsi="宋体"/>
                      <w:color w:val="000000" w:themeColor="text1"/>
                      <w:sz w:val="21"/>
                      <w:szCs w:val="21"/>
                      <w:highlight w:val="none"/>
                      <w14:textFill>
                        <w14:solidFill>
                          <w14:schemeClr w14:val="tx1"/>
                        </w14:solidFill>
                      </w14:textFill>
                    </w:rPr>
                    <w:t>m。聂鼠龙河未被列入《云南省重要江河湖泊名录》，不属于</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重要支流</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范畴。本项目为</w:t>
                  </w:r>
                  <w:r>
                    <w:rPr>
                      <w:rFonts w:hint="eastAsia" w:ascii="宋体" w:hAnsi="宋体"/>
                      <w:color w:val="000000" w:themeColor="text1"/>
                      <w:sz w:val="21"/>
                      <w:szCs w:val="21"/>
                      <w:highlight w:val="none"/>
                      <w:lang w:val="en-US" w:eastAsia="zh-CN"/>
                      <w14:textFill>
                        <w14:solidFill>
                          <w14:schemeClr w14:val="tx1"/>
                        </w14:solidFill>
                      </w14:textFill>
                    </w:rPr>
                    <w:t>改性磷石膏加工工程，不属于</w:t>
                  </w:r>
                  <w:r>
                    <w:rPr>
                      <w:rFonts w:hint="eastAsia" w:ascii="宋体" w:hAnsi="宋体" w:eastAsia="宋体" w:cs="Times New Roman"/>
                      <w:color w:val="000000" w:themeColor="text1"/>
                      <w:sz w:val="21"/>
                      <w:szCs w:val="21"/>
                      <w:highlight w:val="none"/>
                      <w14:textFill>
                        <w14:solidFill>
                          <w14:schemeClr w14:val="tx1"/>
                        </w14:solidFill>
                      </w14:textFill>
                    </w:rPr>
                    <w:t>新建、改建、扩建尾矿库</w:t>
                  </w:r>
                  <w:r>
                    <w:rPr>
                      <w:rFonts w:hint="eastAsia" w:ascii="宋体" w:hAnsi="宋体" w:cs="Times New Roman"/>
                      <w:color w:val="000000" w:themeColor="text1"/>
                      <w:sz w:val="21"/>
                      <w:szCs w:val="21"/>
                      <w:highlight w:val="none"/>
                      <w:lang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项目</w:t>
                  </w:r>
                  <w:r>
                    <w:rPr>
                      <w:rFonts w:hint="eastAsia" w:ascii="宋体" w:hAnsi="宋体"/>
                      <w:color w:val="000000" w:themeColor="text1"/>
                      <w:sz w:val="21"/>
                      <w:szCs w:val="21"/>
                      <w:highlight w:val="none"/>
                      <w14:textFill>
                        <w14:solidFill>
                          <w14:schemeClr w14:val="tx1"/>
                        </w14:solidFill>
                      </w14:textFill>
                    </w:rPr>
                    <w:t>通过对161.42万吨存量磷石膏进行无害化改性实现资源化利用，从根本上消除渣场长期堆存的环境风险，属于</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以提升生态环境保护水平为目的的治理工程</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且</w:t>
                  </w:r>
                  <w:r>
                    <w:rPr>
                      <w:rFonts w:hint="default"/>
                      <w:b w:val="0"/>
                      <w:bCs w:val="0"/>
                      <w:color w:val="000000" w:themeColor="text1"/>
                      <w:sz w:val="21"/>
                      <w:szCs w:val="21"/>
                      <w:highlight w:val="none"/>
                      <w14:textFill>
                        <w14:solidFill>
                          <w14:schemeClr w14:val="tx1"/>
                        </w14:solidFill>
                      </w14:textFill>
                    </w:rPr>
                    <w:t>项目属阶段性临时</w:t>
                  </w:r>
                  <w:r>
                    <w:rPr>
                      <w:rFonts w:hint="eastAsia"/>
                      <w:b w:val="0"/>
                      <w:bCs w:val="0"/>
                      <w:color w:val="000000" w:themeColor="text1"/>
                      <w:sz w:val="21"/>
                      <w:szCs w:val="21"/>
                      <w:highlight w:val="none"/>
                      <w:lang w:val="en-US" w:eastAsia="zh-CN"/>
                      <w14:textFill>
                        <w14:solidFill>
                          <w14:schemeClr w14:val="tx1"/>
                        </w14:solidFill>
                      </w14:textFill>
                    </w:rPr>
                    <w:t>工程</w:t>
                  </w:r>
                  <w:r>
                    <w:rPr>
                      <w:rFonts w:hint="default"/>
                      <w:b w:val="0"/>
                      <w:bCs w:val="0"/>
                      <w:color w:val="000000" w:themeColor="text1"/>
                      <w:sz w:val="21"/>
                      <w:szCs w:val="21"/>
                      <w:highlight w:val="none"/>
                      <w14:textFill>
                        <w14:solidFill>
                          <w14:schemeClr w14:val="tx1"/>
                        </w14:solidFill>
                      </w14:textFill>
                    </w:rPr>
                    <w:t>，待存量磷石膏全部改性处置完成后即刻停产撤场，从源头消除磷石膏堆存对区域水环境的潜在风险，契合流域生态环境整治总体要求。</w:t>
                  </w:r>
                </w:p>
              </w:tc>
              <w:tc>
                <w:tcPr>
                  <w:tcW w:w="539" w:type="pct"/>
                  <w:vAlign w:val="center"/>
                </w:tcPr>
                <w:p w14:paraId="652F17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6CDF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1" w:type="pct"/>
                  <w:vAlign w:val="center"/>
                </w:tcPr>
                <w:p w14:paraId="6BD60B59">
                  <w:pPr>
                    <w:pStyle w:val="10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Times New Roman" w:hAnsi="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color w:val="000000" w:themeColor="text1"/>
                      <w:kern w:val="2"/>
                      <w:sz w:val="21"/>
                      <w:szCs w:val="21"/>
                      <w:highlight w:val="none"/>
                      <w:lang w:eastAsia="zh-CN"/>
                      <w14:textFill>
                        <w14:solidFill>
                          <w14:schemeClr w14:val="tx1"/>
                        </w14:solidFill>
                      </w14:textFill>
                    </w:rPr>
                    <w:t>（二）严格总磷排放控制，规范区域消减替代要求。地方生态环境部门应以环境质量改善为核心，严格总磷等主要污染物区域削减要求。建设项目所在水环境控制单元或断面总磷超标的，实施总磷排放量 2 倍或以上削减替代。所在水环境控制单元或断面总磷达标的，实施总磷排放量等量或以上削减替代。替代量应来源于项目同一水环境控制单元或断面上游拟实施关停、升级改造的工业企业，不得来源于农业源、城市污水处理厂或已列入流域环境质量改善计划的工业企业。</w:t>
                  </w:r>
                </w:p>
                <w:p w14:paraId="3E8FA5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color w:val="000000" w:themeColor="text1"/>
                      <w:sz w:val="21"/>
                      <w:szCs w:val="21"/>
                      <w:highlight w:val="none"/>
                      <w14:textFill>
                        <w14:solidFill>
                          <w14:schemeClr w14:val="tx1"/>
                        </w14:solidFill>
                      </w14:textFill>
                    </w:rPr>
                  </w:pPr>
                </w:p>
              </w:tc>
              <w:tc>
                <w:tcPr>
                  <w:tcW w:w="2020" w:type="pct"/>
                  <w:vAlign w:val="center"/>
                </w:tcPr>
                <w:p w14:paraId="0BA7D7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w:t>
                  </w:r>
                  <w:r>
                    <w:rPr>
                      <w:rFonts w:hint="default"/>
                      <w:color w:val="000000" w:themeColor="text1"/>
                      <w:sz w:val="21"/>
                      <w:szCs w:val="21"/>
                      <w:highlight w:val="none"/>
                      <w14:textFill>
                        <w14:solidFill>
                          <w14:schemeClr w14:val="tx1"/>
                        </w14:solidFill>
                      </w14:textFill>
                    </w:rPr>
                    <w:t>不涉及总磷排放。</w:t>
                  </w:r>
                </w:p>
              </w:tc>
              <w:tc>
                <w:tcPr>
                  <w:tcW w:w="539" w:type="pct"/>
                  <w:vAlign w:val="center"/>
                </w:tcPr>
                <w:p w14:paraId="04D6FB3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不涉及</w:t>
                  </w:r>
                </w:p>
                <w:p w14:paraId="4C0A2A6E">
                  <w:pPr>
                    <w:pStyle w:val="6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ind w:left="0" w:right="0" w:firstLine="0" w:firstLineChars="0"/>
                    <w:textAlignment w:val="auto"/>
                    <w:rPr>
                      <w:rFonts w:hint="default"/>
                      <w:i w:val="0"/>
                      <w:color w:val="000000" w:themeColor="text1"/>
                      <w:kern w:val="2"/>
                      <w:sz w:val="21"/>
                      <w:szCs w:val="21"/>
                      <w:highlight w:val="none"/>
                      <w14:textFill>
                        <w14:solidFill>
                          <w14:schemeClr w14:val="tx1"/>
                        </w14:solidFill>
                      </w14:textFill>
                    </w:rPr>
                  </w:pPr>
                </w:p>
              </w:tc>
            </w:tr>
            <w:tr w14:paraId="6ECF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1" w:type="pct"/>
                  <w:vAlign w:val="center"/>
                </w:tcPr>
                <w:p w14:paraId="122FED12">
                  <w:pPr>
                    <w:pStyle w:val="10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Times New Roman" w:hAnsi="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color w:val="000000" w:themeColor="text1"/>
                      <w:kern w:val="2"/>
                      <w:sz w:val="21"/>
                      <w:szCs w:val="21"/>
                      <w:highlight w:val="none"/>
                      <w:lang w:eastAsia="zh-CN"/>
                      <w14:textFill>
                        <w14:solidFill>
                          <w14:schemeClr w14:val="tx1"/>
                        </w14:solidFill>
                      </w14:textFill>
                    </w:rPr>
                    <w:t>二、落实排污许可制度，强化事中事后监管</w:t>
                  </w:r>
                </w:p>
                <w:p w14:paraId="5EB69E23">
                  <w:pPr>
                    <w:pStyle w:val="10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Times New Roman" w:hAnsi="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color w:val="000000" w:themeColor="text1"/>
                      <w:kern w:val="2"/>
                      <w:sz w:val="21"/>
                      <w:szCs w:val="21"/>
                      <w:highlight w:val="none"/>
                      <w:lang w:eastAsia="zh-CN"/>
                      <w14:textFill>
                        <w14:solidFill>
                          <w14:schemeClr w14:val="tx1"/>
                        </w14:solidFill>
                      </w14:textFill>
                    </w:rPr>
                    <w:t>（五）按期完成排污许可证核发，实现排污许可全覆盖。新建、改建、扩建“三磷”建设项目在实际排污之前核发（变更）排污许可证，实现“三磷”行业固定污染源排污许可全覆盖。</w:t>
                  </w:r>
                </w:p>
              </w:tc>
              <w:tc>
                <w:tcPr>
                  <w:tcW w:w="2020" w:type="pct"/>
                  <w:vAlign w:val="center"/>
                </w:tcPr>
                <w:p w14:paraId="09B877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w:t>
                  </w:r>
                  <w:r>
                    <w:rPr>
                      <w:rFonts w:hint="default"/>
                      <w:color w:val="000000" w:themeColor="text1"/>
                      <w:sz w:val="21"/>
                      <w:szCs w:val="21"/>
                      <w:highlight w:val="none"/>
                      <w14:textFill>
                        <w14:solidFill>
                          <w14:schemeClr w14:val="tx1"/>
                        </w14:solidFill>
                      </w14:textFill>
                    </w:rPr>
                    <w:t>不涉及总磷排放。</w:t>
                  </w:r>
                </w:p>
              </w:tc>
              <w:tc>
                <w:tcPr>
                  <w:tcW w:w="539" w:type="pct"/>
                  <w:vAlign w:val="center"/>
                </w:tcPr>
                <w:p w14:paraId="2384A3A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不涉及</w:t>
                  </w:r>
                </w:p>
              </w:tc>
            </w:tr>
          </w:tbl>
          <w:p w14:paraId="3B363DAC">
            <w:pPr>
              <w:pStyle w:val="105"/>
              <w:keepNext w:val="0"/>
              <w:keepLines w:val="0"/>
              <w:suppressLineNumbers w:val="0"/>
              <w:spacing w:before="2" w:beforeAutospacing="0" w:after="0" w:afterAutospacing="0" w:line="364" w:lineRule="auto"/>
              <w:ind w:left="107" w:right="96" w:firstLine="480" w:firstLineChars="200"/>
              <w:jc w:val="both"/>
              <w:rPr>
                <w:rFonts w:hint="default" w:ascii="Times New Roman" w:hAnsi="Times New Roman"/>
                <w:color w:val="000000" w:themeColor="text1"/>
                <w:kern w:val="2"/>
                <w:sz w:val="24"/>
                <w:szCs w:val="24"/>
                <w:highlight w:val="none"/>
                <w:lang w:eastAsia="zh-CN"/>
                <w14:textFill>
                  <w14:solidFill>
                    <w14:schemeClr w14:val="tx1"/>
                  </w14:solidFill>
                </w14:textFill>
              </w:rPr>
            </w:pPr>
            <w:r>
              <w:rPr>
                <w:rFonts w:hint="eastAsia" w:ascii="Times New Roman" w:hAnsi="Times New Roman"/>
                <w:color w:val="000000" w:themeColor="text1"/>
                <w:kern w:val="2"/>
                <w:sz w:val="24"/>
                <w:szCs w:val="24"/>
                <w:highlight w:val="none"/>
                <w:lang w:eastAsia="zh-CN"/>
                <w14:textFill>
                  <w14:solidFill>
                    <w14:schemeClr w14:val="tx1"/>
                  </w14:solidFill>
                </w14:textFill>
              </w:rPr>
              <w:t>综上</w:t>
            </w:r>
            <w:r>
              <w:rPr>
                <w:rFonts w:hint="default" w:ascii="Times New Roman" w:hAnsi="Times New Roman"/>
                <w:color w:val="000000" w:themeColor="text1"/>
                <w:kern w:val="2"/>
                <w:sz w:val="24"/>
                <w:szCs w:val="24"/>
                <w:highlight w:val="none"/>
                <w:lang w:eastAsia="zh-CN"/>
                <w14:textFill>
                  <w14:solidFill>
                    <w14:schemeClr w14:val="tx1"/>
                  </w14:solidFill>
                </w14:textFill>
              </w:rPr>
              <w:t>所述，项目符合《关于做好“三磷”建设项目环境影响评价与排污许可管理工作的通知》</w:t>
            </w:r>
            <w:r>
              <w:rPr>
                <w:rFonts w:hint="eastAsia" w:ascii="Times New Roman" w:hAnsi="Times New Roman"/>
                <w:color w:val="000000" w:themeColor="text1"/>
                <w:kern w:val="2"/>
                <w:sz w:val="24"/>
                <w:szCs w:val="24"/>
                <w:highlight w:val="none"/>
                <w:lang w:eastAsia="zh-CN"/>
                <w14:textFill>
                  <w14:solidFill>
                    <w14:schemeClr w14:val="tx1"/>
                  </w14:solidFill>
                </w14:textFill>
              </w:rPr>
              <w:t>相符。</w:t>
            </w:r>
          </w:p>
          <w:p w14:paraId="7F8C8D80">
            <w:pPr>
              <w:pStyle w:val="105"/>
              <w:keepNext w:val="0"/>
              <w:keepLines w:val="0"/>
              <w:suppressLineNumbers w:val="0"/>
              <w:spacing w:before="0" w:beforeAutospacing="0" w:after="0" w:afterAutospacing="0" w:line="360" w:lineRule="auto"/>
              <w:ind w:left="0" w:right="0" w:firstLine="482"/>
              <w:jc w:val="both"/>
              <w:rPr>
                <w:rFonts w:hint="default"/>
                <w:b/>
                <w:color w:val="000000" w:themeColor="text1"/>
                <w:sz w:val="24"/>
                <w:szCs w:val="24"/>
                <w:highlight w:val="none"/>
                <w:lang w:eastAsia="zh-CN"/>
                <w14:textFill>
                  <w14:solidFill>
                    <w14:schemeClr w14:val="tx1"/>
                  </w14:solidFill>
                </w14:textFill>
              </w:rPr>
            </w:pPr>
            <w:r>
              <w:rPr>
                <w:rFonts w:hint="default" w:ascii="Times New Roman" w:hAnsi="Times New Roman"/>
                <w:b/>
                <w:color w:val="000000" w:themeColor="text1"/>
                <w:sz w:val="24"/>
                <w:szCs w:val="24"/>
                <w:highlight w:val="none"/>
                <w:lang w:eastAsia="zh-CN"/>
                <w14:textFill>
                  <w14:solidFill>
                    <w14:schemeClr w14:val="tx1"/>
                  </w14:solidFill>
                </w14:textFill>
              </w:rPr>
              <w:t>1</w:t>
            </w:r>
            <w:r>
              <w:rPr>
                <w:rFonts w:hint="eastAsia" w:ascii="Times New Roman" w:hAnsi="Times New Roman"/>
                <w:b/>
                <w:color w:val="000000" w:themeColor="text1"/>
                <w:sz w:val="24"/>
                <w:szCs w:val="24"/>
                <w:highlight w:val="none"/>
                <w:lang w:eastAsia="zh-CN"/>
                <w14:textFill>
                  <w14:solidFill>
                    <w14:schemeClr w14:val="tx1"/>
                  </w14:solidFill>
                </w14:textFill>
              </w:rPr>
              <w:t>2</w:t>
            </w:r>
            <w:r>
              <w:rPr>
                <w:rFonts w:hint="eastAsia" w:ascii="Times New Roman" w:hAnsi="Times New Roman"/>
                <w:b/>
                <w:color w:val="000000" w:themeColor="text1"/>
                <w:sz w:val="24"/>
                <w:szCs w:val="24"/>
                <w:highlight w:val="none"/>
                <w:lang w:val="en-US" w:eastAsia="zh-CN"/>
                <w14:textFill>
                  <w14:solidFill>
                    <w14:schemeClr w14:val="tx1"/>
                  </w14:solidFill>
                </w14:textFill>
              </w:rPr>
              <w:t>.</w:t>
            </w:r>
            <w:r>
              <w:rPr>
                <w:rFonts w:hint="default" w:ascii="Times New Roman" w:hAnsi="Times New Roman"/>
                <w:b/>
                <w:color w:val="000000" w:themeColor="text1"/>
                <w:sz w:val="24"/>
                <w:szCs w:val="24"/>
                <w:highlight w:val="none"/>
                <w:lang w:eastAsia="zh-CN"/>
                <w14:textFill>
                  <w14:solidFill>
                    <w14:schemeClr w14:val="tx1"/>
                  </w14:solidFill>
                </w14:textFill>
              </w:rPr>
              <w:t>与</w:t>
            </w:r>
            <w:r>
              <w:rPr>
                <w:rFonts w:hint="eastAsia"/>
                <w:b/>
                <w:color w:val="000000" w:themeColor="text1"/>
                <w:sz w:val="24"/>
                <w:szCs w:val="24"/>
                <w:highlight w:val="none"/>
                <w:lang w:eastAsia="zh-CN"/>
                <w14:textFill>
                  <w14:solidFill>
                    <w14:schemeClr w14:val="tx1"/>
                  </w14:solidFill>
                </w14:textFill>
              </w:rPr>
              <w:t>关于“十四五”大宗固体废弃物综合利用的指导意见相符性分析</w:t>
            </w:r>
          </w:p>
          <w:p w14:paraId="6B5036BC">
            <w:pPr>
              <w:keepNext w:val="0"/>
              <w:keepLines w:val="0"/>
              <w:suppressLineNumbers w:val="0"/>
              <w:spacing w:before="0" w:beforeAutospacing="0" w:after="0" w:afterAutospacing="0"/>
              <w:ind w:left="0" w:right="0"/>
              <w:jc w:val="center"/>
              <w:rPr>
                <w:rFonts w:hint="default"/>
                <w:b/>
                <w:bCs/>
                <w:color w:val="000000" w:themeColor="text1"/>
                <w:sz w:val="24"/>
                <w:szCs w:val="20"/>
                <w:highlight w:val="none"/>
                <w:shd w:val="clear" w:color="auto" w:fill="FFFFFF"/>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表1</w:t>
            </w:r>
            <w:r>
              <w:rPr>
                <w:rFonts w:hint="eastAsia"/>
                <w:b/>
                <w:bCs/>
                <w:color w:val="000000" w:themeColor="text1"/>
                <w:sz w:val="24"/>
                <w:szCs w:val="20"/>
                <w:highlight w:val="none"/>
                <w14:textFill>
                  <w14:solidFill>
                    <w14:schemeClr w14:val="tx1"/>
                  </w14:solidFill>
                </w14:textFill>
              </w:rPr>
              <w:t>-1</w:t>
            </w:r>
            <w:r>
              <w:rPr>
                <w:rFonts w:hint="eastAsia"/>
                <w:b/>
                <w:bCs/>
                <w:color w:val="000000" w:themeColor="text1"/>
                <w:sz w:val="24"/>
                <w:szCs w:val="20"/>
                <w:highlight w:val="none"/>
                <w:lang w:val="en-US" w:eastAsia="zh-CN"/>
                <w14:textFill>
                  <w14:solidFill>
                    <w14:schemeClr w14:val="tx1"/>
                  </w14:solidFill>
                </w14:textFill>
              </w:rPr>
              <w:t>3</w:t>
            </w:r>
            <w:r>
              <w:rPr>
                <w:rFonts w:hint="eastAsia"/>
                <w:b/>
                <w:bCs/>
                <w:color w:val="000000" w:themeColor="text1"/>
                <w:sz w:val="24"/>
                <w:szCs w:val="20"/>
                <w:highlight w:val="none"/>
                <w14:textFill>
                  <w14:solidFill>
                    <w14:schemeClr w14:val="tx1"/>
                  </w14:solidFill>
                </w14:textFill>
              </w:rPr>
              <w:t xml:space="preserve">  </w:t>
            </w:r>
            <w:r>
              <w:rPr>
                <w:rFonts w:hint="default"/>
                <w:b/>
                <w:color w:val="000000" w:themeColor="text1"/>
                <w:sz w:val="24"/>
                <w:szCs w:val="20"/>
                <w:highlight w:val="none"/>
                <w14:textFill>
                  <w14:solidFill>
                    <w14:schemeClr w14:val="tx1"/>
                  </w14:solidFill>
                </w14:textFill>
              </w:rPr>
              <w:t>项目与</w:t>
            </w:r>
            <w:r>
              <w:rPr>
                <w:rFonts w:hint="eastAsia"/>
                <w:b/>
                <w:color w:val="000000" w:themeColor="text1"/>
                <w:sz w:val="24"/>
                <w:szCs w:val="20"/>
                <w:highlight w:val="none"/>
                <w14:textFill>
                  <w14:solidFill>
                    <w14:schemeClr w14:val="tx1"/>
                  </w14:solidFill>
                </w14:textFill>
              </w:rPr>
              <w:t>关于“十四五”大宗固体废弃物综合利用的指导意见</w:t>
            </w:r>
          </w:p>
          <w:p w14:paraId="3D9A962D">
            <w:pPr>
              <w:keepNext w:val="0"/>
              <w:keepLines w:val="0"/>
              <w:suppressLineNumbers w:val="0"/>
              <w:spacing w:before="0" w:beforeAutospacing="0" w:after="0" w:afterAutospacing="0"/>
              <w:ind w:left="0" w:right="0"/>
              <w:jc w:val="center"/>
              <w:rPr>
                <w:rFonts w:hint="default"/>
                <w:b/>
                <w:bCs/>
                <w:color w:val="000000" w:themeColor="text1"/>
                <w:sz w:val="24"/>
                <w:szCs w:val="20"/>
                <w:highlight w:val="none"/>
                <w14:textFill>
                  <w14:solidFill>
                    <w14:schemeClr w14:val="tx1"/>
                  </w14:solidFill>
                </w14:textFill>
              </w:rPr>
            </w:pPr>
            <w:r>
              <w:rPr>
                <w:rFonts w:hint="eastAsia"/>
                <w:b/>
                <w:color w:val="000000" w:themeColor="text1"/>
                <w:sz w:val="24"/>
                <w:szCs w:val="20"/>
                <w:highlight w:val="none"/>
                <w14:textFill>
                  <w14:solidFill>
                    <w14:schemeClr w14:val="tx1"/>
                  </w14:solidFill>
                </w14:textFill>
              </w:rPr>
              <w:t>相符性</w:t>
            </w:r>
            <w:r>
              <w:rPr>
                <w:rFonts w:hint="default"/>
                <w:b/>
                <w:color w:val="000000" w:themeColor="text1"/>
                <w:sz w:val="24"/>
                <w:szCs w:val="20"/>
                <w:highlight w:val="none"/>
                <w14:textFill>
                  <w14:solidFill>
                    <w14:schemeClr w14:val="tx1"/>
                  </w14:solidFill>
                </w14:textFill>
              </w:rPr>
              <w:t>分析</w:t>
            </w:r>
          </w:p>
          <w:tbl>
            <w:tblPr>
              <w:tblStyle w:val="4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19"/>
              <w:gridCol w:w="4237"/>
              <w:gridCol w:w="738"/>
            </w:tblGrid>
            <w:tr w14:paraId="7AFFC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964" w:type="pct"/>
                  <w:tcBorders>
                    <w:top w:val="single" w:color="auto" w:sz="4" w:space="0"/>
                    <w:left w:val="single" w:color="auto" w:sz="4" w:space="0"/>
                    <w:bottom w:val="single" w:color="auto" w:sz="4" w:space="0"/>
                    <w:right w:val="single" w:color="auto" w:sz="4" w:space="0"/>
                  </w:tcBorders>
                  <w:vAlign w:val="center"/>
                </w:tcPr>
                <w:p w14:paraId="4D19F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相关</w:t>
                  </w:r>
                  <w:r>
                    <w:rPr>
                      <w:rFonts w:hint="default" w:ascii="宋体" w:hAnsi="宋体"/>
                      <w:b/>
                      <w:bCs/>
                      <w:color w:val="000000" w:themeColor="text1"/>
                      <w:sz w:val="21"/>
                      <w:szCs w:val="21"/>
                      <w:highlight w:val="none"/>
                      <w14:textFill>
                        <w14:solidFill>
                          <w14:schemeClr w14:val="tx1"/>
                        </w14:solidFill>
                      </w14:textFill>
                    </w:rPr>
                    <w:t>要求</w:t>
                  </w:r>
                </w:p>
              </w:tc>
              <w:tc>
                <w:tcPr>
                  <w:tcW w:w="2585" w:type="pct"/>
                  <w:tcBorders>
                    <w:top w:val="single" w:color="auto" w:sz="4" w:space="0"/>
                    <w:left w:val="single" w:color="auto" w:sz="4" w:space="0"/>
                    <w:bottom w:val="single" w:color="auto" w:sz="4" w:space="0"/>
                    <w:right w:val="single" w:color="auto" w:sz="4" w:space="0"/>
                  </w:tcBorders>
                  <w:vAlign w:val="center"/>
                </w:tcPr>
                <w:p w14:paraId="1D31D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拟建项目的</w:t>
                  </w:r>
                  <w:r>
                    <w:rPr>
                      <w:rFonts w:hint="eastAsia" w:ascii="宋体" w:hAnsi="宋体"/>
                      <w:b/>
                      <w:bCs/>
                      <w:color w:val="000000" w:themeColor="text1"/>
                      <w:sz w:val="21"/>
                      <w:szCs w:val="21"/>
                      <w:highlight w:val="none"/>
                      <w14:textFill>
                        <w14:solidFill>
                          <w14:schemeClr w14:val="tx1"/>
                        </w14:solidFill>
                      </w14:textFill>
                    </w:rPr>
                    <w:t>情况</w:t>
                  </w:r>
                </w:p>
              </w:tc>
              <w:tc>
                <w:tcPr>
                  <w:tcW w:w="450" w:type="pct"/>
                  <w:tcBorders>
                    <w:top w:val="single" w:color="auto" w:sz="4" w:space="0"/>
                    <w:left w:val="single" w:color="auto" w:sz="4" w:space="0"/>
                    <w:bottom w:val="single" w:color="auto" w:sz="4" w:space="0"/>
                    <w:right w:val="single" w:color="auto" w:sz="4" w:space="0"/>
                  </w:tcBorders>
                </w:tcPr>
                <w:p w14:paraId="50303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符合性</w:t>
                  </w:r>
                </w:p>
              </w:tc>
            </w:tr>
            <w:tr w14:paraId="7588E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64" w:type="pct"/>
                  <w:tcBorders>
                    <w:top w:val="single" w:color="auto" w:sz="4" w:space="0"/>
                    <w:left w:val="single" w:color="auto" w:sz="4" w:space="0"/>
                    <w:bottom w:val="single" w:color="auto" w:sz="4" w:space="0"/>
                    <w:right w:val="single" w:color="auto" w:sz="4" w:space="0"/>
                  </w:tcBorders>
                  <w:vAlign w:val="center"/>
                </w:tcPr>
                <w:p w14:paraId="5737D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坚持消纳存量与控制增量相结合。依法依规、科学有序消纳存量大宗固废；因地制宜、综合施策，有效降低大宗固废产排强度，加大综合利用力度，严控新增大宗固废堆存量。</w:t>
                  </w:r>
                </w:p>
                <w:p w14:paraId="1422B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坚持突出重点与系统治理相结合。加强大宗固废综合利用全过程管理，协同推进产废、利废和规范处置各环节，严守大宗固废综合利用和安全处置的环境底线。</w:t>
                  </w:r>
                </w:p>
                <w:p w14:paraId="756DEF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坚持技术创新与模式创新相结合。强化创新引领，突破大宗固废综合利用技术瓶颈，加快先进适用技术推广应用，加强示范引领，培育大宗固废综合利用新模式。</w:t>
                  </w:r>
                </w:p>
                <w:p w14:paraId="1B00D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color w:val="000000" w:themeColor="text1"/>
                      <w:sz w:val="21"/>
                      <w:szCs w:val="21"/>
                      <w:highlight w:val="none"/>
                      <w14:textFill>
                        <w14:solidFill>
                          <w14:schemeClr w14:val="tx1"/>
                        </w14:solidFill>
                      </w14:textFill>
                    </w:rPr>
                  </w:pPr>
                </w:p>
              </w:tc>
              <w:tc>
                <w:tcPr>
                  <w:tcW w:w="2585" w:type="pct"/>
                  <w:tcBorders>
                    <w:top w:val="single" w:color="auto" w:sz="4" w:space="0"/>
                    <w:left w:val="single" w:color="auto" w:sz="4" w:space="0"/>
                    <w:bottom w:val="single" w:color="auto" w:sz="4" w:space="0"/>
                    <w:right w:val="single" w:color="auto" w:sz="4" w:space="0"/>
                  </w:tcBorders>
                  <w:vAlign w:val="center"/>
                </w:tcPr>
                <w:p w14:paraId="371356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本</w:t>
                  </w:r>
                  <w:r>
                    <w:rPr>
                      <w:rFonts w:hint="eastAsia" w:ascii="宋体" w:hAnsi="宋体"/>
                      <w:color w:val="000000" w:themeColor="text1"/>
                      <w:sz w:val="21"/>
                      <w:szCs w:val="21"/>
                      <w:highlight w:val="none"/>
                      <w14:textFill>
                        <w14:solidFill>
                          <w14:schemeClr w14:val="tx1"/>
                        </w14:solidFill>
                      </w14:textFill>
                    </w:rPr>
                    <w:t>项目对利用</w:t>
                  </w:r>
                  <w:r>
                    <w:rPr>
                      <w:rFonts w:hint="default" w:ascii="宋体" w:hAnsi="宋体"/>
                      <w:color w:val="000000" w:themeColor="text1"/>
                      <w:sz w:val="21"/>
                      <w:szCs w:val="21"/>
                      <w:highlight w:val="none"/>
                      <w14:textFill>
                        <w14:solidFill>
                          <w14:schemeClr w14:val="tx1"/>
                        </w14:solidFill>
                      </w14:textFill>
                    </w:rPr>
                    <w:t>磷石膏进行生态修复材料的</w:t>
                  </w:r>
                  <w:r>
                    <w:rPr>
                      <w:rFonts w:hint="default"/>
                      <w:color w:val="000000" w:themeColor="text1"/>
                      <w:sz w:val="21"/>
                      <w:szCs w:val="21"/>
                      <w:highlight w:val="none"/>
                      <w14:textFill>
                        <w14:solidFill>
                          <w14:schemeClr w14:val="tx1"/>
                        </w14:solidFill>
                      </w14:textFill>
                    </w:rPr>
                    <w:t>生产，生产过程中废气得到</w:t>
                  </w:r>
                  <w:r>
                    <w:rPr>
                      <w:rFonts w:hint="eastAsia"/>
                      <w:color w:val="000000" w:themeColor="text1"/>
                      <w:sz w:val="21"/>
                      <w:szCs w:val="21"/>
                      <w:highlight w:val="none"/>
                      <w:lang w:eastAsia="zh-CN"/>
                      <w14:textFill>
                        <w14:solidFill>
                          <w14:schemeClr w14:val="tx1"/>
                        </w14:solidFill>
                      </w14:textFill>
                    </w:rPr>
                    <w:t>有效</w:t>
                  </w:r>
                  <w:r>
                    <w:rPr>
                      <w:rFonts w:hint="default"/>
                      <w:color w:val="000000" w:themeColor="text1"/>
                      <w:sz w:val="21"/>
                      <w:szCs w:val="21"/>
                      <w:highlight w:val="none"/>
                      <w14:textFill>
                        <w14:solidFill>
                          <w14:schemeClr w14:val="tx1"/>
                        </w14:solidFill>
                      </w14:textFill>
                    </w:rPr>
                    <w:t>处置，</w:t>
                  </w:r>
                  <w:r>
                    <w:rPr>
                      <w:rFonts w:hint="eastAsia"/>
                      <w:color w:val="000000" w:themeColor="text1"/>
                      <w:sz w:val="21"/>
                      <w:szCs w:val="21"/>
                      <w:highlight w:val="none"/>
                      <w14:textFill>
                        <w14:solidFill>
                          <w14:schemeClr w14:val="tx1"/>
                        </w14:solidFill>
                      </w14:textFill>
                    </w:rPr>
                    <w:t>改性磷石膏待检区及成品堆场均采取防渗措施，满足《一般工业固体废物贮存和填埋污染控制标准》（GB 18599-2020）要求</w:t>
                  </w:r>
                  <w:r>
                    <w:rPr>
                      <w:rFonts w:hint="eastAsia"/>
                      <w:color w:val="000000" w:themeColor="text1"/>
                      <w:sz w:val="21"/>
                      <w:szCs w:val="21"/>
                      <w:highlight w:val="none"/>
                      <w:lang w:eastAsia="zh-CN"/>
                      <w14:textFill>
                        <w14:solidFill>
                          <w14:schemeClr w14:val="tx1"/>
                        </w14:solidFill>
                      </w14:textFill>
                    </w:rPr>
                    <w:t>。</w:t>
                  </w:r>
                  <w:r>
                    <w:rPr>
                      <w:rFonts w:hint="default"/>
                      <w:color w:val="000000" w:themeColor="text1"/>
                      <w:sz w:val="21"/>
                      <w:szCs w:val="21"/>
                      <w:highlight w:val="none"/>
                      <w14:textFill>
                        <w14:solidFill>
                          <w14:schemeClr w14:val="tx1"/>
                        </w14:solidFill>
                      </w14:textFill>
                    </w:rPr>
                    <w:t>符合指导意见的要求。</w:t>
                  </w:r>
                </w:p>
              </w:tc>
              <w:tc>
                <w:tcPr>
                  <w:tcW w:w="450" w:type="pct"/>
                  <w:tcBorders>
                    <w:top w:val="single" w:color="auto" w:sz="4" w:space="0"/>
                    <w:left w:val="single" w:color="auto" w:sz="4" w:space="0"/>
                    <w:bottom w:val="single" w:color="auto" w:sz="4" w:space="0"/>
                    <w:right w:val="single" w:color="auto" w:sz="4" w:space="0"/>
                  </w:tcBorders>
                  <w:vAlign w:val="center"/>
                </w:tcPr>
                <w:p w14:paraId="5DDF0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31B5D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964" w:type="pct"/>
                  <w:tcBorders>
                    <w:top w:val="single" w:color="auto" w:sz="4" w:space="0"/>
                    <w:left w:val="single" w:color="auto" w:sz="4" w:space="0"/>
                    <w:bottom w:val="single" w:color="auto" w:sz="4" w:space="0"/>
                    <w:right w:val="single" w:color="auto" w:sz="4" w:space="0"/>
                  </w:tcBorders>
                  <w:vAlign w:val="center"/>
                </w:tcPr>
                <w:p w14:paraId="28DBF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拓宽磷石膏利用途径，继续推广磷石膏在生产水泥和新型建筑材料等领域的利用，在确保环境安全的前提下，探索磷石膏在土壤改良、井下充填、路基材料等领域的应用。</w:t>
                  </w:r>
                </w:p>
              </w:tc>
              <w:tc>
                <w:tcPr>
                  <w:tcW w:w="2585" w:type="pct"/>
                  <w:tcBorders>
                    <w:top w:val="single" w:color="auto" w:sz="4" w:space="0"/>
                    <w:left w:val="single" w:color="auto" w:sz="4" w:space="0"/>
                    <w:bottom w:val="single" w:color="auto" w:sz="4" w:space="0"/>
                    <w:right w:val="single" w:color="auto" w:sz="4" w:space="0"/>
                  </w:tcBorders>
                  <w:vAlign w:val="center"/>
                </w:tcPr>
                <w:p w14:paraId="7BB53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本项目为磷石膏</w:t>
                  </w:r>
                  <w:r>
                    <w:rPr>
                      <w:rFonts w:hint="eastAsia" w:ascii="宋体" w:hAnsi="宋体"/>
                      <w:color w:val="000000" w:themeColor="text1"/>
                      <w:sz w:val="21"/>
                      <w:szCs w:val="21"/>
                      <w:highlight w:val="none"/>
                      <w:lang w:val="en-US" w:eastAsia="zh-CN"/>
                      <w14:textFill>
                        <w14:solidFill>
                          <w14:schemeClr w14:val="tx1"/>
                        </w14:solidFill>
                      </w14:textFill>
                    </w:rPr>
                    <w:t>改性</w:t>
                  </w:r>
                  <w:r>
                    <w:rPr>
                      <w:rFonts w:hint="eastAsia" w:ascii="宋体" w:hAnsi="宋体"/>
                      <w:color w:val="000000" w:themeColor="text1"/>
                      <w:sz w:val="21"/>
                      <w:szCs w:val="21"/>
                      <w:highlight w:val="none"/>
                      <w14:textFill>
                        <w14:solidFill>
                          <w14:schemeClr w14:val="tx1"/>
                        </w14:solidFill>
                      </w14:textFill>
                    </w:rPr>
                    <w:t>工程，通过对存量磷石膏进行无害化改性处理后用于矿山生态修复回填</w:t>
                  </w:r>
                  <w:r>
                    <w:rPr>
                      <w:rFonts w:hint="eastAsia" w:ascii="宋体" w:hAnsi="宋体"/>
                      <w:color w:val="000000" w:themeColor="text1"/>
                      <w:sz w:val="21"/>
                      <w:szCs w:val="21"/>
                      <w:highlight w:val="none"/>
                      <w:lang w:eastAsia="zh-CN"/>
                      <w14:textFill>
                        <w14:solidFill>
                          <w14:schemeClr w14:val="tx1"/>
                        </w14:solidFill>
                      </w14:textFill>
                    </w:rPr>
                    <w:t>。</w:t>
                  </w:r>
                  <w:r>
                    <w:rPr>
                      <w:rFonts w:hint="default"/>
                      <w:color w:val="000000" w:themeColor="text1"/>
                      <w:sz w:val="21"/>
                      <w:szCs w:val="21"/>
                      <w:highlight w:val="none"/>
                      <w14:textFill>
                        <w14:solidFill>
                          <w14:schemeClr w14:val="tx1"/>
                        </w14:solidFill>
                      </w14:textFill>
                    </w:rPr>
                    <w:t>经生态修复材料改性磷石膏的检测，产品为</w:t>
                  </w:r>
                  <w:r>
                    <w:rPr>
                      <w:rFonts w:hint="eastAsia"/>
                      <w:color w:val="000000" w:themeColor="text1"/>
                      <w:sz w:val="21"/>
                      <w:szCs w:val="21"/>
                      <w:highlight w:val="none"/>
                      <w14:textFill>
                        <w14:solidFill>
                          <w14:schemeClr w14:val="tx1"/>
                        </w14:solidFill>
                      </w14:textFill>
                    </w:rPr>
                    <w:t>第</w:t>
                  </w:r>
                  <w:r>
                    <w:rPr>
                      <w:rFonts w:hint="default"/>
                      <w:color w:val="000000" w:themeColor="text1"/>
                      <w:sz w:val="21"/>
                      <w:szCs w:val="21"/>
                      <w:highlight w:val="none"/>
                      <w14:textFill>
                        <w14:solidFill>
                          <w14:schemeClr w14:val="tx1"/>
                        </w14:solidFill>
                      </w14:textFill>
                    </w:rPr>
                    <w:t>Ⅰ类</w:t>
                  </w:r>
                  <w:r>
                    <w:rPr>
                      <w:rFonts w:hint="eastAsia"/>
                      <w:color w:val="000000" w:themeColor="text1"/>
                      <w:sz w:val="21"/>
                      <w:szCs w:val="21"/>
                      <w:highlight w:val="none"/>
                      <w14:textFill>
                        <w14:solidFill>
                          <w14:schemeClr w14:val="tx1"/>
                        </w14:solidFill>
                      </w14:textFill>
                    </w:rPr>
                    <w:t>一般工业固体废物，确保了环境安全，</w:t>
                  </w:r>
                  <w:r>
                    <w:rPr>
                      <w:rFonts w:hint="default" w:ascii="宋体" w:hAnsi="宋体"/>
                      <w:color w:val="000000" w:themeColor="text1"/>
                      <w:sz w:val="21"/>
                      <w:szCs w:val="21"/>
                      <w:highlight w:val="none"/>
                      <w14:textFill>
                        <w14:solidFill>
                          <w14:schemeClr w14:val="tx1"/>
                        </w14:solidFill>
                      </w14:textFill>
                    </w:rPr>
                    <w:t>符合</w:t>
                  </w:r>
                  <w:r>
                    <w:rPr>
                      <w:rFonts w:hint="eastAsia" w:ascii="宋体" w:hAnsi="宋体"/>
                      <w:color w:val="000000" w:themeColor="text1"/>
                      <w:sz w:val="21"/>
                      <w:szCs w:val="21"/>
                      <w:highlight w:val="none"/>
                      <w14:textFill>
                        <w14:solidFill>
                          <w14:schemeClr w14:val="tx1"/>
                        </w14:solidFill>
                      </w14:textFill>
                    </w:rPr>
                    <w:t>指导意见</w:t>
                  </w:r>
                  <w:r>
                    <w:rPr>
                      <w:rFonts w:hint="default" w:ascii="宋体" w:hAnsi="宋体"/>
                      <w:color w:val="000000" w:themeColor="text1"/>
                      <w:sz w:val="21"/>
                      <w:szCs w:val="21"/>
                      <w:highlight w:val="none"/>
                      <w14:textFill>
                        <w14:solidFill>
                          <w14:schemeClr w14:val="tx1"/>
                        </w14:solidFill>
                      </w14:textFill>
                    </w:rPr>
                    <w:t>的</w:t>
                  </w:r>
                  <w:r>
                    <w:rPr>
                      <w:rFonts w:hint="eastAsia" w:ascii="宋体" w:hAnsi="宋体"/>
                      <w:color w:val="000000" w:themeColor="text1"/>
                      <w:sz w:val="21"/>
                      <w:szCs w:val="21"/>
                      <w:highlight w:val="none"/>
                      <w14:textFill>
                        <w14:solidFill>
                          <w14:schemeClr w14:val="tx1"/>
                        </w14:solidFill>
                      </w14:textFill>
                    </w:rPr>
                    <w:t>要求</w:t>
                  </w:r>
                  <w:r>
                    <w:rPr>
                      <w:rFonts w:hint="default" w:ascii="宋体" w:hAnsi="宋体"/>
                      <w:color w:val="000000" w:themeColor="text1"/>
                      <w:sz w:val="21"/>
                      <w:szCs w:val="21"/>
                      <w:highlight w:val="none"/>
                      <w14:textFill>
                        <w14:solidFill>
                          <w14:schemeClr w14:val="tx1"/>
                        </w14:solidFill>
                      </w14:textFill>
                    </w:rPr>
                    <w:t>。</w:t>
                  </w:r>
                </w:p>
              </w:tc>
              <w:tc>
                <w:tcPr>
                  <w:tcW w:w="450" w:type="pct"/>
                  <w:tcBorders>
                    <w:top w:val="single" w:color="auto" w:sz="4" w:space="0"/>
                    <w:left w:val="single" w:color="auto" w:sz="4" w:space="0"/>
                    <w:bottom w:val="single" w:color="auto" w:sz="4" w:space="0"/>
                    <w:right w:val="single" w:color="auto" w:sz="4" w:space="0"/>
                  </w:tcBorders>
                  <w:vAlign w:val="center"/>
                </w:tcPr>
                <w:p w14:paraId="34746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bl>
          <w:p w14:paraId="4D3D2113">
            <w:pPr>
              <w:pStyle w:val="105"/>
              <w:keepNext w:val="0"/>
              <w:keepLines w:val="0"/>
              <w:suppressLineNumbers w:val="0"/>
              <w:spacing w:before="120" w:beforeAutospacing="0" w:after="0" w:afterAutospacing="0" w:line="364" w:lineRule="auto"/>
              <w:ind w:left="107" w:right="96" w:firstLine="600" w:firstLineChars="250"/>
              <w:jc w:val="both"/>
              <w:rPr>
                <w:rFonts w:hint="default" w:ascii="Times New Roman" w:hAnsi="Times New Roman"/>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综上</w:t>
            </w:r>
            <w:r>
              <w:rPr>
                <w:rFonts w:hint="default"/>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项目对属于工业固体废物的磷石膏、电石渣进行综合利用，</w:t>
            </w:r>
            <w:r>
              <w:rPr>
                <w:rFonts w:hint="default"/>
                <w:color w:val="000000" w:themeColor="text1"/>
                <w:sz w:val="24"/>
                <w:szCs w:val="24"/>
                <w:highlight w:val="none"/>
                <w:lang w:eastAsia="zh-CN"/>
                <w14:textFill>
                  <w14:solidFill>
                    <w14:schemeClr w14:val="tx1"/>
                  </w14:solidFill>
                </w14:textFill>
              </w:rPr>
              <w:t>符合</w:t>
            </w:r>
            <w:r>
              <w:rPr>
                <w:rFonts w:hint="eastAsia"/>
                <w:bCs/>
                <w:color w:val="000000" w:themeColor="text1"/>
                <w:sz w:val="24"/>
                <w:szCs w:val="24"/>
                <w:highlight w:val="none"/>
                <w:shd w:val="clear" w:color="auto" w:fill="FFFFFF"/>
                <w:lang w:eastAsia="zh-CN"/>
                <w14:textFill>
                  <w14:solidFill>
                    <w14:schemeClr w14:val="tx1"/>
                  </w14:solidFill>
                </w14:textFill>
              </w:rPr>
              <w:t>“十四五”大宗固体废弃物综合利用的指导意见</w:t>
            </w:r>
            <w:r>
              <w:rPr>
                <w:rFonts w:hint="default" w:ascii="Times New Roman" w:hAnsi="Times New Roman"/>
                <w:color w:val="000000" w:themeColor="text1"/>
                <w:sz w:val="24"/>
                <w:szCs w:val="24"/>
                <w:highlight w:val="none"/>
                <w:lang w:eastAsia="zh-CN"/>
                <w14:textFill>
                  <w14:solidFill>
                    <w14:schemeClr w14:val="tx1"/>
                  </w14:solidFill>
                </w14:textFill>
              </w:rPr>
              <w:t>要求。</w:t>
            </w:r>
          </w:p>
          <w:p w14:paraId="26E2B806">
            <w:pPr>
              <w:pStyle w:val="105"/>
              <w:keepNext w:val="0"/>
              <w:keepLines w:val="0"/>
              <w:suppressLineNumbers w:val="0"/>
              <w:spacing w:before="2" w:beforeAutospacing="0" w:after="0" w:afterAutospacing="0" w:line="364" w:lineRule="auto"/>
              <w:ind w:left="107" w:right="96" w:firstLine="482" w:firstLineChars="200"/>
              <w:jc w:val="both"/>
              <w:rPr>
                <w:rFonts w:hint="default" w:ascii="Times New Roman" w:hAnsi="Times New Roman"/>
                <w:color w:val="000000" w:themeColor="text1"/>
                <w:sz w:val="24"/>
                <w:highlight w:val="none"/>
                <w:lang w:eastAsia="zh-CN"/>
                <w14:textFill>
                  <w14:solidFill>
                    <w14:schemeClr w14:val="tx1"/>
                  </w14:solidFill>
                </w14:textFill>
              </w:rPr>
            </w:pPr>
            <w:r>
              <w:rPr>
                <w:rFonts w:hint="default" w:ascii="Times New Roman" w:hAnsi="Times New Roman"/>
                <w:b/>
                <w:color w:val="000000" w:themeColor="text1"/>
                <w:sz w:val="24"/>
                <w:szCs w:val="24"/>
                <w:highlight w:val="none"/>
                <w:lang w:eastAsia="zh-CN"/>
                <w14:textFill>
                  <w14:solidFill>
                    <w14:schemeClr w14:val="tx1"/>
                  </w14:solidFill>
                </w14:textFill>
              </w:rPr>
              <w:t>1</w:t>
            </w:r>
            <w:r>
              <w:rPr>
                <w:rFonts w:hint="eastAsia" w:ascii="Times New Roman" w:hAnsi="Times New Roman"/>
                <w:b/>
                <w:color w:val="000000" w:themeColor="text1"/>
                <w:sz w:val="24"/>
                <w:szCs w:val="24"/>
                <w:highlight w:val="none"/>
                <w:lang w:eastAsia="zh-CN"/>
                <w14:textFill>
                  <w14:solidFill>
                    <w14:schemeClr w14:val="tx1"/>
                  </w14:solidFill>
                </w14:textFill>
              </w:rPr>
              <w:t>3</w:t>
            </w:r>
            <w:r>
              <w:rPr>
                <w:rFonts w:hint="eastAsia" w:ascii="Times New Roman" w:hAnsi="Times New Roman"/>
                <w:b/>
                <w:color w:val="000000" w:themeColor="text1"/>
                <w:sz w:val="24"/>
                <w:szCs w:val="24"/>
                <w:highlight w:val="none"/>
                <w:lang w:val="en-US" w:eastAsia="zh-CN"/>
                <w14:textFill>
                  <w14:solidFill>
                    <w14:schemeClr w14:val="tx1"/>
                  </w14:solidFill>
                </w14:textFill>
              </w:rPr>
              <w:t>.</w:t>
            </w:r>
            <w:r>
              <w:rPr>
                <w:rFonts w:hint="default" w:ascii="Times New Roman" w:hAnsi="Times New Roman"/>
                <w:b/>
                <w:color w:val="000000" w:themeColor="text1"/>
                <w:sz w:val="24"/>
                <w:szCs w:val="24"/>
                <w:highlight w:val="none"/>
                <w:lang w:eastAsia="zh-CN"/>
                <w14:textFill>
                  <w14:solidFill>
                    <w14:schemeClr w14:val="tx1"/>
                  </w14:solidFill>
                </w14:textFill>
              </w:rPr>
              <w:t>与《一般工业固体废物贮存和填埋污染控制标准》（GB 18599-2020）相符性分析</w:t>
            </w:r>
          </w:p>
          <w:p w14:paraId="0A77A9DC">
            <w:pPr>
              <w:keepNext w:val="0"/>
              <w:keepLines w:val="0"/>
              <w:suppressLineNumbers w:val="0"/>
              <w:spacing w:before="0" w:beforeAutospacing="0" w:after="0" w:afterAutospacing="0"/>
              <w:ind w:left="0" w:right="0"/>
              <w:jc w:val="center"/>
              <w:rPr>
                <w:rFonts w:hint="default"/>
                <w:b/>
                <w:bCs/>
                <w:color w:val="000000" w:themeColor="text1"/>
                <w:sz w:val="24"/>
                <w:szCs w:val="20"/>
                <w:highlight w:val="none"/>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表1</w:t>
            </w:r>
            <w:r>
              <w:rPr>
                <w:rFonts w:hint="eastAsia"/>
                <w:b/>
                <w:bCs/>
                <w:color w:val="000000" w:themeColor="text1"/>
                <w:sz w:val="24"/>
                <w:szCs w:val="20"/>
                <w:highlight w:val="none"/>
                <w14:textFill>
                  <w14:solidFill>
                    <w14:schemeClr w14:val="tx1"/>
                  </w14:solidFill>
                </w14:textFill>
              </w:rPr>
              <w:t>-</w:t>
            </w:r>
            <w:r>
              <w:rPr>
                <w:rFonts w:hint="default"/>
                <w:b/>
                <w:bCs/>
                <w:color w:val="000000" w:themeColor="text1"/>
                <w:sz w:val="24"/>
                <w:szCs w:val="20"/>
                <w:highlight w:val="none"/>
                <w14:textFill>
                  <w14:solidFill>
                    <w14:schemeClr w14:val="tx1"/>
                  </w14:solidFill>
                </w14:textFill>
              </w:rPr>
              <w:t>1</w:t>
            </w:r>
            <w:r>
              <w:rPr>
                <w:rFonts w:hint="eastAsia"/>
                <w:b/>
                <w:bCs/>
                <w:color w:val="000000" w:themeColor="text1"/>
                <w:sz w:val="24"/>
                <w:szCs w:val="20"/>
                <w:highlight w:val="none"/>
                <w:lang w:val="en-US" w:eastAsia="zh-CN"/>
                <w14:textFill>
                  <w14:solidFill>
                    <w14:schemeClr w14:val="tx1"/>
                  </w14:solidFill>
                </w14:textFill>
              </w:rPr>
              <w:t>4</w:t>
            </w:r>
            <w:r>
              <w:rPr>
                <w:rFonts w:hint="eastAsia"/>
                <w:b/>
                <w:bCs/>
                <w:color w:val="000000" w:themeColor="text1"/>
                <w:sz w:val="24"/>
                <w:szCs w:val="20"/>
                <w:highlight w:val="none"/>
                <w14:textFill>
                  <w14:solidFill>
                    <w14:schemeClr w14:val="tx1"/>
                  </w14:solidFill>
                </w14:textFill>
              </w:rPr>
              <w:t xml:space="preserve">  项目</w:t>
            </w:r>
            <w:r>
              <w:rPr>
                <w:rFonts w:hint="eastAsia"/>
                <w:b/>
                <w:color w:val="000000" w:themeColor="text1"/>
                <w:sz w:val="24"/>
                <w:szCs w:val="20"/>
                <w:highlight w:val="none"/>
                <w14:textFill>
                  <w14:solidFill>
                    <w14:schemeClr w14:val="tx1"/>
                  </w14:solidFill>
                </w14:textFill>
              </w:rPr>
              <w:t>与</w:t>
            </w:r>
            <w:r>
              <w:rPr>
                <w:rFonts w:hint="default"/>
                <w:b/>
                <w:color w:val="000000" w:themeColor="text1"/>
                <w:sz w:val="24"/>
                <w:szCs w:val="20"/>
                <w:highlight w:val="none"/>
                <w14:textFill>
                  <w14:solidFill>
                    <w14:schemeClr w14:val="tx1"/>
                  </w14:solidFill>
                </w14:textFill>
              </w:rPr>
              <w:t>《一般工业固体废物贮存和填埋污染控制标准》（GB 18599-2020）</w:t>
            </w:r>
            <w:r>
              <w:rPr>
                <w:rFonts w:hint="eastAsia"/>
                <w:b/>
                <w:color w:val="000000" w:themeColor="text1"/>
                <w:sz w:val="24"/>
                <w:szCs w:val="20"/>
                <w:highlight w:val="none"/>
                <w14:textFill>
                  <w14:solidFill>
                    <w14:schemeClr w14:val="tx1"/>
                  </w14:solidFill>
                </w14:textFill>
              </w:rPr>
              <w:t>相符性分析</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39"/>
              <w:gridCol w:w="3768"/>
              <w:gridCol w:w="889"/>
            </w:tblGrid>
            <w:tr w14:paraId="0BA22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14:paraId="042CE473">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场址选择的要求</w:t>
                  </w:r>
                </w:p>
              </w:tc>
              <w:tc>
                <w:tcPr>
                  <w:tcW w:w="2298" w:type="pct"/>
                  <w:tcBorders>
                    <w:top w:val="single" w:color="auto" w:sz="4" w:space="0"/>
                    <w:left w:val="single" w:color="auto" w:sz="4" w:space="0"/>
                    <w:bottom w:val="single" w:color="auto" w:sz="4" w:space="0"/>
                    <w:right w:val="single" w:color="auto" w:sz="4" w:space="0"/>
                  </w:tcBorders>
                  <w:vAlign w:val="center"/>
                </w:tcPr>
                <w:p w14:paraId="0F962347">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拟建项目的符合性</w:t>
                  </w:r>
                </w:p>
              </w:tc>
              <w:tc>
                <w:tcPr>
                  <w:tcW w:w="542" w:type="pct"/>
                  <w:tcBorders>
                    <w:top w:val="single" w:color="auto" w:sz="4" w:space="0"/>
                    <w:left w:val="single" w:color="auto" w:sz="4" w:space="0"/>
                    <w:bottom w:val="single" w:color="auto" w:sz="4" w:space="0"/>
                    <w:right w:val="single" w:color="auto" w:sz="4" w:space="0"/>
                  </w:tcBorders>
                  <w:vAlign w:val="center"/>
                </w:tcPr>
                <w:p w14:paraId="1B427C8B">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符合性</w:t>
                  </w:r>
                </w:p>
              </w:tc>
            </w:tr>
            <w:tr w14:paraId="5ED32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58" w:type="pct"/>
                  <w:tcBorders>
                    <w:top w:val="single" w:color="auto" w:sz="4" w:space="0"/>
                    <w:left w:val="single" w:color="auto" w:sz="4" w:space="0"/>
                    <w:bottom w:val="single" w:color="auto" w:sz="4" w:space="0"/>
                    <w:right w:val="single" w:color="auto" w:sz="4" w:space="0"/>
                  </w:tcBorders>
                  <w:vAlign w:val="center"/>
                </w:tcPr>
                <w:p w14:paraId="17C94530">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shd w:val="clear" w:color="auto" w:fill="FFFFFF"/>
                      <w14:textFill>
                        <w14:solidFill>
                          <w14:schemeClr w14:val="tx1"/>
                        </w14:solidFill>
                      </w14:textFill>
                    </w:rPr>
                    <w:t>一般工业固体废物贮存场、填埋场的选址应符合环境保护法律法规及相关法定规划要求。</w:t>
                  </w:r>
                </w:p>
              </w:tc>
              <w:tc>
                <w:tcPr>
                  <w:tcW w:w="2298" w:type="pct"/>
                  <w:tcBorders>
                    <w:top w:val="single" w:color="auto" w:sz="4" w:space="0"/>
                    <w:left w:val="single" w:color="auto" w:sz="4" w:space="0"/>
                    <w:bottom w:val="single" w:color="auto" w:sz="4" w:space="0"/>
                    <w:right w:val="single" w:color="auto" w:sz="4" w:space="0"/>
                  </w:tcBorders>
                  <w:vAlign w:val="center"/>
                </w:tcPr>
                <w:p w14:paraId="751EE040">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本项目生态修复材料熟化及成品堆场位于</w:t>
                  </w:r>
                  <w:r>
                    <w:rPr>
                      <w:rFonts w:hint="eastAsia"/>
                      <w:color w:val="000000" w:themeColor="text1"/>
                      <w:sz w:val="21"/>
                      <w:szCs w:val="21"/>
                      <w:highlight w:val="none"/>
                      <w:lang w:val="en-US" w:eastAsia="zh-CN"/>
                      <w14:textFill>
                        <w14:solidFill>
                          <w14:schemeClr w14:val="tx1"/>
                        </w14:solidFill>
                      </w14:textFill>
                    </w:rPr>
                    <w:t>租赁场地内</w:t>
                  </w:r>
                  <w:r>
                    <w:rPr>
                      <w:rFonts w:hint="default"/>
                      <w:color w:val="000000" w:themeColor="text1"/>
                      <w:sz w:val="21"/>
                      <w:szCs w:val="21"/>
                      <w:highlight w:val="none"/>
                      <w14:textFill>
                        <w14:solidFill>
                          <w14:schemeClr w14:val="tx1"/>
                        </w14:solidFill>
                      </w14:textFill>
                    </w:rPr>
                    <w:t>，项目选址符合《云南省牛栏江保护条例》中的选址要求</w:t>
                  </w:r>
                </w:p>
              </w:tc>
              <w:tc>
                <w:tcPr>
                  <w:tcW w:w="542" w:type="pct"/>
                  <w:tcBorders>
                    <w:top w:val="single" w:color="auto" w:sz="4" w:space="0"/>
                    <w:left w:val="single" w:color="auto" w:sz="4" w:space="0"/>
                    <w:bottom w:val="single" w:color="auto" w:sz="4" w:space="0"/>
                    <w:right w:val="single" w:color="auto" w:sz="4" w:space="0"/>
                  </w:tcBorders>
                  <w:vAlign w:val="center"/>
                </w:tcPr>
                <w:p w14:paraId="69360B34">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2F5AC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14:paraId="2B6595D8">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shd w:val="clear" w:color="auto" w:fill="FFFFFF"/>
                      <w14:textFill>
                        <w14:solidFill>
                          <w14:schemeClr w14:val="tx1"/>
                        </w14:solidFill>
                      </w14:textFill>
                    </w:rPr>
                    <w:t>贮存场、填埋场的位置与周围居民区的距离应依据环境影响评价文件及审批意见确定。</w:t>
                  </w:r>
                </w:p>
              </w:tc>
              <w:tc>
                <w:tcPr>
                  <w:tcW w:w="2298" w:type="pct"/>
                  <w:tcBorders>
                    <w:top w:val="single" w:color="auto" w:sz="4" w:space="0"/>
                    <w:left w:val="single" w:color="auto" w:sz="4" w:space="0"/>
                    <w:bottom w:val="single" w:color="auto" w:sz="4" w:space="0"/>
                    <w:right w:val="single" w:color="auto" w:sz="4" w:space="0"/>
                  </w:tcBorders>
                  <w:vAlign w:val="center"/>
                </w:tcPr>
                <w:p w14:paraId="2BA5AAD2">
                  <w:pPr>
                    <w:keepNext w:val="0"/>
                    <w:keepLines w:val="0"/>
                    <w:suppressLineNumbers w:val="0"/>
                    <w:spacing w:before="0" w:beforeAutospacing="0" w:after="0" w:afterAutospacing="0"/>
                    <w:ind w:left="0" w:right="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项目厂区</w:t>
                  </w:r>
                  <w:r>
                    <w:rPr>
                      <w:rFonts w:hint="eastAsia"/>
                      <w:color w:val="000000" w:themeColor="text1"/>
                      <w:sz w:val="21"/>
                      <w:szCs w:val="21"/>
                      <w:highlight w:val="none"/>
                      <w14:textFill>
                        <w14:solidFill>
                          <w14:schemeClr w14:val="tx1"/>
                        </w14:solidFill>
                      </w14:textFill>
                    </w:rPr>
                    <w:t>扬尘经</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洒水车+限时段作业+大风停工</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等措施后，厂界颗粒物满足《大气污染物综合排放标准》（GB16297-1996）无组织排放限值，对敏感点影响可控</w:t>
                  </w:r>
                  <w:r>
                    <w:rPr>
                      <w:rFonts w:hint="eastAsia"/>
                      <w:color w:val="000000" w:themeColor="text1"/>
                      <w:sz w:val="21"/>
                      <w:szCs w:val="21"/>
                      <w:highlight w:val="none"/>
                      <w:lang w:eastAsia="zh-CN"/>
                      <w14:textFill>
                        <w14:solidFill>
                          <w14:schemeClr w14:val="tx1"/>
                        </w14:solidFill>
                      </w14:textFill>
                    </w:rPr>
                    <w:t>。</w:t>
                  </w:r>
                </w:p>
              </w:tc>
              <w:tc>
                <w:tcPr>
                  <w:tcW w:w="542" w:type="pct"/>
                  <w:tcBorders>
                    <w:top w:val="single" w:color="auto" w:sz="4" w:space="0"/>
                    <w:left w:val="single" w:color="auto" w:sz="4" w:space="0"/>
                    <w:bottom w:val="single" w:color="auto" w:sz="4" w:space="0"/>
                    <w:right w:val="single" w:color="auto" w:sz="4" w:space="0"/>
                  </w:tcBorders>
                  <w:vAlign w:val="center"/>
                </w:tcPr>
                <w:p w14:paraId="12BC186B">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04B43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14:paraId="265EC41F">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shd w:val="clear" w:color="auto" w:fill="FFFFFF"/>
                      <w14:textFill>
                        <w14:solidFill>
                          <w14:schemeClr w14:val="tx1"/>
                        </w14:solidFill>
                      </w14:textFill>
                    </w:rPr>
                    <w:t>贮存场、填埋场不得选在生态保护红线区域、永久基本农田集中区域和其他需要特别保护的区域内。</w:t>
                  </w:r>
                </w:p>
              </w:tc>
              <w:tc>
                <w:tcPr>
                  <w:tcW w:w="2298" w:type="pct"/>
                  <w:tcBorders>
                    <w:top w:val="single" w:color="auto" w:sz="4" w:space="0"/>
                    <w:left w:val="single" w:color="auto" w:sz="4" w:space="0"/>
                    <w:bottom w:val="single" w:color="auto" w:sz="4" w:space="0"/>
                    <w:right w:val="single" w:color="auto" w:sz="4" w:space="0"/>
                  </w:tcBorders>
                  <w:vAlign w:val="center"/>
                </w:tcPr>
                <w:p w14:paraId="04B07679">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本项目不属于</w:t>
                  </w:r>
                  <w:r>
                    <w:rPr>
                      <w:rFonts w:hint="default"/>
                      <w:color w:val="000000" w:themeColor="text1"/>
                      <w:sz w:val="21"/>
                      <w:szCs w:val="21"/>
                      <w:highlight w:val="none"/>
                      <w:shd w:val="clear" w:color="auto" w:fill="FFFFFF"/>
                      <w14:textFill>
                        <w14:solidFill>
                          <w14:schemeClr w14:val="tx1"/>
                        </w14:solidFill>
                      </w14:textFill>
                    </w:rPr>
                    <w:t>生态保护红线区域、永久基本农田集中区域和其他需要特别保护的区域</w:t>
                  </w:r>
                  <w:r>
                    <w:rPr>
                      <w:rFonts w:hint="eastAsia"/>
                      <w:color w:val="000000" w:themeColor="text1"/>
                      <w:sz w:val="21"/>
                      <w:szCs w:val="21"/>
                      <w:highlight w:val="none"/>
                      <w:shd w:val="clear" w:color="auto" w:fill="FFFFFF"/>
                      <w14:textFill>
                        <w14:solidFill>
                          <w14:schemeClr w14:val="tx1"/>
                        </w14:solidFill>
                      </w14:textFill>
                    </w:rPr>
                    <w:t>。</w:t>
                  </w:r>
                </w:p>
              </w:tc>
              <w:tc>
                <w:tcPr>
                  <w:tcW w:w="542" w:type="pct"/>
                  <w:tcBorders>
                    <w:top w:val="single" w:color="auto" w:sz="4" w:space="0"/>
                    <w:left w:val="single" w:color="auto" w:sz="4" w:space="0"/>
                    <w:bottom w:val="single" w:color="auto" w:sz="4" w:space="0"/>
                    <w:right w:val="single" w:color="auto" w:sz="4" w:space="0"/>
                  </w:tcBorders>
                  <w:vAlign w:val="center"/>
                </w:tcPr>
                <w:p w14:paraId="35686F23">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182C4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58" w:type="pct"/>
                  <w:tcBorders>
                    <w:top w:val="single" w:color="auto" w:sz="4" w:space="0"/>
                    <w:left w:val="single" w:color="auto" w:sz="4" w:space="0"/>
                    <w:bottom w:val="single" w:color="auto" w:sz="4" w:space="0"/>
                    <w:right w:val="single" w:color="auto" w:sz="4" w:space="0"/>
                  </w:tcBorders>
                  <w:vAlign w:val="center"/>
                </w:tcPr>
                <w:p w14:paraId="1D7BCC91">
                  <w:pPr>
                    <w:keepNext w:val="0"/>
                    <w:keepLines w:val="0"/>
                    <w:suppressLineNumbers w:val="0"/>
                    <w:spacing w:before="0" w:beforeAutospacing="0" w:after="0" w:afterAutospacing="0"/>
                    <w:ind w:left="0" w:right="0"/>
                    <w:jc w:val="center"/>
                    <w:rPr>
                      <w:rFonts w:hint="default"/>
                      <w:color w:val="000000" w:themeColor="text1"/>
                      <w:sz w:val="21"/>
                      <w:szCs w:val="21"/>
                      <w:highlight w:val="none"/>
                      <w:shd w:val="clear" w:color="auto" w:fill="FFFFFF"/>
                      <w14:textFill>
                        <w14:solidFill>
                          <w14:schemeClr w14:val="tx1"/>
                        </w14:solidFill>
                      </w14:textFill>
                    </w:rPr>
                  </w:pPr>
                  <w:r>
                    <w:rPr>
                      <w:rFonts w:hint="default"/>
                      <w:color w:val="000000" w:themeColor="text1"/>
                      <w:sz w:val="21"/>
                      <w:szCs w:val="21"/>
                      <w:highlight w:val="none"/>
                      <w:shd w:val="clear" w:color="auto" w:fill="FFFFFF"/>
                      <w14:textFill>
                        <w14:solidFill>
                          <w14:schemeClr w14:val="tx1"/>
                        </w14:solidFill>
                      </w14:textFill>
                    </w:rPr>
                    <w:t>贮存场、填埋场应避开活动断层、溶洞区、天然滑坡或泥石流影响区以及湿地等区域。</w:t>
                  </w:r>
                </w:p>
              </w:tc>
              <w:tc>
                <w:tcPr>
                  <w:tcW w:w="2298" w:type="pct"/>
                  <w:tcBorders>
                    <w:top w:val="single" w:color="auto" w:sz="4" w:space="0"/>
                    <w:left w:val="single" w:color="auto" w:sz="4" w:space="0"/>
                    <w:bottom w:val="single" w:color="auto" w:sz="4" w:space="0"/>
                    <w:right w:val="single" w:color="auto" w:sz="4" w:space="0"/>
                  </w:tcBorders>
                  <w:vAlign w:val="center"/>
                </w:tcPr>
                <w:p w14:paraId="0576975C">
                  <w:pPr>
                    <w:keepNext w:val="0"/>
                    <w:keepLines w:val="0"/>
                    <w:suppressLineNumbers w:val="0"/>
                    <w:spacing w:before="0" w:beforeAutospacing="0" w:after="0" w:afterAutospacing="0"/>
                    <w:ind w:left="0" w:right="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项目租赁场地</w:t>
                  </w:r>
                  <w:r>
                    <w:rPr>
                      <w:rFonts w:hint="eastAsia"/>
                      <w:color w:val="000000" w:themeColor="text1"/>
                      <w:sz w:val="21"/>
                      <w:szCs w:val="21"/>
                      <w:highlight w:val="none"/>
                      <w14:textFill>
                        <w14:solidFill>
                          <w14:schemeClr w14:val="tx1"/>
                        </w14:solidFill>
                      </w14:textFill>
                    </w:rPr>
                    <w:t>工程地质条件稳定，</w:t>
                  </w:r>
                  <w:r>
                    <w:rPr>
                      <w:rFonts w:hint="eastAsia"/>
                      <w:color w:val="000000" w:themeColor="text1"/>
                      <w:sz w:val="21"/>
                      <w:szCs w:val="21"/>
                      <w:highlight w:val="none"/>
                      <w:lang w:val="en-US" w:eastAsia="zh-CN"/>
                      <w14:textFill>
                        <w14:solidFill>
                          <w14:schemeClr w14:val="tx1"/>
                        </w14:solidFill>
                      </w14:textFill>
                    </w:rPr>
                    <w:t>不涉及</w:t>
                  </w:r>
                  <w:r>
                    <w:rPr>
                      <w:rFonts w:hint="default"/>
                      <w:color w:val="000000" w:themeColor="text1"/>
                      <w:sz w:val="21"/>
                      <w:szCs w:val="21"/>
                      <w:highlight w:val="none"/>
                      <w14:textFill>
                        <w14:solidFill>
                          <w14:schemeClr w14:val="tx1"/>
                        </w14:solidFill>
                      </w14:textFill>
                    </w:rPr>
                    <w:t>活动断层、溶洞区、天然滑坡或泥石流影响区以及湿地等区域</w:t>
                  </w:r>
                  <w:r>
                    <w:rPr>
                      <w:rFonts w:hint="eastAsia"/>
                      <w:color w:val="000000" w:themeColor="text1"/>
                      <w:sz w:val="21"/>
                      <w:szCs w:val="21"/>
                      <w:highlight w:val="none"/>
                      <w:lang w:eastAsia="zh-CN"/>
                      <w14:textFill>
                        <w14:solidFill>
                          <w14:schemeClr w14:val="tx1"/>
                        </w14:solidFill>
                      </w14:textFill>
                    </w:rPr>
                    <w:t>。</w:t>
                  </w:r>
                </w:p>
              </w:tc>
              <w:tc>
                <w:tcPr>
                  <w:tcW w:w="542" w:type="pct"/>
                  <w:tcBorders>
                    <w:top w:val="single" w:color="auto" w:sz="4" w:space="0"/>
                    <w:left w:val="single" w:color="auto" w:sz="4" w:space="0"/>
                    <w:bottom w:val="single" w:color="auto" w:sz="4" w:space="0"/>
                    <w:right w:val="single" w:color="auto" w:sz="4" w:space="0"/>
                  </w:tcBorders>
                  <w:vAlign w:val="center"/>
                </w:tcPr>
                <w:p w14:paraId="69F56AE8">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r w14:paraId="3C2A2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58" w:type="pct"/>
                  <w:tcBorders>
                    <w:top w:val="single" w:color="auto" w:sz="4" w:space="0"/>
                    <w:left w:val="single" w:color="auto" w:sz="4" w:space="0"/>
                    <w:bottom w:val="single" w:color="auto" w:sz="4" w:space="0"/>
                    <w:right w:val="single" w:color="auto" w:sz="4" w:space="0"/>
                  </w:tcBorders>
                  <w:vAlign w:val="center"/>
                </w:tcPr>
                <w:p w14:paraId="0FB9E135">
                  <w:pPr>
                    <w:keepNext w:val="0"/>
                    <w:keepLines w:val="0"/>
                    <w:suppressLineNumbers w:val="0"/>
                    <w:spacing w:before="0" w:beforeAutospacing="0" w:after="0" w:afterAutospacing="0"/>
                    <w:ind w:left="0" w:right="0"/>
                    <w:jc w:val="center"/>
                    <w:rPr>
                      <w:rFonts w:hint="default"/>
                      <w:color w:val="000000" w:themeColor="text1"/>
                      <w:sz w:val="21"/>
                      <w:szCs w:val="21"/>
                      <w:highlight w:val="none"/>
                      <w:shd w:val="clear" w:color="auto" w:fill="FFFFFF"/>
                      <w14:textFill>
                        <w14:solidFill>
                          <w14:schemeClr w14:val="tx1"/>
                        </w14:solidFill>
                      </w14:textFill>
                    </w:rPr>
                  </w:pPr>
                  <w:r>
                    <w:rPr>
                      <w:rFonts w:hint="default"/>
                      <w:color w:val="000000" w:themeColor="text1"/>
                      <w:sz w:val="21"/>
                      <w:szCs w:val="21"/>
                      <w:highlight w:val="none"/>
                      <w:shd w:val="clear" w:color="auto" w:fill="FFFFFF"/>
                      <w14:textFill>
                        <w14:solidFill>
                          <w14:schemeClr w14:val="tx1"/>
                        </w14:solidFill>
                      </w14:textFill>
                    </w:rPr>
                    <w:t>贮存场、填埋场不得选在江河、湖泊、运河、渠道、水库最高水位线以下的滩地和岸坡，以及国家和地方长远规划中的水库等人工蓄水设施的淹没区和保护区之内。</w:t>
                  </w:r>
                </w:p>
              </w:tc>
              <w:tc>
                <w:tcPr>
                  <w:tcW w:w="2298" w:type="pct"/>
                  <w:tcBorders>
                    <w:top w:val="single" w:color="auto" w:sz="4" w:space="0"/>
                    <w:left w:val="single" w:color="auto" w:sz="4" w:space="0"/>
                    <w:bottom w:val="single" w:color="auto" w:sz="4" w:space="0"/>
                    <w:right w:val="single" w:color="auto" w:sz="4" w:space="0"/>
                  </w:tcBorders>
                  <w:vAlign w:val="center"/>
                </w:tcPr>
                <w:p w14:paraId="5A86F04D">
                  <w:pPr>
                    <w:keepNext w:val="0"/>
                    <w:keepLines w:val="0"/>
                    <w:suppressLineNumbers w:val="0"/>
                    <w:spacing w:before="0" w:beforeAutospacing="0" w:after="0" w:afterAutospacing="0"/>
                    <w:ind w:left="0" w:right="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项目选址不属于</w:t>
                  </w:r>
                  <w:r>
                    <w:rPr>
                      <w:rFonts w:hint="default"/>
                      <w:color w:val="000000" w:themeColor="text1"/>
                      <w:sz w:val="21"/>
                      <w:szCs w:val="21"/>
                      <w:highlight w:val="none"/>
                      <w14:textFill>
                        <w14:solidFill>
                          <w14:schemeClr w14:val="tx1"/>
                        </w14:solidFill>
                      </w14:textFill>
                    </w:rPr>
                    <w:t>江河、湖泊、运河、渠道、水库最高水位线以下的滩地和岸坡，以及国家和地方长远规划中的水库等人工蓄水设施的淹没区和保护区之内</w:t>
                  </w:r>
                  <w:r>
                    <w:rPr>
                      <w:rFonts w:hint="eastAsia"/>
                      <w:color w:val="000000" w:themeColor="text1"/>
                      <w:sz w:val="21"/>
                      <w:szCs w:val="21"/>
                      <w:highlight w:val="none"/>
                      <w:lang w:eastAsia="zh-CN"/>
                      <w14:textFill>
                        <w14:solidFill>
                          <w14:schemeClr w14:val="tx1"/>
                        </w14:solidFill>
                      </w14:textFill>
                    </w:rPr>
                    <w:t>。</w:t>
                  </w:r>
                </w:p>
              </w:tc>
              <w:tc>
                <w:tcPr>
                  <w:tcW w:w="542" w:type="pct"/>
                  <w:tcBorders>
                    <w:top w:val="single" w:color="auto" w:sz="4" w:space="0"/>
                    <w:left w:val="single" w:color="auto" w:sz="4" w:space="0"/>
                    <w:bottom w:val="single" w:color="auto" w:sz="4" w:space="0"/>
                    <w:right w:val="single" w:color="auto" w:sz="4" w:space="0"/>
                  </w:tcBorders>
                  <w:vAlign w:val="center"/>
                </w:tcPr>
                <w:p w14:paraId="6CEDD374">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符合</w:t>
                  </w:r>
                </w:p>
              </w:tc>
            </w:tr>
          </w:tbl>
          <w:p w14:paraId="396DD5ED">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综上，项目的场址选择以及防渗技术要求均符合GB 18599-2020《一般工业固体废物贮存、处置场污染控制标准》Ⅱ类固废处置场要求。</w:t>
            </w:r>
          </w:p>
          <w:p w14:paraId="4C793EB2">
            <w:pPr>
              <w:pStyle w:val="105"/>
              <w:keepNext w:val="0"/>
              <w:keepLines w:val="0"/>
              <w:suppressLineNumbers w:val="0"/>
              <w:spacing w:before="0" w:beforeAutospacing="0" w:after="0" w:afterAutospacing="0" w:line="360" w:lineRule="auto"/>
              <w:ind w:left="0" w:right="0" w:firstLine="482"/>
              <w:jc w:val="both"/>
              <w:rPr>
                <w:rFonts w:hint="default"/>
                <w:b/>
                <w:bCs/>
                <w:color w:val="000000" w:themeColor="text1"/>
                <w:sz w:val="24"/>
                <w:szCs w:val="24"/>
                <w:highlight w:val="none"/>
                <w:shd w:val="clear" w:color="auto" w:fill="FFFFFF"/>
                <w:lang w:eastAsia="zh-CN"/>
                <w14:textFill>
                  <w14:solidFill>
                    <w14:schemeClr w14:val="tx1"/>
                  </w14:solidFill>
                </w14:textFill>
              </w:rPr>
            </w:pPr>
            <w:r>
              <w:rPr>
                <w:rFonts w:hint="default" w:ascii="Times New Roman" w:hAnsi="Times New Roman"/>
                <w:b/>
                <w:color w:val="000000" w:themeColor="text1"/>
                <w:sz w:val="24"/>
                <w:szCs w:val="24"/>
                <w:highlight w:val="none"/>
                <w:lang w:eastAsia="zh-CN"/>
                <w14:textFill>
                  <w14:solidFill>
                    <w14:schemeClr w14:val="tx1"/>
                  </w14:solidFill>
                </w14:textFill>
              </w:rPr>
              <w:t>1</w:t>
            </w:r>
            <w:r>
              <w:rPr>
                <w:rFonts w:hint="eastAsia" w:ascii="Times New Roman" w:hAnsi="Times New Roman"/>
                <w:b/>
                <w:color w:val="000000" w:themeColor="text1"/>
                <w:sz w:val="24"/>
                <w:szCs w:val="24"/>
                <w:highlight w:val="none"/>
                <w:lang w:eastAsia="zh-CN"/>
                <w14:textFill>
                  <w14:solidFill>
                    <w14:schemeClr w14:val="tx1"/>
                  </w14:solidFill>
                </w14:textFill>
              </w:rPr>
              <w:t>4</w:t>
            </w:r>
            <w:r>
              <w:rPr>
                <w:rFonts w:hint="eastAsia" w:ascii="Times New Roman" w:hAnsi="Times New Roman"/>
                <w:b/>
                <w:color w:val="000000" w:themeColor="text1"/>
                <w:sz w:val="24"/>
                <w:szCs w:val="24"/>
                <w:highlight w:val="none"/>
                <w:lang w:val="en-US" w:eastAsia="zh-CN"/>
                <w14:textFill>
                  <w14:solidFill>
                    <w14:schemeClr w14:val="tx1"/>
                  </w14:solidFill>
                </w14:textFill>
              </w:rPr>
              <w:t>.</w:t>
            </w:r>
            <w:r>
              <w:rPr>
                <w:rFonts w:hint="default" w:ascii="Times New Roman" w:hAnsi="Times New Roman"/>
                <w:b/>
                <w:color w:val="000000" w:themeColor="text1"/>
                <w:sz w:val="24"/>
                <w:szCs w:val="24"/>
                <w:highlight w:val="none"/>
                <w:lang w:eastAsia="zh-CN"/>
                <w14:textFill>
                  <w14:solidFill>
                    <w14:schemeClr w14:val="tx1"/>
                  </w14:solidFill>
                </w14:textFill>
              </w:rPr>
              <w:t>与《</w:t>
            </w:r>
            <w:r>
              <w:rPr>
                <w:rFonts w:hint="eastAsia" w:ascii="Times New Roman" w:hAnsi="Times New Roman"/>
                <w:b/>
                <w:color w:val="000000" w:themeColor="text1"/>
                <w:sz w:val="24"/>
                <w:szCs w:val="24"/>
                <w:highlight w:val="none"/>
                <w:lang w:eastAsia="zh-CN"/>
                <w14:textFill>
                  <w14:solidFill>
                    <w14:schemeClr w14:val="tx1"/>
                  </w14:solidFill>
                </w14:textFill>
              </w:rPr>
              <w:t>云南省固体废物污染环境防治条例</w:t>
            </w:r>
            <w:r>
              <w:rPr>
                <w:rFonts w:hint="default" w:ascii="Times New Roman" w:hAnsi="Times New Roman"/>
                <w:b/>
                <w:color w:val="000000" w:themeColor="text1"/>
                <w:sz w:val="24"/>
                <w:szCs w:val="24"/>
                <w:highlight w:val="none"/>
                <w:lang w:eastAsia="zh-CN"/>
                <w14:textFill>
                  <w14:solidFill>
                    <w14:schemeClr w14:val="tx1"/>
                  </w14:solidFill>
                </w14:textFill>
              </w:rPr>
              <w:t>》</w:t>
            </w:r>
            <w:r>
              <w:rPr>
                <w:rFonts w:hint="eastAsia"/>
                <w:b/>
                <w:color w:val="000000" w:themeColor="text1"/>
                <w:sz w:val="24"/>
                <w:szCs w:val="24"/>
                <w:highlight w:val="none"/>
                <w:lang w:eastAsia="zh-CN"/>
                <w14:textFill>
                  <w14:solidFill>
                    <w14:schemeClr w14:val="tx1"/>
                  </w14:solidFill>
                </w14:textFill>
              </w:rPr>
              <w:t>相符性分析</w:t>
            </w:r>
          </w:p>
          <w:p w14:paraId="1A4BBD08">
            <w:pPr>
              <w:keepNext w:val="0"/>
              <w:keepLines w:val="0"/>
              <w:suppressLineNumbers w:val="0"/>
              <w:spacing w:before="0" w:beforeAutospacing="0" w:after="0" w:afterAutospacing="0"/>
              <w:ind w:left="0" w:right="0"/>
              <w:jc w:val="center"/>
              <w:rPr>
                <w:rFonts w:hint="default"/>
                <w:b/>
                <w:bCs/>
                <w:color w:val="000000" w:themeColor="text1"/>
                <w:sz w:val="24"/>
                <w:szCs w:val="20"/>
                <w:highlight w:val="none"/>
                <w:shd w:val="clear" w:color="auto" w:fill="FFFFFF"/>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表1</w:t>
            </w:r>
            <w:r>
              <w:rPr>
                <w:rFonts w:hint="eastAsia"/>
                <w:b/>
                <w:bCs/>
                <w:color w:val="000000" w:themeColor="text1"/>
                <w:sz w:val="24"/>
                <w:szCs w:val="20"/>
                <w:highlight w:val="none"/>
                <w14:textFill>
                  <w14:solidFill>
                    <w14:schemeClr w14:val="tx1"/>
                  </w14:solidFill>
                </w14:textFill>
              </w:rPr>
              <w:t>-1</w:t>
            </w:r>
            <w:r>
              <w:rPr>
                <w:rFonts w:hint="eastAsia"/>
                <w:b/>
                <w:bCs/>
                <w:color w:val="000000" w:themeColor="text1"/>
                <w:sz w:val="24"/>
                <w:szCs w:val="20"/>
                <w:highlight w:val="none"/>
                <w:lang w:val="en-US" w:eastAsia="zh-CN"/>
                <w14:textFill>
                  <w14:solidFill>
                    <w14:schemeClr w14:val="tx1"/>
                  </w14:solidFill>
                </w14:textFill>
              </w:rPr>
              <w:t>5</w:t>
            </w:r>
            <w:r>
              <w:rPr>
                <w:rFonts w:hint="eastAsia"/>
                <w:b/>
                <w:bCs/>
                <w:color w:val="000000" w:themeColor="text1"/>
                <w:sz w:val="24"/>
                <w:szCs w:val="20"/>
                <w:highlight w:val="none"/>
                <w14:textFill>
                  <w14:solidFill>
                    <w14:schemeClr w14:val="tx1"/>
                  </w14:solidFill>
                </w14:textFill>
              </w:rPr>
              <w:t xml:space="preserve">  </w:t>
            </w:r>
            <w:r>
              <w:rPr>
                <w:rFonts w:hint="default"/>
                <w:b/>
                <w:color w:val="000000" w:themeColor="text1"/>
                <w:sz w:val="24"/>
                <w:szCs w:val="20"/>
                <w:highlight w:val="none"/>
                <w14:textFill>
                  <w14:solidFill>
                    <w14:schemeClr w14:val="tx1"/>
                  </w14:solidFill>
                </w14:textFill>
              </w:rPr>
              <w:t>项目与《</w:t>
            </w:r>
            <w:r>
              <w:rPr>
                <w:rFonts w:hint="eastAsia"/>
                <w:b/>
                <w:color w:val="000000" w:themeColor="text1"/>
                <w:sz w:val="24"/>
                <w:szCs w:val="20"/>
                <w:highlight w:val="none"/>
                <w14:textFill>
                  <w14:solidFill>
                    <w14:schemeClr w14:val="tx1"/>
                  </w14:solidFill>
                </w14:textFill>
              </w:rPr>
              <w:t>云南省固体废物污染环境防治条例</w:t>
            </w:r>
            <w:r>
              <w:rPr>
                <w:rFonts w:hint="default"/>
                <w:b/>
                <w:color w:val="000000" w:themeColor="text1"/>
                <w:sz w:val="24"/>
                <w:szCs w:val="20"/>
                <w:highlight w:val="none"/>
                <w14:textFill>
                  <w14:solidFill>
                    <w14:schemeClr w14:val="tx1"/>
                  </w14:solidFill>
                </w14:textFill>
              </w:rPr>
              <w:t>》</w:t>
            </w:r>
            <w:r>
              <w:rPr>
                <w:rFonts w:hint="eastAsia"/>
                <w:b/>
                <w:color w:val="000000" w:themeColor="text1"/>
                <w:sz w:val="24"/>
                <w:szCs w:val="20"/>
                <w:highlight w:val="none"/>
                <w14:textFill>
                  <w14:solidFill>
                    <w14:schemeClr w14:val="tx1"/>
                  </w14:solidFill>
                </w14:textFill>
              </w:rPr>
              <w:t>相符性</w:t>
            </w:r>
            <w:r>
              <w:rPr>
                <w:rFonts w:hint="default"/>
                <w:b/>
                <w:color w:val="000000" w:themeColor="text1"/>
                <w:sz w:val="24"/>
                <w:szCs w:val="20"/>
                <w:highlight w:val="none"/>
                <w14:textFill>
                  <w14:solidFill>
                    <w14:schemeClr w14:val="tx1"/>
                  </w14:solidFill>
                </w14:textFill>
              </w:rPr>
              <w:t>分析</w:t>
            </w:r>
          </w:p>
          <w:tbl>
            <w:tblPr>
              <w:tblStyle w:val="4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9"/>
              <w:gridCol w:w="3487"/>
              <w:gridCol w:w="738"/>
            </w:tblGrid>
            <w:tr w14:paraId="5F6F4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4"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41999141">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相关</w:t>
                  </w:r>
                  <w:r>
                    <w:rPr>
                      <w:rFonts w:hint="default" w:ascii="宋体" w:hAnsi="宋体"/>
                      <w:b/>
                      <w:bCs/>
                      <w:color w:val="000000" w:themeColor="text1"/>
                      <w:sz w:val="21"/>
                      <w:szCs w:val="21"/>
                      <w:highlight w:val="none"/>
                      <w14:textFill>
                        <w14:solidFill>
                          <w14:schemeClr w14:val="tx1"/>
                        </w14:solidFill>
                      </w14:textFill>
                    </w:rPr>
                    <w:t>要求</w:t>
                  </w:r>
                </w:p>
              </w:tc>
              <w:tc>
                <w:tcPr>
                  <w:tcW w:w="2127" w:type="pct"/>
                  <w:tcBorders>
                    <w:top w:val="single" w:color="auto" w:sz="4" w:space="0"/>
                    <w:left w:val="single" w:color="auto" w:sz="4" w:space="0"/>
                    <w:bottom w:val="single" w:color="auto" w:sz="4" w:space="0"/>
                    <w:right w:val="single" w:color="auto" w:sz="4" w:space="0"/>
                  </w:tcBorders>
                  <w:vAlign w:val="center"/>
                </w:tcPr>
                <w:p w14:paraId="4844137A">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拟建项目的</w:t>
                  </w:r>
                  <w:r>
                    <w:rPr>
                      <w:rFonts w:hint="eastAsia" w:ascii="宋体" w:hAnsi="宋体"/>
                      <w:b/>
                      <w:bCs/>
                      <w:color w:val="000000" w:themeColor="text1"/>
                      <w:sz w:val="21"/>
                      <w:szCs w:val="21"/>
                      <w:highlight w:val="none"/>
                      <w14:textFill>
                        <w14:solidFill>
                          <w14:schemeClr w14:val="tx1"/>
                        </w14:solidFill>
                      </w14:textFill>
                    </w:rPr>
                    <w:t>情况</w:t>
                  </w:r>
                </w:p>
              </w:tc>
              <w:tc>
                <w:tcPr>
                  <w:tcW w:w="450" w:type="pct"/>
                  <w:tcBorders>
                    <w:top w:val="single" w:color="auto" w:sz="4" w:space="0"/>
                    <w:left w:val="single" w:color="auto" w:sz="4" w:space="0"/>
                    <w:bottom w:val="single" w:color="auto" w:sz="4" w:space="0"/>
                    <w:right w:val="single" w:color="auto" w:sz="4" w:space="0"/>
                  </w:tcBorders>
                  <w:vAlign w:val="center"/>
                </w:tcPr>
                <w:p w14:paraId="6C1F6C5F">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符合性</w:t>
                  </w:r>
                </w:p>
              </w:tc>
            </w:tr>
            <w:tr w14:paraId="60DEC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1" w:type="pct"/>
                  <w:tcBorders>
                    <w:top w:val="single" w:color="auto" w:sz="4" w:space="0"/>
                    <w:left w:val="single" w:color="auto" w:sz="4" w:space="0"/>
                    <w:bottom w:val="single" w:color="auto" w:sz="4" w:space="0"/>
                    <w:right w:val="single" w:color="auto" w:sz="4" w:space="0"/>
                  </w:tcBorders>
                  <w:vAlign w:val="center"/>
                </w:tcPr>
                <w:p w14:paraId="6E10EAB1">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生产者、销售者、进口者、使用者应当在国家规定的期限内，分别停止生产、销售、进口或者使用列入前款规定名录中的设备。生产工艺的采用者应当在国家规定的期限内，停止采用列入前款规定名录中的工艺。</w:t>
                  </w:r>
                </w:p>
                <w:p w14:paraId="2A7732D8">
                  <w:pPr>
                    <w:keepNext w:val="0"/>
                    <w:keepLines w:val="0"/>
                    <w:suppressLineNumbers w:val="0"/>
                    <w:spacing w:before="0" w:beforeAutospacing="0" w:after="0" w:afterAutospacing="0"/>
                    <w:ind w:left="0" w:right="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列入限期淘汰名录被淘汰的设备，不得转让给他人使用。</w:t>
                  </w:r>
                </w:p>
              </w:tc>
              <w:tc>
                <w:tcPr>
                  <w:tcW w:w="2127" w:type="pct"/>
                  <w:tcBorders>
                    <w:top w:val="single" w:color="auto" w:sz="4" w:space="0"/>
                    <w:left w:val="single" w:color="auto" w:sz="4" w:space="0"/>
                    <w:bottom w:val="single" w:color="auto" w:sz="4" w:space="0"/>
                    <w:right w:val="single" w:color="auto" w:sz="4" w:space="0"/>
                  </w:tcBorders>
                  <w:vAlign w:val="center"/>
                </w:tcPr>
                <w:p w14:paraId="615A011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w:t>
                  </w:r>
                  <w:r>
                    <w:rPr>
                      <w:rFonts w:hint="eastAsia" w:ascii="宋体" w:hAnsi="宋体"/>
                      <w:color w:val="000000" w:themeColor="text1"/>
                      <w:sz w:val="21"/>
                      <w:szCs w:val="21"/>
                      <w:highlight w:val="none"/>
                      <w14:textFill>
                        <w14:solidFill>
                          <w14:schemeClr w14:val="tx1"/>
                        </w14:solidFill>
                      </w14:textFill>
                    </w:rPr>
                    <w:t>利用</w:t>
                  </w:r>
                  <w:r>
                    <w:rPr>
                      <w:rFonts w:hint="default" w:ascii="宋体" w:hAnsi="宋体"/>
                      <w:color w:val="000000" w:themeColor="text1"/>
                      <w:sz w:val="21"/>
                      <w:szCs w:val="21"/>
                      <w:highlight w:val="none"/>
                      <w14:textFill>
                        <w14:solidFill>
                          <w14:schemeClr w14:val="tx1"/>
                        </w14:solidFill>
                      </w14:textFill>
                    </w:rPr>
                    <w:t>磷石膏进行生态修复材料的</w:t>
                  </w:r>
                  <w:r>
                    <w:rPr>
                      <w:rFonts w:hint="default"/>
                      <w:color w:val="000000" w:themeColor="text1"/>
                      <w:sz w:val="21"/>
                      <w:szCs w:val="21"/>
                      <w:highlight w:val="none"/>
                      <w14:textFill>
                        <w14:solidFill>
                          <w14:schemeClr w14:val="tx1"/>
                        </w14:solidFill>
                      </w14:textFill>
                    </w:rPr>
                    <w:t>生产</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不</w:t>
                  </w:r>
                  <w:r>
                    <w:rPr>
                      <w:rFonts w:hint="eastAsia" w:ascii="宋体" w:hAnsi="宋体"/>
                      <w:color w:val="000000" w:themeColor="text1"/>
                      <w:sz w:val="21"/>
                      <w:szCs w:val="21"/>
                      <w:highlight w:val="none"/>
                      <w14:textFill>
                        <w14:solidFill>
                          <w14:schemeClr w14:val="tx1"/>
                        </w14:solidFill>
                      </w14:textFill>
                    </w:rPr>
                    <w:t>生产、销售、进口或者使用列入前款规定名录中的设备；不采用列入前款规定名录中的工艺；</w:t>
                  </w:r>
                </w:p>
                <w:p w14:paraId="681318B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不使用列入限期淘汰名录被淘汰的设备，不转让设备给他人使用。</w:t>
                  </w:r>
                </w:p>
              </w:tc>
              <w:tc>
                <w:tcPr>
                  <w:tcW w:w="450" w:type="pct"/>
                  <w:tcBorders>
                    <w:top w:val="single" w:color="auto" w:sz="4" w:space="0"/>
                    <w:left w:val="single" w:color="auto" w:sz="4" w:space="0"/>
                    <w:bottom w:val="single" w:color="auto" w:sz="4" w:space="0"/>
                    <w:right w:val="single" w:color="auto" w:sz="4" w:space="0"/>
                  </w:tcBorders>
                  <w:vAlign w:val="center"/>
                </w:tcPr>
                <w:p w14:paraId="5B64B864">
                  <w:pPr>
                    <w:keepNext w:val="0"/>
                    <w:keepLines w:val="0"/>
                    <w:suppressLineNumbers w:val="0"/>
                    <w:spacing w:before="0" w:beforeAutospacing="0" w:after="0" w:afterAutospacing="0"/>
                    <w:ind w:left="0" w:right="0"/>
                    <w:jc w:val="both"/>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61EE2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333F06A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鼓励产生工业固体废物的开发区、工业园区配套建设或者就近依托其他符合标准的处置设施，保障园区产生的工业固体废物安全处置。</w:t>
                  </w:r>
                </w:p>
              </w:tc>
              <w:tc>
                <w:tcPr>
                  <w:tcW w:w="2127" w:type="pct"/>
                  <w:tcBorders>
                    <w:top w:val="single" w:color="auto" w:sz="4" w:space="0"/>
                    <w:left w:val="single" w:color="auto" w:sz="4" w:space="0"/>
                    <w:bottom w:val="single" w:color="auto" w:sz="4" w:space="0"/>
                    <w:right w:val="single" w:color="auto" w:sz="4" w:space="0"/>
                  </w:tcBorders>
                  <w:vAlign w:val="center"/>
                </w:tcPr>
                <w:p w14:paraId="2B16B975">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本项目为磷石膏</w:t>
                  </w:r>
                  <w:r>
                    <w:rPr>
                      <w:rFonts w:hint="eastAsia"/>
                      <w:color w:val="000000" w:themeColor="text1"/>
                      <w:sz w:val="21"/>
                      <w:szCs w:val="21"/>
                      <w:highlight w:val="none"/>
                      <w:lang w:val="en-US" w:eastAsia="zh-CN"/>
                      <w14:textFill>
                        <w14:solidFill>
                          <w14:schemeClr w14:val="tx1"/>
                        </w14:solidFill>
                      </w14:textFill>
                    </w:rPr>
                    <w:t>改性</w:t>
                  </w:r>
                  <w:r>
                    <w:rPr>
                      <w:rFonts w:hint="eastAsia"/>
                      <w:color w:val="000000" w:themeColor="text1"/>
                      <w:sz w:val="21"/>
                      <w:szCs w:val="21"/>
                      <w:highlight w:val="none"/>
                      <w14:textFill>
                        <w14:solidFill>
                          <w14:schemeClr w14:val="tx1"/>
                        </w14:solidFill>
                      </w14:textFill>
                    </w:rPr>
                    <w:t>工程，改性车间采用全封闭钢结构厂房，物料堆存于厂房内；待检区堆体采用密目网苫盖，配置雾炮降尘，满足防尘、防渗要求。</w:t>
                  </w:r>
                </w:p>
              </w:tc>
              <w:tc>
                <w:tcPr>
                  <w:tcW w:w="450" w:type="pct"/>
                  <w:tcBorders>
                    <w:top w:val="single" w:color="auto" w:sz="4" w:space="0"/>
                    <w:left w:val="single" w:color="auto" w:sz="4" w:space="0"/>
                    <w:bottom w:val="single" w:color="auto" w:sz="4" w:space="0"/>
                    <w:right w:val="single" w:color="auto" w:sz="4" w:space="0"/>
                  </w:tcBorders>
                  <w:vAlign w:val="center"/>
                </w:tcPr>
                <w:p w14:paraId="581D8B7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7E682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041F1232">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产生工业固体废物的单位应当建立健全工业固体废物产生、收集、贮存、运输、利用、处置全过程的污染环境防治责任制度，按照国家有关规定建立工业固体废物管理台账，如实记录产生工业固体废物的种类、时间、数量、流向、贮存、利用、处置等信息，并采取防治工业固体废物污染环境的措施。工业固体废物管理台账应当保存5年以上。</w:t>
                  </w:r>
                </w:p>
                <w:p w14:paraId="61559090">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鼓励产生工业固体废物的单位在固体废物产生场所、贮存场所及计量设备等关键点位设置视频监控，提高台账记录信息的准确性。</w:t>
                  </w:r>
                </w:p>
                <w:p w14:paraId="608A3D14">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禁止向生活垃圾收集设施中投放工业固体废物。</w:t>
                  </w:r>
                </w:p>
              </w:tc>
              <w:tc>
                <w:tcPr>
                  <w:tcW w:w="2127" w:type="pct"/>
                  <w:tcBorders>
                    <w:top w:val="single" w:color="auto" w:sz="4" w:space="0"/>
                    <w:left w:val="single" w:color="auto" w:sz="4" w:space="0"/>
                    <w:bottom w:val="single" w:color="auto" w:sz="4" w:space="0"/>
                    <w:right w:val="single" w:color="auto" w:sz="4" w:space="0"/>
                  </w:tcBorders>
                  <w:vAlign w:val="center"/>
                </w:tcPr>
                <w:p w14:paraId="3527BA6E">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本次环评提出</w:t>
                  </w:r>
                  <w:r>
                    <w:rPr>
                      <w:rFonts w:hint="eastAsia"/>
                      <w:color w:val="000000" w:themeColor="text1"/>
                      <w:sz w:val="21"/>
                      <w:szCs w:val="21"/>
                      <w:highlight w:val="none"/>
                      <w:shd w:val="clear" w:color="auto" w:fill="FFFFFF"/>
                      <w:lang w:val="en-US" w:eastAsia="zh-CN"/>
                      <w14:textFill>
                        <w14:solidFill>
                          <w14:schemeClr w14:val="tx1"/>
                        </w14:solidFill>
                      </w14:textFill>
                    </w:rPr>
                    <w:t>项目应按照要求制作</w:t>
                  </w:r>
                  <w:r>
                    <w:rPr>
                      <w:rFonts w:hint="eastAsia"/>
                      <w:color w:val="000000" w:themeColor="text1"/>
                      <w:sz w:val="21"/>
                      <w:szCs w:val="21"/>
                      <w:highlight w:val="none"/>
                      <w:shd w:val="clear" w:color="auto" w:fill="FFFFFF"/>
                      <w14:textFill>
                        <w14:solidFill>
                          <w14:schemeClr w14:val="tx1"/>
                        </w14:solidFill>
                      </w14:textFill>
                    </w:rPr>
                    <w:t>工业固体废物管理台账，要如实记录产生工业固体废物的种类、时间、数量、流向、贮存、利用、处置等信息，并采取防治工业固体废物污染环境的措施；工业固体废物管理台账应当保存5年以上。</w:t>
                  </w:r>
                </w:p>
                <w:p w14:paraId="195AFD54">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本次环评提出禁止向生活垃圾收集设施中投放工业固体废物。</w:t>
                  </w:r>
                </w:p>
              </w:tc>
              <w:tc>
                <w:tcPr>
                  <w:tcW w:w="450" w:type="pct"/>
                  <w:tcBorders>
                    <w:top w:val="single" w:color="auto" w:sz="4" w:space="0"/>
                    <w:left w:val="single" w:color="auto" w:sz="4" w:space="0"/>
                    <w:bottom w:val="single" w:color="auto" w:sz="4" w:space="0"/>
                    <w:right w:val="single" w:color="auto" w:sz="4" w:space="0"/>
                  </w:tcBorders>
                  <w:vAlign w:val="center"/>
                </w:tcPr>
                <w:p w14:paraId="51AFE37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08F7F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06AD83C2">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产生工业固体废物的单位委托他人运输、利用、处置工业固体废物的，应当对受托方的主体资格和技术能力进行核实，依法签订书面合同，在合同中约定污染防治要求。</w:t>
                  </w:r>
                </w:p>
                <w:p w14:paraId="617B45E6">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受托方运输、利用、处置工业固体废物，应当依照有关法律法规的规定和合同约定履行污染防治要求，并将运输、利用、处置情况告知产生工业固体废物的单位。</w:t>
                  </w:r>
                </w:p>
                <w:p w14:paraId="19EA3A5A">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产生工业固体废物的单位违反本条第一款规定的，除依照有关法律法规的规定予以处罚外，还应当与造成环境污染和生态破坏的受托方承担连带责任。</w:t>
                  </w:r>
                </w:p>
              </w:tc>
              <w:tc>
                <w:tcPr>
                  <w:tcW w:w="2127" w:type="pct"/>
                  <w:tcBorders>
                    <w:top w:val="single" w:color="auto" w:sz="4" w:space="0"/>
                    <w:left w:val="single" w:color="auto" w:sz="4" w:space="0"/>
                    <w:bottom w:val="single" w:color="auto" w:sz="4" w:space="0"/>
                    <w:right w:val="single" w:color="auto" w:sz="4" w:space="0"/>
                  </w:tcBorders>
                  <w:vAlign w:val="center"/>
                </w:tcPr>
                <w:p w14:paraId="262D23C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项目运营期不委托他人处置工业固体废物；改性后磷石膏运输由建设单位统一组织，运输单位具备相应资质，签订运输合同并约定污染防治要求。</w:t>
                  </w:r>
                </w:p>
              </w:tc>
              <w:tc>
                <w:tcPr>
                  <w:tcW w:w="450" w:type="pct"/>
                  <w:tcBorders>
                    <w:top w:val="single" w:color="auto" w:sz="4" w:space="0"/>
                    <w:left w:val="single" w:color="auto" w:sz="4" w:space="0"/>
                    <w:bottom w:val="single" w:color="auto" w:sz="4" w:space="0"/>
                    <w:right w:val="single" w:color="auto" w:sz="4" w:space="0"/>
                  </w:tcBorders>
                  <w:vAlign w:val="center"/>
                </w:tcPr>
                <w:p w14:paraId="719D8099">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26BEC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76AAD441">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产生工业固体废物的单位应当依法实施清洁生产审核，合理选择和利用原材料、能源和其他资源，采用先进的生产工艺和设备，减少工业固体废物的产生量，降低工业固体废物的危害性。</w:t>
                  </w:r>
                </w:p>
                <w:p w14:paraId="410DC68F">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产生工业固体废物的单位应当根据经济、技术条件对工业固体废物加以利用；对暂时不利用或者不能利用的，应当按照国家规定建设贮存设施、场所，安全分类存放，或者采取无害化处置措施。</w:t>
                  </w:r>
                </w:p>
                <w:p w14:paraId="526BB320">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贮存工业固体废物应当采取符合国家环境保护标准的防护措施。建设工业固体废物贮存、处置的设施、场所，应当符合国家环境保护标准。</w:t>
                  </w:r>
                </w:p>
              </w:tc>
              <w:tc>
                <w:tcPr>
                  <w:tcW w:w="2127" w:type="pct"/>
                  <w:tcBorders>
                    <w:top w:val="single" w:color="auto" w:sz="4" w:space="0"/>
                    <w:left w:val="single" w:color="auto" w:sz="4" w:space="0"/>
                    <w:bottom w:val="single" w:color="auto" w:sz="4" w:space="0"/>
                    <w:right w:val="single" w:color="auto" w:sz="4" w:space="0"/>
                  </w:tcBorders>
                  <w:vAlign w:val="center"/>
                </w:tcPr>
                <w:p w14:paraId="54E2391E">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w:t>
                  </w:r>
                  <w:r>
                    <w:rPr>
                      <w:rFonts w:hint="eastAsia" w:ascii="宋体" w:hAnsi="宋体"/>
                      <w:color w:val="000000" w:themeColor="text1"/>
                      <w:sz w:val="21"/>
                      <w:szCs w:val="21"/>
                      <w:highlight w:val="none"/>
                      <w14:textFill>
                        <w14:solidFill>
                          <w14:schemeClr w14:val="tx1"/>
                        </w14:solidFill>
                      </w14:textFill>
                    </w:rPr>
                    <w:t>利用</w:t>
                  </w:r>
                  <w:r>
                    <w:rPr>
                      <w:rFonts w:hint="default" w:ascii="宋体" w:hAnsi="宋体"/>
                      <w:color w:val="000000" w:themeColor="text1"/>
                      <w:sz w:val="21"/>
                      <w:szCs w:val="21"/>
                      <w:highlight w:val="none"/>
                      <w14:textFill>
                        <w14:solidFill>
                          <w14:schemeClr w14:val="tx1"/>
                        </w14:solidFill>
                      </w14:textFill>
                    </w:rPr>
                    <w:t>磷石膏进行生态修复材料的</w:t>
                  </w:r>
                  <w:r>
                    <w:rPr>
                      <w:rFonts w:hint="default"/>
                      <w:color w:val="000000" w:themeColor="text1"/>
                      <w:sz w:val="21"/>
                      <w:szCs w:val="21"/>
                      <w:highlight w:val="none"/>
                      <w14:textFill>
                        <w14:solidFill>
                          <w14:schemeClr w14:val="tx1"/>
                        </w14:solidFill>
                      </w14:textFill>
                    </w:rPr>
                    <w:t>生产，</w:t>
                  </w:r>
                  <w:r>
                    <w:rPr>
                      <w:rFonts w:hint="eastAsia"/>
                      <w:color w:val="000000" w:themeColor="text1"/>
                      <w:sz w:val="21"/>
                      <w:szCs w:val="21"/>
                      <w:highlight w:val="none"/>
                      <w:shd w:val="clear" w:color="auto" w:fill="FFFFFF"/>
                      <w14:textFill>
                        <w14:solidFill>
                          <w14:schemeClr w14:val="tx1"/>
                        </w14:solidFill>
                      </w14:textFill>
                    </w:rPr>
                    <w:t>减少了工业固体废物的产生量，降低了工业固体废物长期堆存、新增占地环境危害性的危害性。</w:t>
                  </w:r>
                </w:p>
              </w:tc>
              <w:tc>
                <w:tcPr>
                  <w:tcW w:w="450" w:type="pct"/>
                  <w:tcBorders>
                    <w:top w:val="single" w:color="auto" w:sz="4" w:space="0"/>
                    <w:left w:val="single" w:color="auto" w:sz="4" w:space="0"/>
                    <w:bottom w:val="single" w:color="auto" w:sz="4" w:space="0"/>
                    <w:right w:val="single" w:color="auto" w:sz="4" w:space="0"/>
                  </w:tcBorders>
                  <w:vAlign w:val="center"/>
                </w:tcPr>
                <w:p w14:paraId="13F401A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3D8BA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636EEC27">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产生工业固体废物的单位应当依法取得排污许可证，向所在地生态环境主管部门提供工业固体废物的种类、数量、流向、贮存、利用、处置等有关资料，以及减少工业固体废物产生、促进综合利用的具体措施，并执行排污许可管理制度的相关规定。</w:t>
                  </w:r>
                </w:p>
              </w:tc>
              <w:tc>
                <w:tcPr>
                  <w:tcW w:w="2127" w:type="pct"/>
                  <w:tcBorders>
                    <w:top w:val="single" w:color="auto" w:sz="4" w:space="0"/>
                    <w:left w:val="single" w:color="auto" w:sz="4" w:space="0"/>
                    <w:bottom w:val="single" w:color="auto" w:sz="4" w:space="0"/>
                    <w:right w:val="single" w:color="auto" w:sz="4" w:space="0"/>
                  </w:tcBorders>
                  <w:vAlign w:val="center"/>
                </w:tcPr>
                <w:p w14:paraId="7FB4A55D">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项目建设完成后将按照要求</w:t>
                  </w:r>
                  <w:r>
                    <w:rPr>
                      <w:rFonts w:hint="eastAsia"/>
                      <w:color w:val="000000" w:themeColor="text1"/>
                      <w:sz w:val="21"/>
                      <w:szCs w:val="21"/>
                      <w:highlight w:val="none"/>
                      <w:shd w:val="clear" w:color="auto" w:fill="FFFFFF"/>
                      <w14:textFill>
                        <w14:solidFill>
                          <w14:schemeClr w14:val="tx1"/>
                        </w14:solidFill>
                      </w14:textFill>
                    </w:rPr>
                    <w:t>执行排污许可管理制度的相关规定。</w:t>
                  </w:r>
                </w:p>
              </w:tc>
              <w:tc>
                <w:tcPr>
                  <w:tcW w:w="450" w:type="pct"/>
                  <w:tcBorders>
                    <w:top w:val="single" w:color="auto" w:sz="4" w:space="0"/>
                    <w:left w:val="single" w:color="auto" w:sz="4" w:space="0"/>
                    <w:bottom w:val="single" w:color="auto" w:sz="4" w:space="0"/>
                    <w:right w:val="single" w:color="auto" w:sz="4" w:space="0"/>
                  </w:tcBorders>
                  <w:vAlign w:val="center"/>
                </w:tcPr>
                <w:p w14:paraId="1FD3D2E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0BECC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26C220AD">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产生大宗工业固体废物的单位应当采取有效措施，减少大宗工业固体废物的产生量，加强大宗工业固体废物综合利用和无害化处置，制定相关计划逐步消纳大宗工业固体废物历史堆存量。</w:t>
                  </w:r>
                </w:p>
              </w:tc>
              <w:tc>
                <w:tcPr>
                  <w:tcW w:w="2127" w:type="pct"/>
                  <w:tcBorders>
                    <w:top w:val="single" w:color="auto" w:sz="4" w:space="0"/>
                    <w:left w:val="single" w:color="auto" w:sz="4" w:space="0"/>
                    <w:bottom w:val="single" w:color="auto" w:sz="4" w:space="0"/>
                    <w:right w:val="single" w:color="auto" w:sz="4" w:space="0"/>
                  </w:tcBorders>
                  <w:vAlign w:val="center"/>
                </w:tcPr>
                <w:p w14:paraId="4FC79001">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本项目为磷石膏</w:t>
                  </w:r>
                  <w:r>
                    <w:rPr>
                      <w:rFonts w:hint="eastAsia" w:ascii="宋体" w:hAnsi="宋体"/>
                      <w:color w:val="000000" w:themeColor="text1"/>
                      <w:sz w:val="21"/>
                      <w:szCs w:val="21"/>
                      <w:highlight w:val="none"/>
                      <w:lang w:val="en-US" w:eastAsia="zh-CN"/>
                      <w14:textFill>
                        <w14:solidFill>
                          <w14:schemeClr w14:val="tx1"/>
                        </w14:solidFill>
                      </w14:textFill>
                    </w:rPr>
                    <w:t>改性</w:t>
                  </w:r>
                  <w:r>
                    <w:rPr>
                      <w:rFonts w:hint="eastAsia" w:ascii="宋体" w:hAnsi="宋体"/>
                      <w:color w:val="000000" w:themeColor="text1"/>
                      <w:sz w:val="21"/>
                      <w:szCs w:val="21"/>
                      <w:highlight w:val="none"/>
                      <w14:textFill>
                        <w14:solidFill>
                          <w14:schemeClr w14:val="tx1"/>
                        </w14:solidFill>
                      </w14:textFill>
                    </w:rPr>
                    <w:t>工程，通过对存量磷石膏进行无害化改性处理后用于矿山生态修复回填</w:t>
                  </w:r>
                  <w:r>
                    <w:rPr>
                      <w:rFonts w:hint="eastAsia" w:ascii="宋体" w:hAnsi="宋体"/>
                      <w:color w:val="000000" w:themeColor="text1"/>
                      <w:sz w:val="21"/>
                      <w:szCs w:val="21"/>
                      <w:highlight w:val="none"/>
                      <w:lang w:eastAsia="zh-CN"/>
                      <w14:textFill>
                        <w14:solidFill>
                          <w14:schemeClr w14:val="tx1"/>
                        </w14:solidFill>
                      </w14:textFill>
                    </w:rPr>
                    <w:t>。</w:t>
                  </w:r>
                </w:p>
              </w:tc>
              <w:tc>
                <w:tcPr>
                  <w:tcW w:w="450" w:type="pct"/>
                  <w:tcBorders>
                    <w:top w:val="single" w:color="auto" w:sz="4" w:space="0"/>
                    <w:left w:val="single" w:color="auto" w:sz="4" w:space="0"/>
                    <w:bottom w:val="single" w:color="auto" w:sz="4" w:space="0"/>
                    <w:right w:val="single" w:color="auto" w:sz="4" w:space="0"/>
                  </w:tcBorders>
                  <w:vAlign w:val="center"/>
                </w:tcPr>
                <w:p w14:paraId="1B78B8F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bl>
          <w:p w14:paraId="598A9145">
            <w:pPr>
              <w:pStyle w:val="105"/>
              <w:keepNext w:val="0"/>
              <w:keepLines w:val="0"/>
              <w:suppressLineNumbers w:val="0"/>
              <w:spacing w:before="0" w:beforeAutospacing="0" w:after="0" w:afterAutospacing="0" w:line="360" w:lineRule="auto"/>
              <w:ind w:left="0" w:right="0" w:firstLine="482"/>
              <w:jc w:val="both"/>
              <w:rPr>
                <w:rFonts w:hint="default"/>
                <w:b/>
                <w:bCs/>
                <w:color w:val="000000" w:themeColor="text1"/>
                <w:sz w:val="24"/>
                <w:szCs w:val="24"/>
                <w:highlight w:val="none"/>
                <w:shd w:val="clear" w:color="auto" w:fill="FFFFFF"/>
                <w:lang w:eastAsia="zh-CN"/>
                <w14:textFill>
                  <w14:solidFill>
                    <w14:schemeClr w14:val="tx1"/>
                  </w14:solidFill>
                </w14:textFill>
              </w:rPr>
            </w:pPr>
            <w:r>
              <w:rPr>
                <w:rFonts w:hint="default" w:ascii="Times New Roman" w:hAnsi="Times New Roman"/>
                <w:b/>
                <w:color w:val="000000" w:themeColor="text1"/>
                <w:sz w:val="24"/>
                <w:szCs w:val="24"/>
                <w:highlight w:val="none"/>
                <w:lang w:eastAsia="zh-CN"/>
                <w14:textFill>
                  <w14:solidFill>
                    <w14:schemeClr w14:val="tx1"/>
                  </w14:solidFill>
                </w14:textFill>
              </w:rPr>
              <w:t>1</w:t>
            </w:r>
            <w:r>
              <w:rPr>
                <w:rFonts w:hint="eastAsia" w:ascii="Times New Roman" w:hAnsi="Times New Roman"/>
                <w:b/>
                <w:color w:val="000000" w:themeColor="text1"/>
                <w:sz w:val="24"/>
                <w:szCs w:val="24"/>
                <w:highlight w:val="none"/>
                <w:lang w:eastAsia="zh-CN"/>
                <w14:textFill>
                  <w14:solidFill>
                    <w14:schemeClr w14:val="tx1"/>
                  </w14:solidFill>
                </w14:textFill>
              </w:rPr>
              <w:t>5</w:t>
            </w:r>
            <w:r>
              <w:rPr>
                <w:rFonts w:hint="eastAsia" w:ascii="Times New Roman" w:hAnsi="Times New Roman"/>
                <w:b/>
                <w:color w:val="000000" w:themeColor="text1"/>
                <w:sz w:val="24"/>
                <w:szCs w:val="24"/>
                <w:highlight w:val="none"/>
                <w:lang w:val="en-US" w:eastAsia="zh-CN"/>
                <w14:textFill>
                  <w14:solidFill>
                    <w14:schemeClr w14:val="tx1"/>
                  </w14:solidFill>
                </w14:textFill>
              </w:rPr>
              <w:t>.</w:t>
            </w:r>
            <w:r>
              <w:rPr>
                <w:rFonts w:hint="default" w:ascii="Times New Roman" w:hAnsi="Times New Roman"/>
                <w:b/>
                <w:color w:val="000000" w:themeColor="text1"/>
                <w:sz w:val="24"/>
                <w:szCs w:val="24"/>
                <w:highlight w:val="none"/>
                <w:lang w:eastAsia="zh-CN"/>
                <w14:textFill>
                  <w14:solidFill>
                    <w14:schemeClr w14:val="tx1"/>
                  </w14:solidFill>
                </w14:textFill>
              </w:rPr>
              <w:t>与《</w:t>
            </w:r>
            <w:r>
              <w:rPr>
                <w:rFonts w:hint="eastAsia" w:ascii="Times New Roman" w:hAnsi="Times New Roman"/>
                <w:b/>
                <w:color w:val="000000" w:themeColor="text1"/>
                <w:sz w:val="24"/>
                <w:szCs w:val="24"/>
                <w:highlight w:val="none"/>
                <w:lang w:eastAsia="zh-CN"/>
                <w14:textFill>
                  <w14:solidFill>
                    <w14:schemeClr w14:val="tx1"/>
                  </w14:solidFill>
                </w14:textFill>
              </w:rPr>
              <w:t>云南省工业固体废物和重金属污染防治“十四五”规划</w:t>
            </w:r>
            <w:r>
              <w:rPr>
                <w:rFonts w:hint="default" w:ascii="Times New Roman" w:hAnsi="Times New Roman"/>
                <w:b/>
                <w:color w:val="000000" w:themeColor="text1"/>
                <w:sz w:val="24"/>
                <w:szCs w:val="24"/>
                <w:highlight w:val="none"/>
                <w:lang w:eastAsia="zh-CN"/>
                <w14:textFill>
                  <w14:solidFill>
                    <w14:schemeClr w14:val="tx1"/>
                  </w14:solidFill>
                </w14:textFill>
              </w:rPr>
              <w:t>》</w:t>
            </w:r>
            <w:r>
              <w:rPr>
                <w:rFonts w:hint="eastAsia"/>
                <w:b/>
                <w:color w:val="000000" w:themeColor="text1"/>
                <w:sz w:val="24"/>
                <w:szCs w:val="24"/>
                <w:highlight w:val="none"/>
                <w:lang w:eastAsia="zh-CN"/>
                <w14:textFill>
                  <w14:solidFill>
                    <w14:schemeClr w14:val="tx1"/>
                  </w14:solidFill>
                </w14:textFill>
              </w:rPr>
              <w:t>相符性分析</w:t>
            </w:r>
          </w:p>
          <w:p w14:paraId="05014E67">
            <w:pPr>
              <w:keepNext w:val="0"/>
              <w:keepLines w:val="0"/>
              <w:suppressLineNumbers w:val="0"/>
              <w:spacing w:before="0" w:beforeAutospacing="0" w:after="0" w:afterAutospacing="0"/>
              <w:ind w:left="0" w:right="0"/>
              <w:jc w:val="center"/>
              <w:rPr>
                <w:rFonts w:hint="default"/>
                <w:b/>
                <w:bCs/>
                <w:color w:val="000000" w:themeColor="text1"/>
                <w:sz w:val="24"/>
                <w:szCs w:val="20"/>
                <w:highlight w:val="none"/>
                <w:shd w:val="clear" w:color="auto" w:fill="FFFFFF"/>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表1</w:t>
            </w:r>
            <w:r>
              <w:rPr>
                <w:rFonts w:hint="eastAsia"/>
                <w:b/>
                <w:bCs/>
                <w:color w:val="000000" w:themeColor="text1"/>
                <w:sz w:val="24"/>
                <w:szCs w:val="20"/>
                <w:highlight w:val="none"/>
                <w14:textFill>
                  <w14:solidFill>
                    <w14:schemeClr w14:val="tx1"/>
                  </w14:solidFill>
                </w14:textFill>
              </w:rPr>
              <w:t>-1</w:t>
            </w:r>
            <w:r>
              <w:rPr>
                <w:rFonts w:hint="eastAsia"/>
                <w:b/>
                <w:bCs/>
                <w:color w:val="000000" w:themeColor="text1"/>
                <w:sz w:val="24"/>
                <w:szCs w:val="20"/>
                <w:highlight w:val="none"/>
                <w:lang w:val="en-US" w:eastAsia="zh-CN"/>
                <w14:textFill>
                  <w14:solidFill>
                    <w14:schemeClr w14:val="tx1"/>
                  </w14:solidFill>
                </w14:textFill>
              </w:rPr>
              <w:t>6</w:t>
            </w:r>
            <w:r>
              <w:rPr>
                <w:rFonts w:hint="eastAsia"/>
                <w:b/>
                <w:bCs/>
                <w:color w:val="000000" w:themeColor="text1"/>
                <w:sz w:val="24"/>
                <w:szCs w:val="20"/>
                <w:highlight w:val="none"/>
                <w14:textFill>
                  <w14:solidFill>
                    <w14:schemeClr w14:val="tx1"/>
                  </w14:solidFill>
                </w14:textFill>
              </w:rPr>
              <w:t xml:space="preserve">  </w:t>
            </w:r>
            <w:r>
              <w:rPr>
                <w:rFonts w:hint="default"/>
                <w:b/>
                <w:color w:val="000000" w:themeColor="text1"/>
                <w:sz w:val="24"/>
                <w:szCs w:val="20"/>
                <w:highlight w:val="none"/>
                <w14:textFill>
                  <w14:solidFill>
                    <w14:schemeClr w14:val="tx1"/>
                  </w14:solidFill>
                </w14:textFill>
              </w:rPr>
              <w:t>项目与《</w:t>
            </w:r>
            <w:r>
              <w:rPr>
                <w:rFonts w:hint="eastAsia"/>
                <w:b/>
                <w:color w:val="000000" w:themeColor="text1"/>
                <w:sz w:val="24"/>
                <w:szCs w:val="20"/>
                <w:highlight w:val="none"/>
                <w14:textFill>
                  <w14:solidFill>
                    <w14:schemeClr w14:val="tx1"/>
                  </w14:solidFill>
                </w14:textFill>
              </w:rPr>
              <w:t>云南省工业固体废物和重金属污染防治“十四五”规划</w:t>
            </w:r>
            <w:r>
              <w:rPr>
                <w:rFonts w:hint="default"/>
                <w:b/>
                <w:color w:val="000000" w:themeColor="text1"/>
                <w:sz w:val="24"/>
                <w:szCs w:val="20"/>
                <w:highlight w:val="none"/>
                <w14:textFill>
                  <w14:solidFill>
                    <w14:schemeClr w14:val="tx1"/>
                  </w14:solidFill>
                </w14:textFill>
              </w:rPr>
              <w:t>》</w:t>
            </w:r>
            <w:r>
              <w:rPr>
                <w:rFonts w:hint="eastAsia"/>
                <w:b/>
                <w:color w:val="000000" w:themeColor="text1"/>
                <w:sz w:val="24"/>
                <w:szCs w:val="20"/>
                <w:highlight w:val="none"/>
                <w14:textFill>
                  <w14:solidFill>
                    <w14:schemeClr w14:val="tx1"/>
                  </w14:solidFill>
                </w14:textFill>
              </w:rPr>
              <w:t>相符性</w:t>
            </w:r>
            <w:r>
              <w:rPr>
                <w:rFonts w:hint="default"/>
                <w:b/>
                <w:color w:val="000000" w:themeColor="text1"/>
                <w:sz w:val="24"/>
                <w:szCs w:val="20"/>
                <w:highlight w:val="none"/>
                <w14:textFill>
                  <w14:solidFill>
                    <w14:schemeClr w14:val="tx1"/>
                  </w14:solidFill>
                </w14:textFill>
              </w:rPr>
              <w:t>分析</w:t>
            </w:r>
          </w:p>
          <w:tbl>
            <w:tblPr>
              <w:tblStyle w:val="4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9"/>
              <w:gridCol w:w="3487"/>
              <w:gridCol w:w="738"/>
            </w:tblGrid>
            <w:tr w14:paraId="693C5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6243DD6F">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相关</w:t>
                  </w:r>
                  <w:r>
                    <w:rPr>
                      <w:rFonts w:hint="default" w:ascii="宋体" w:hAnsi="宋体"/>
                      <w:b/>
                      <w:bCs/>
                      <w:color w:val="000000" w:themeColor="text1"/>
                      <w:sz w:val="21"/>
                      <w:szCs w:val="21"/>
                      <w:highlight w:val="none"/>
                      <w14:textFill>
                        <w14:solidFill>
                          <w14:schemeClr w14:val="tx1"/>
                        </w14:solidFill>
                      </w14:textFill>
                    </w:rPr>
                    <w:t>要求</w:t>
                  </w:r>
                </w:p>
              </w:tc>
              <w:tc>
                <w:tcPr>
                  <w:tcW w:w="2127" w:type="pct"/>
                  <w:tcBorders>
                    <w:top w:val="single" w:color="auto" w:sz="4" w:space="0"/>
                    <w:left w:val="single" w:color="auto" w:sz="4" w:space="0"/>
                    <w:bottom w:val="single" w:color="auto" w:sz="4" w:space="0"/>
                    <w:right w:val="single" w:color="auto" w:sz="4" w:space="0"/>
                  </w:tcBorders>
                  <w:vAlign w:val="center"/>
                </w:tcPr>
                <w:p w14:paraId="593922E8">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拟建项目的</w:t>
                  </w:r>
                  <w:r>
                    <w:rPr>
                      <w:rFonts w:hint="eastAsia" w:ascii="宋体" w:hAnsi="宋体"/>
                      <w:b/>
                      <w:bCs/>
                      <w:color w:val="000000" w:themeColor="text1"/>
                      <w:sz w:val="21"/>
                      <w:szCs w:val="21"/>
                      <w:highlight w:val="none"/>
                      <w14:textFill>
                        <w14:solidFill>
                          <w14:schemeClr w14:val="tx1"/>
                        </w14:solidFill>
                      </w14:textFill>
                    </w:rPr>
                    <w:t>情况</w:t>
                  </w:r>
                </w:p>
              </w:tc>
              <w:tc>
                <w:tcPr>
                  <w:tcW w:w="450" w:type="pct"/>
                  <w:tcBorders>
                    <w:top w:val="single" w:color="auto" w:sz="4" w:space="0"/>
                    <w:left w:val="single" w:color="auto" w:sz="4" w:space="0"/>
                    <w:bottom w:val="single" w:color="auto" w:sz="4" w:space="0"/>
                    <w:right w:val="single" w:color="auto" w:sz="4" w:space="0"/>
                  </w:tcBorders>
                  <w:vAlign w:val="center"/>
                </w:tcPr>
                <w:p w14:paraId="599325FC">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符合性</w:t>
                  </w:r>
                </w:p>
              </w:tc>
            </w:tr>
            <w:tr w14:paraId="65B59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268DD05F">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default"/>
                      <w:color w:val="000000" w:themeColor="text1"/>
                      <w:sz w:val="21"/>
                      <w:szCs w:val="21"/>
                      <w:highlight w:val="none"/>
                      <w:shd w:val="clear" w:color="auto" w:fill="FFFFFF"/>
                      <w14:textFill>
                        <w14:solidFill>
                          <w14:schemeClr w14:val="tx1"/>
                        </w14:solidFill>
                      </w14:textFill>
                    </w:rPr>
                    <w:t>督促企业合理选择清洁的原料、能源和工艺、设备，减少有毒、有害原料的使用，提高资源利用效率。以有色金属矿采选业、有色金属冶炼和压延加工业、黑色金属冶炼和压延加工业、化学原料和化学制品制造业、环境治理业等工业固体废物产生量大的行业为重点，实施强制性清洁生产审核，督促企业实施清洁生产技术改造，从源头减少工业固体废物及危险废物产生。鼓励引导工业企业开展自愿清洁生产审核工作。</w:t>
                  </w:r>
                </w:p>
              </w:tc>
              <w:tc>
                <w:tcPr>
                  <w:tcW w:w="2127" w:type="pct"/>
                  <w:tcBorders>
                    <w:top w:val="single" w:color="auto" w:sz="4" w:space="0"/>
                    <w:left w:val="single" w:color="auto" w:sz="4" w:space="0"/>
                    <w:bottom w:val="single" w:color="auto" w:sz="4" w:space="0"/>
                    <w:right w:val="single" w:color="auto" w:sz="4" w:space="0"/>
                  </w:tcBorders>
                  <w:vAlign w:val="center"/>
                </w:tcPr>
                <w:p w14:paraId="216DC5D4">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本项目为磷石膏</w:t>
                  </w:r>
                  <w:r>
                    <w:rPr>
                      <w:rFonts w:hint="eastAsia"/>
                      <w:color w:val="000000" w:themeColor="text1"/>
                      <w:sz w:val="21"/>
                      <w:szCs w:val="21"/>
                      <w:highlight w:val="none"/>
                      <w:lang w:val="en-US" w:eastAsia="zh-CN"/>
                      <w14:textFill>
                        <w14:solidFill>
                          <w14:schemeClr w14:val="tx1"/>
                        </w14:solidFill>
                      </w14:textFill>
                    </w:rPr>
                    <w:t>改性</w:t>
                  </w:r>
                  <w:r>
                    <w:rPr>
                      <w:rFonts w:hint="eastAsia"/>
                      <w:color w:val="000000" w:themeColor="text1"/>
                      <w:sz w:val="21"/>
                      <w:szCs w:val="21"/>
                      <w:highlight w:val="none"/>
                      <w14:textFill>
                        <w14:solidFill>
                          <w14:schemeClr w14:val="tx1"/>
                        </w14:solidFill>
                      </w14:textFill>
                    </w:rPr>
                    <w:t>工程，采用生石灰和固化剂对磷石膏进行改性，不使用有毒、有害原料。项目选用低噪声、低能耗设备，通过无害化改性实现磷石膏资源化利用，减少了工业固体废物的产生量，降低长期堆存环境风险，符合清洁生产相关要求。</w:t>
                  </w:r>
                </w:p>
              </w:tc>
              <w:tc>
                <w:tcPr>
                  <w:tcW w:w="450" w:type="pct"/>
                  <w:tcBorders>
                    <w:top w:val="single" w:color="auto" w:sz="4" w:space="0"/>
                    <w:left w:val="single" w:color="auto" w:sz="4" w:space="0"/>
                    <w:bottom w:val="single" w:color="auto" w:sz="4" w:space="0"/>
                    <w:right w:val="single" w:color="auto" w:sz="4" w:space="0"/>
                  </w:tcBorders>
                  <w:vAlign w:val="center"/>
                </w:tcPr>
                <w:p w14:paraId="0790A71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212AA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779CA0A0">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default"/>
                      <w:color w:val="000000" w:themeColor="text1"/>
                      <w:sz w:val="21"/>
                      <w:szCs w:val="21"/>
                      <w:highlight w:val="none"/>
                      <w:shd w:val="clear" w:color="auto" w:fill="FFFFFF"/>
                      <w14:textFill>
                        <w14:solidFill>
                          <w14:schemeClr w14:val="tx1"/>
                        </w14:solidFill>
                      </w14:textFill>
                    </w:rPr>
                    <w:t>将工业固体废物纳入排污许可证管理，落实管理台账和申报制度，实现可追溯、可查询。规范固体废物跨省转移备案和审批工作，加强转移入省固体废物利用处置监管。</w:t>
                  </w:r>
                </w:p>
              </w:tc>
              <w:tc>
                <w:tcPr>
                  <w:tcW w:w="2127" w:type="pct"/>
                  <w:tcBorders>
                    <w:top w:val="single" w:color="auto" w:sz="4" w:space="0"/>
                    <w:left w:val="single" w:color="auto" w:sz="4" w:space="0"/>
                    <w:bottom w:val="single" w:color="auto" w:sz="4" w:space="0"/>
                    <w:right w:val="single" w:color="auto" w:sz="4" w:space="0"/>
                  </w:tcBorders>
                  <w:vAlign w:val="center"/>
                </w:tcPr>
                <w:p w14:paraId="323BDD28">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本次环评要求项目建立健全工业固体废物产生、收集、贮存、运输、利用、处置全过程的污染环境防治责任制度，并妥善保存工业固体废物管理台账。</w:t>
                  </w:r>
                </w:p>
              </w:tc>
              <w:tc>
                <w:tcPr>
                  <w:tcW w:w="450" w:type="pct"/>
                  <w:tcBorders>
                    <w:top w:val="single" w:color="auto" w:sz="4" w:space="0"/>
                    <w:left w:val="single" w:color="auto" w:sz="4" w:space="0"/>
                    <w:bottom w:val="single" w:color="auto" w:sz="4" w:space="0"/>
                    <w:right w:val="single" w:color="auto" w:sz="4" w:space="0"/>
                  </w:tcBorders>
                  <w:vAlign w:val="center"/>
                </w:tcPr>
                <w:p w14:paraId="59FEA47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13648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1" w:type="pct"/>
                  <w:tcBorders>
                    <w:top w:val="single" w:color="auto" w:sz="4" w:space="0"/>
                    <w:left w:val="single" w:color="auto" w:sz="4" w:space="0"/>
                    <w:bottom w:val="single" w:color="auto" w:sz="4" w:space="0"/>
                    <w:right w:val="single" w:color="auto" w:sz="4" w:space="0"/>
                  </w:tcBorders>
                  <w:vAlign w:val="center"/>
                </w:tcPr>
                <w:p w14:paraId="1DA3FB9A">
                  <w:pPr>
                    <w:keepNext w:val="0"/>
                    <w:keepLines w:val="0"/>
                    <w:suppressLineNumbers w:val="0"/>
                    <w:spacing w:before="0" w:beforeAutospacing="0" w:after="0" w:afterAutospacing="0"/>
                    <w:ind w:left="0" w:right="0"/>
                    <w:rPr>
                      <w:rFonts w:hint="default"/>
                      <w:color w:val="000000" w:themeColor="text1"/>
                      <w:sz w:val="21"/>
                      <w:szCs w:val="21"/>
                      <w:highlight w:val="none"/>
                      <w:shd w:val="clear" w:color="auto" w:fill="FFFFFF"/>
                      <w14:textFill>
                        <w14:solidFill>
                          <w14:schemeClr w14:val="tx1"/>
                        </w14:solidFill>
                      </w14:textFill>
                    </w:rPr>
                  </w:pPr>
                  <w:r>
                    <w:rPr>
                      <w:rFonts w:hint="default"/>
                      <w:color w:val="000000" w:themeColor="text1"/>
                      <w:sz w:val="21"/>
                      <w:szCs w:val="21"/>
                      <w:highlight w:val="none"/>
                      <w:shd w:val="clear" w:color="auto" w:fill="FFFFFF"/>
                      <w14:textFill>
                        <w14:solidFill>
                          <w14:schemeClr w14:val="tx1"/>
                        </w14:solidFill>
                      </w14:textFill>
                    </w:rPr>
                    <w:t>严格落实尾矿、粉煤灰、冶炼渣、工业副产石膏等工业固体废物综合利用技术和产品标准，规范工业固体废物综合利用行业发展。拓宽磷石膏利用途径，继续推广磷石膏在生产水泥和新型建筑材料等领域的利用，在确保环境安全的前提下，探索磷石膏在土壤改良、生态修复、路基材料等领域的应用。</w:t>
                  </w:r>
                </w:p>
              </w:tc>
              <w:tc>
                <w:tcPr>
                  <w:tcW w:w="2127" w:type="pct"/>
                  <w:tcBorders>
                    <w:top w:val="single" w:color="auto" w:sz="4" w:space="0"/>
                    <w:left w:val="single" w:color="auto" w:sz="4" w:space="0"/>
                    <w:bottom w:val="single" w:color="auto" w:sz="4" w:space="0"/>
                    <w:right w:val="single" w:color="auto" w:sz="4" w:space="0"/>
                  </w:tcBorders>
                  <w:vAlign w:val="center"/>
                </w:tcPr>
                <w:p w14:paraId="3A43ED62">
                  <w:pPr>
                    <w:keepNext w:val="0"/>
                    <w:keepLines w:val="0"/>
                    <w:suppressLineNumbers w:val="0"/>
                    <w:spacing w:before="0" w:beforeAutospacing="0" w:after="0" w:afterAutospacing="0"/>
                    <w:ind w:left="0" w:right="0"/>
                    <w:rPr>
                      <w:rFonts w:hint="default" w:ascii="宋体"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本项目通过对存量磷石膏进行无害化改性处理后用于矿山生态修复回填，改性后产品满足《改性磷石膏用于矿山废弃地生态修复回填技术规范》（DB53/T 1269-2024）要求，在确保环境安全的前提下实现磷石膏资源化利用。</w:t>
                  </w:r>
                </w:p>
              </w:tc>
              <w:tc>
                <w:tcPr>
                  <w:tcW w:w="450" w:type="pct"/>
                  <w:tcBorders>
                    <w:top w:val="single" w:color="auto" w:sz="4" w:space="0"/>
                    <w:left w:val="single" w:color="auto" w:sz="4" w:space="0"/>
                    <w:bottom w:val="single" w:color="auto" w:sz="4" w:space="0"/>
                    <w:right w:val="single" w:color="auto" w:sz="4" w:space="0"/>
                  </w:tcBorders>
                  <w:vAlign w:val="center"/>
                </w:tcPr>
                <w:p w14:paraId="0C139E8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bl>
          <w:p w14:paraId="7296ED2D">
            <w:pPr>
              <w:keepNext w:val="0"/>
              <w:keepLines w:val="0"/>
              <w:suppressLineNumbers w:val="0"/>
              <w:spacing w:before="0" w:beforeAutospacing="0" w:after="0" w:afterAutospacing="0" w:line="360" w:lineRule="auto"/>
              <w:ind w:left="0" w:right="0" w:firstLine="482" w:firstLineChars="200"/>
              <w:rPr>
                <w:rFonts w:hint="default"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16</w:t>
            </w:r>
            <w:r>
              <w:rPr>
                <w:rFonts w:hint="eastAsia" w:hAnsi="宋体"/>
                <w:b/>
                <w:color w:val="000000" w:themeColor="text1"/>
                <w:sz w:val="24"/>
                <w:szCs w:val="24"/>
                <w:highlight w:val="none"/>
                <w:lang w:val="en-US" w:eastAsia="zh-CN"/>
                <w14:textFill>
                  <w14:solidFill>
                    <w14:schemeClr w14:val="tx1"/>
                  </w14:solidFill>
                </w14:textFill>
              </w:rPr>
              <w:t>.</w:t>
            </w:r>
            <w:r>
              <w:rPr>
                <w:rFonts w:hint="eastAsia"/>
                <w:b/>
                <w:color w:val="000000" w:themeColor="text1"/>
                <w:sz w:val="24"/>
                <w:szCs w:val="24"/>
                <w:highlight w:val="none"/>
                <w14:textFill>
                  <w14:solidFill>
                    <w14:schemeClr w14:val="tx1"/>
                  </w14:solidFill>
                </w14:textFill>
              </w:rPr>
              <w:t>与</w:t>
            </w:r>
            <w:r>
              <w:rPr>
                <w:rFonts w:hint="eastAsia" w:ascii="仿宋_GB2312" w:hAnsi="宋体" w:cs="仿宋_GB2312"/>
                <w:b/>
                <w:bCs/>
                <w:color w:val="000000" w:themeColor="text1"/>
                <w:sz w:val="24"/>
                <w:szCs w:val="24"/>
                <w:highlight w:val="none"/>
                <w14:textFill>
                  <w14:solidFill>
                    <w14:schemeClr w14:val="tx1"/>
                  </w14:solidFill>
                </w14:textFill>
              </w:rPr>
              <w:t>《关于推进大宗固体废弃物综合利用产业集聚发展的通知》符合性分析</w:t>
            </w:r>
          </w:p>
          <w:p w14:paraId="3A586CE9">
            <w:pPr>
              <w:keepNext w:val="0"/>
              <w:keepLines w:val="0"/>
              <w:suppressLineNumbers w:val="0"/>
              <w:spacing w:before="0" w:beforeAutospacing="0" w:after="0" w:afterAutospacing="0"/>
              <w:ind w:left="0" w:right="0"/>
              <w:jc w:val="center"/>
              <w:rPr>
                <w:rFonts w:hint="default"/>
                <w:b/>
                <w:bCs/>
                <w:color w:val="000000" w:themeColor="text1"/>
                <w:sz w:val="24"/>
                <w:szCs w:val="24"/>
                <w:highlight w:val="none"/>
                <w14:textFill>
                  <w14:solidFill>
                    <w14:schemeClr w14:val="tx1"/>
                  </w14:solidFill>
                </w14:textFill>
              </w:rPr>
            </w:pPr>
            <w:r>
              <w:rPr>
                <w:rFonts w:hint="default"/>
                <w:b/>
                <w:bCs/>
                <w:color w:val="000000" w:themeColor="text1"/>
                <w:sz w:val="24"/>
                <w:szCs w:val="24"/>
                <w:highlight w:val="none"/>
                <w14:textFill>
                  <w14:solidFill>
                    <w14:schemeClr w14:val="tx1"/>
                  </w14:solidFill>
                </w14:textFill>
              </w:rPr>
              <w:t>表1</w:t>
            </w:r>
            <w:r>
              <w:rPr>
                <w:rFonts w:hint="eastAsia"/>
                <w:b/>
                <w:bCs/>
                <w:color w:val="000000" w:themeColor="text1"/>
                <w:sz w:val="24"/>
                <w:szCs w:val="24"/>
                <w:highlight w:val="none"/>
                <w14:textFill>
                  <w14:solidFill>
                    <w14:schemeClr w14:val="tx1"/>
                  </w14:solidFill>
                </w14:textFill>
              </w:rPr>
              <w:t>-1</w:t>
            </w:r>
            <w:r>
              <w:rPr>
                <w:rFonts w:hint="eastAsia"/>
                <w:b/>
                <w:bCs/>
                <w:color w:val="000000" w:themeColor="text1"/>
                <w:sz w:val="24"/>
                <w:szCs w:val="24"/>
                <w:highlight w:val="none"/>
                <w:lang w:val="en-US" w:eastAsia="zh-CN"/>
                <w14:textFill>
                  <w14:solidFill>
                    <w14:schemeClr w14:val="tx1"/>
                  </w14:solidFill>
                </w14:textFill>
              </w:rPr>
              <w:t>7</w:t>
            </w:r>
            <w:r>
              <w:rPr>
                <w:rFonts w:hint="eastAsia"/>
                <w:b/>
                <w:bCs/>
                <w:color w:val="000000" w:themeColor="text1"/>
                <w:sz w:val="24"/>
                <w:szCs w:val="24"/>
                <w:highlight w:val="none"/>
                <w14:textFill>
                  <w14:solidFill>
                    <w14:schemeClr w14:val="tx1"/>
                  </w14:solidFill>
                </w14:textFill>
              </w:rPr>
              <w:t xml:space="preserve">  </w:t>
            </w:r>
            <w:r>
              <w:rPr>
                <w:rFonts w:hint="default"/>
                <w:b/>
                <w:color w:val="000000" w:themeColor="text1"/>
                <w:sz w:val="24"/>
                <w:szCs w:val="24"/>
                <w:highlight w:val="none"/>
                <w14:textFill>
                  <w14:solidFill>
                    <w14:schemeClr w14:val="tx1"/>
                  </w14:solidFill>
                </w14:textFill>
              </w:rPr>
              <w:t>项目与</w:t>
            </w:r>
            <w:r>
              <w:rPr>
                <w:rFonts w:hint="eastAsia" w:ascii="仿宋_GB2312" w:hAnsi="宋体" w:cs="仿宋_GB2312"/>
                <w:b/>
                <w:bCs/>
                <w:color w:val="000000" w:themeColor="text1"/>
                <w:sz w:val="24"/>
                <w:szCs w:val="24"/>
                <w:highlight w:val="none"/>
                <w14:textFill>
                  <w14:solidFill>
                    <w14:schemeClr w14:val="tx1"/>
                  </w14:solidFill>
                </w14:textFill>
              </w:rPr>
              <w:t>《关于推进大宗固体废弃物综合利用产业集聚发展的通知》</w:t>
            </w:r>
            <w:r>
              <w:rPr>
                <w:rFonts w:hint="eastAsia"/>
                <w:b/>
                <w:color w:val="000000" w:themeColor="text1"/>
                <w:sz w:val="24"/>
                <w:szCs w:val="24"/>
                <w:highlight w:val="none"/>
                <w14:textFill>
                  <w14:solidFill>
                    <w14:schemeClr w14:val="tx1"/>
                  </w14:solidFill>
                </w14:textFill>
              </w:rPr>
              <w:t>符合性</w:t>
            </w:r>
            <w:r>
              <w:rPr>
                <w:rFonts w:hint="default"/>
                <w:b/>
                <w:color w:val="000000" w:themeColor="text1"/>
                <w:sz w:val="24"/>
                <w:szCs w:val="24"/>
                <w:highlight w:val="none"/>
                <w14:textFill>
                  <w14:solidFill>
                    <w14:schemeClr w14:val="tx1"/>
                  </w14:solidFill>
                </w14:textFill>
              </w:rPr>
              <w:t>分析</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01"/>
              <w:gridCol w:w="3149"/>
              <w:gridCol w:w="746"/>
            </w:tblGrid>
            <w:tr w14:paraId="6356F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67" w:type="dxa"/>
                  <w:tcBorders>
                    <w:top w:val="single" w:color="auto" w:sz="4" w:space="0"/>
                    <w:left w:val="single" w:color="auto" w:sz="4" w:space="0"/>
                    <w:bottom w:val="single" w:color="auto" w:sz="4" w:space="0"/>
                    <w:right w:val="single" w:color="auto" w:sz="4" w:space="0"/>
                  </w:tcBorders>
                  <w:vAlign w:val="center"/>
                </w:tcPr>
                <w:p w14:paraId="3BE2D65C">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相关</w:t>
                  </w:r>
                  <w:r>
                    <w:rPr>
                      <w:rFonts w:hint="default" w:ascii="宋体" w:hAnsi="宋体"/>
                      <w:b/>
                      <w:bCs/>
                      <w:color w:val="000000" w:themeColor="text1"/>
                      <w:sz w:val="21"/>
                      <w:szCs w:val="21"/>
                      <w:highlight w:val="none"/>
                      <w14:textFill>
                        <w14:solidFill>
                          <w14:schemeClr w14:val="tx1"/>
                        </w14:solidFill>
                      </w14:textFill>
                    </w:rPr>
                    <w:t>要求</w:t>
                  </w:r>
                </w:p>
              </w:tc>
              <w:tc>
                <w:tcPr>
                  <w:tcW w:w="2758" w:type="dxa"/>
                  <w:tcBorders>
                    <w:top w:val="single" w:color="auto" w:sz="4" w:space="0"/>
                    <w:left w:val="single" w:color="auto" w:sz="4" w:space="0"/>
                    <w:bottom w:val="single" w:color="auto" w:sz="4" w:space="0"/>
                    <w:right w:val="single" w:color="auto" w:sz="4" w:space="0"/>
                  </w:tcBorders>
                  <w:vAlign w:val="center"/>
                </w:tcPr>
                <w:p w14:paraId="7241D235">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拟建项目的</w:t>
                  </w:r>
                  <w:r>
                    <w:rPr>
                      <w:rFonts w:hint="eastAsia" w:ascii="宋体" w:hAnsi="宋体"/>
                      <w:b/>
                      <w:bCs/>
                      <w:color w:val="000000" w:themeColor="text1"/>
                      <w:sz w:val="21"/>
                      <w:szCs w:val="21"/>
                      <w:highlight w:val="none"/>
                      <w14:textFill>
                        <w14:solidFill>
                          <w14:schemeClr w14:val="tx1"/>
                        </w14:solidFill>
                      </w14:textFill>
                    </w:rPr>
                    <w:t>情况</w:t>
                  </w:r>
                </w:p>
              </w:tc>
              <w:tc>
                <w:tcPr>
                  <w:tcW w:w="653" w:type="dxa"/>
                  <w:tcBorders>
                    <w:top w:val="single" w:color="auto" w:sz="4" w:space="0"/>
                    <w:left w:val="single" w:color="auto" w:sz="4" w:space="0"/>
                    <w:bottom w:val="single" w:color="auto" w:sz="4" w:space="0"/>
                    <w:right w:val="single" w:color="auto" w:sz="4" w:space="0"/>
                  </w:tcBorders>
                  <w:vAlign w:val="center"/>
                </w:tcPr>
                <w:p w14:paraId="678C45AF">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符合性</w:t>
                  </w:r>
                </w:p>
              </w:tc>
            </w:tr>
            <w:tr w14:paraId="5C9C0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67" w:type="dxa"/>
                  <w:tcBorders>
                    <w:top w:val="single" w:color="auto" w:sz="4" w:space="0"/>
                    <w:left w:val="single" w:color="auto" w:sz="4" w:space="0"/>
                    <w:bottom w:val="single" w:color="auto" w:sz="4" w:space="0"/>
                    <w:right w:val="single" w:color="auto" w:sz="4" w:space="0"/>
                  </w:tcBorders>
                  <w:vAlign w:val="center"/>
                </w:tcPr>
                <w:p w14:paraId="797361B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推动电石渣、氨碱废渣、铬盐废渣、黄磷渣、盐泥无害化处置与深度综合利用，强化工业脱硫、生产化工产品等应用，加强化工废渣与水泥、室内装饰等建材方面的应用相结合，提高综合利用水平。推广脱硫石膏、磷石膏等工业副产石膏替代天然石膏的资源化利用，推动副产石膏分级利用，扩大副产石膏生产高强石膏粉、纸面石膏板等高附加值产品规模，鼓励工业副产石膏综合利用产业集约发展。</w:t>
                  </w:r>
                </w:p>
              </w:tc>
              <w:tc>
                <w:tcPr>
                  <w:tcW w:w="2758" w:type="dxa"/>
                  <w:tcBorders>
                    <w:top w:val="single" w:color="auto" w:sz="4" w:space="0"/>
                    <w:left w:val="single" w:color="auto" w:sz="4" w:space="0"/>
                    <w:bottom w:val="single" w:color="auto" w:sz="4" w:space="0"/>
                    <w:right w:val="single" w:color="auto" w:sz="4" w:space="0"/>
                  </w:tcBorders>
                  <w:vAlign w:val="center"/>
                </w:tcPr>
                <w:p w14:paraId="1D7EEFB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本项目为磷石膏</w:t>
                  </w:r>
                  <w:r>
                    <w:rPr>
                      <w:rFonts w:hint="eastAsia" w:ascii="宋体" w:hAnsi="宋体"/>
                      <w:color w:val="000000" w:themeColor="text1"/>
                      <w:sz w:val="21"/>
                      <w:szCs w:val="21"/>
                      <w:highlight w:val="none"/>
                      <w:lang w:val="en-US" w:eastAsia="zh-CN"/>
                      <w14:textFill>
                        <w14:solidFill>
                          <w14:schemeClr w14:val="tx1"/>
                        </w14:solidFill>
                      </w14:textFill>
                    </w:rPr>
                    <w:t>改性</w:t>
                  </w:r>
                  <w:r>
                    <w:rPr>
                      <w:rFonts w:hint="eastAsia" w:ascii="宋体" w:hAnsi="宋体"/>
                      <w:color w:val="000000" w:themeColor="text1"/>
                      <w:sz w:val="21"/>
                      <w:szCs w:val="21"/>
                      <w:highlight w:val="none"/>
                      <w14:textFill>
                        <w14:solidFill>
                          <w14:schemeClr w14:val="tx1"/>
                        </w14:solidFill>
                      </w14:textFill>
                    </w:rPr>
                    <w:t>工程，对磷石膏进行中和改性处理，实现磷石膏无害化处置与资源化利用，属于对工业副产石膏的综合利用。</w:t>
                  </w:r>
                </w:p>
              </w:tc>
              <w:tc>
                <w:tcPr>
                  <w:tcW w:w="653" w:type="dxa"/>
                  <w:tcBorders>
                    <w:top w:val="single" w:color="auto" w:sz="4" w:space="0"/>
                    <w:left w:val="single" w:color="auto" w:sz="4" w:space="0"/>
                    <w:bottom w:val="single" w:color="auto" w:sz="4" w:space="0"/>
                    <w:right w:val="single" w:color="auto" w:sz="4" w:space="0"/>
                  </w:tcBorders>
                  <w:vAlign w:val="center"/>
                </w:tcPr>
                <w:p w14:paraId="32CB5BA0">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bl>
          <w:p w14:paraId="2472A420">
            <w:pPr>
              <w:pStyle w:val="95"/>
              <w:keepNext w:val="0"/>
              <w:keepLines w:val="0"/>
              <w:suppressLineNumbers w:val="0"/>
              <w:spacing w:before="0" w:beforeAutospacing="0" w:after="0" w:afterAutospacing="0" w:line="360" w:lineRule="auto"/>
              <w:ind w:left="0" w:right="0" w:firstLine="482" w:firstLineChars="200"/>
              <w:rPr>
                <w:rFonts w:hint="default"/>
                <w:b/>
                <w:color w:val="000000" w:themeColor="text1"/>
                <w:sz w:val="24"/>
                <w:szCs w:val="24"/>
                <w:highlight w:val="none"/>
                <w14:textFill>
                  <w14:solidFill>
                    <w14:schemeClr w14:val="tx1"/>
                  </w14:solidFill>
                </w14:textFill>
              </w:rPr>
            </w:pPr>
            <w:r>
              <w:rPr>
                <w:rFonts w:hint="eastAsia" w:hAnsi="宋体"/>
                <w:b/>
                <w:color w:val="000000" w:themeColor="text1"/>
                <w:sz w:val="24"/>
                <w:szCs w:val="28"/>
                <w:highlight w:val="none"/>
                <w14:textFill>
                  <w14:solidFill>
                    <w14:schemeClr w14:val="tx1"/>
                  </w14:solidFill>
                </w14:textFill>
              </w:rPr>
              <w:t>17</w:t>
            </w:r>
            <w:r>
              <w:rPr>
                <w:rFonts w:hint="eastAsia" w:hAnsi="宋体"/>
                <w:b/>
                <w:color w:val="000000" w:themeColor="text1"/>
                <w:sz w:val="24"/>
                <w:szCs w:val="28"/>
                <w:highlight w:val="none"/>
                <w:lang w:val="en-US" w:eastAsia="zh-CN"/>
                <w14:textFill>
                  <w14:solidFill>
                    <w14:schemeClr w14:val="tx1"/>
                  </w14:solidFill>
                </w14:textFill>
              </w:rPr>
              <w:t>.</w:t>
            </w:r>
            <w:r>
              <w:rPr>
                <w:rFonts w:hint="eastAsia"/>
                <w:b/>
                <w:color w:val="000000" w:themeColor="text1"/>
                <w:sz w:val="24"/>
                <w:szCs w:val="24"/>
                <w:highlight w:val="none"/>
                <w14:textFill>
                  <w14:solidFill>
                    <w14:schemeClr w14:val="tx1"/>
                  </w14:solidFill>
                </w14:textFill>
              </w:rPr>
              <w:t>与《</w:t>
            </w:r>
            <w:r>
              <w:rPr>
                <w:rFonts w:hint="eastAsia" w:ascii="仿宋_GB2312" w:hAnsi="宋体" w:cs="仿宋_GB2312"/>
                <w:b/>
                <w:bCs/>
                <w:color w:val="000000" w:themeColor="text1"/>
                <w:sz w:val="24"/>
                <w:szCs w:val="24"/>
                <w:highlight w:val="none"/>
                <w14:textFill>
                  <w14:solidFill>
                    <w14:schemeClr w14:val="tx1"/>
                  </w14:solidFill>
                </w14:textFill>
              </w:rPr>
              <w:t>磷石膏综合利用行动方案</w:t>
            </w:r>
            <w:r>
              <w:rPr>
                <w:rFonts w:hint="eastAsia"/>
                <w:b/>
                <w:color w:val="000000" w:themeColor="text1"/>
                <w:sz w:val="24"/>
                <w:szCs w:val="24"/>
                <w:highlight w:val="none"/>
                <w14:textFill>
                  <w14:solidFill>
                    <w14:schemeClr w14:val="tx1"/>
                  </w14:solidFill>
                </w14:textFill>
              </w:rPr>
              <w:t>》符合性分析</w:t>
            </w:r>
          </w:p>
          <w:p w14:paraId="0B8A3C1B">
            <w:pPr>
              <w:pStyle w:val="95"/>
              <w:keepNext w:val="0"/>
              <w:keepLines w:val="0"/>
              <w:suppressLineNumbers w:val="0"/>
              <w:spacing w:before="0" w:beforeAutospacing="0" w:after="0" w:afterAutospacing="0" w:line="360" w:lineRule="auto"/>
              <w:ind w:left="0" w:right="0" w:firstLine="480" w:firstLineChars="200"/>
              <w:rPr>
                <w:rFonts w:hint="default"/>
                <w:color w:val="000000" w:themeColor="text1"/>
                <w:sz w:val="20"/>
                <w:highlight w:val="none"/>
                <w14:textFill>
                  <w14:solidFill>
                    <w14:schemeClr w14:val="tx1"/>
                  </w14:solidFill>
                </w14:textFill>
              </w:rPr>
            </w:pPr>
            <w:r>
              <w:rPr>
                <w:rStyle w:val="47"/>
                <w:rFonts w:hint="default" w:ascii="宋体" w:hAnsi="宋体" w:cs="宋体"/>
                <w:b w:val="0"/>
                <w:bCs w:val="0"/>
                <w:color w:val="000000" w:themeColor="text1"/>
                <w:sz w:val="24"/>
                <w:szCs w:val="24"/>
                <w:highlight w:val="none"/>
                <w14:textFill>
                  <w14:solidFill>
                    <w14:schemeClr w14:val="tx1"/>
                  </w14:solidFill>
                </w14:textFill>
              </w:rPr>
              <w:t>工业和信息化部</w:t>
            </w:r>
            <w:r>
              <w:rPr>
                <w:rStyle w:val="47"/>
                <w:rFonts w:hint="default"/>
                <w:b w:val="0"/>
                <w:bCs w:val="0"/>
                <w:color w:val="000000" w:themeColor="text1"/>
                <w:sz w:val="24"/>
                <w:szCs w:val="24"/>
                <w:highlight w:val="none"/>
                <w14:textFill>
                  <w14:solidFill>
                    <w14:schemeClr w14:val="tx1"/>
                  </w14:solidFill>
                </w14:textFill>
              </w:rPr>
              <w:t>、国家发展改革委、财政部、生态环境部、住</w:t>
            </w:r>
            <w:r>
              <w:rPr>
                <w:rStyle w:val="47"/>
                <w:rFonts w:hint="eastAsia"/>
                <w:b w:val="0"/>
                <w:bCs w:val="0"/>
                <w:color w:val="000000" w:themeColor="text1"/>
                <w:sz w:val="24"/>
                <w:szCs w:val="24"/>
                <w:highlight w:val="none"/>
                <w:lang w:eastAsia="zh-CN"/>
                <w14:textFill>
                  <w14:solidFill>
                    <w14:schemeClr w14:val="tx1"/>
                  </w14:solidFill>
                </w14:textFill>
              </w:rPr>
              <w:t>房和</w:t>
            </w:r>
            <w:r>
              <w:rPr>
                <w:rStyle w:val="47"/>
                <w:rFonts w:hint="default"/>
                <w:b w:val="0"/>
                <w:bCs w:val="0"/>
                <w:color w:val="000000" w:themeColor="text1"/>
                <w:sz w:val="24"/>
                <w:szCs w:val="24"/>
                <w:highlight w:val="none"/>
                <w14:textFill>
                  <w14:solidFill>
                    <w14:schemeClr w14:val="tx1"/>
                  </w14:solidFill>
                </w14:textFill>
              </w:rPr>
              <w:t>城乡建设部、交通运输部、市场监管总局于2024年3月25日发布了关于印发磷石膏综合利用行动方案的通知（</w:t>
            </w:r>
            <w:r>
              <w:rPr>
                <w:rFonts w:hint="default"/>
                <w:color w:val="000000" w:themeColor="text1"/>
                <w:sz w:val="24"/>
                <w:szCs w:val="24"/>
                <w:highlight w:val="none"/>
                <w14:textFill>
                  <w14:solidFill>
                    <w14:schemeClr w14:val="tx1"/>
                  </w14:solidFill>
                </w14:textFill>
              </w:rPr>
              <w:t>工信部联节〔2024〕58号</w:t>
            </w:r>
            <w:r>
              <w:rPr>
                <w:rStyle w:val="47"/>
                <w:rFonts w:hint="default"/>
                <w:b w:val="0"/>
                <w:bCs w:val="0"/>
                <w:color w:val="000000" w:themeColor="text1"/>
                <w:sz w:val="24"/>
                <w:szCs w:val="24"/>
                <w:highlight w:val="none"/>
                <w14:textFill>
                  <w14:solidFill>
                    <w14:schemeClr w14:val="tx1"/>
                  </w14:solidFill>
                </w14:textFill>
              </w:rPr>
              <w:t>），项目与《</w:t>
            </w:r>
            <w:r>
              <w:rPr>
                <w:rFonts w:hint="default"/>
                <w:color w:val="000000" w:themeColor="text1"/>
                <w:sz w:val="24"/>
                <w:szCs w:val="24"/>
                <w:highlight w:val="none"/>
                <w14:textFill>
                  <w14:solidFill>
                    <w14:schemeClr w14:val="tx1"/>
                  </w14:solidFill>
                </w14:textFill>
              </w:rPr>
              <w:t>磷石膏综合利用行动方案</w:t>
            </w:r>
            <w:r>
              <w:rPr>
                <w:rStyle w:val="47"/>
                <w:rFonts w:hint="default"/>
                <w:b w:val="0"/>
                <w:bCs w:val="0"/>
                <w:color w:val="000000" w:themeColor="text1"/>
                <w:sz w:val="24"/>
                <w:szCs w:val="24"/>
                <w:highlight w:val="none"/>
                <w14:textFill>
                  <w14:solidFill>
                    <w14:schemeClr w14:val="tx1"/>
                  </w14:solidFill>
                </w14:textFill>
              </w:rPr>
              <w:t>》符合性分析如下。</w:t>
            </w:r>
          </w:p>
          <w:p w14:paraId="13C955FC">
            <w:pPr>
              <w:keepNext w:val="0"/>
              <w:keepLines w:val="0"/>
              <w:suppressLineNumbers w:val="0"/>
              <w:spacing w:before="0" w:beforeAutospacing="0" w:after="0" w:afterAutospacing="0"/>
              <w:ind w:left="0" w:right="0"/>
              <w:jc w:val="center"/>
              <w:rPr>
                <w:rFonts w:hint="default"/>
                <w:b/>
                <w:bCs/>
                <w:color w:val="000000" w:themeColor="text1"/>
                <w:sz w:val="24"/>
                <w:szCs w:val="20"/>
                <w:highlight w:val="none"/>
                <w14:textFill>
                  <w14:solidFill>
                    <w14:schemeClr w14:val="tx1"/>
                  </w14:solidFill>
                </w14:textFill>
              </w:rPr>
            </w:pPr>
            <w:r>
              <w:rPr>
                <w:rFonts w:hint="default"/>
                <w:b/>
                <w:bCs/>
                <w:color w:val="000000" w:themeColor="text1"/>
                <w:sz w:val="24"/>
                <w:szCs w:val="24"/>
                <w:highlight w:val="none"/>
                <w14:textFill>
                  <w14:solidFill>
                    <w14:schemeClr w14:val="tx1"/>
                  </w14:solidFill>
                </w14:textFill>
              </w:rPr>
              <w:t>表1</w:t>
            </w:r>
            <w:r>
              <w:rPr>
                <w:rFonts w:hint="eastAsia"/>
                <w:b/>
                <w:bCs/>
                <w:color w:val="000000" w:themeColor="text1"/>
                <w:sz w:val="24"/>
                <w:szCs w:val="24"/>
                <w:highlight w:val="none"/>
                <w14:textFill>
                  <w14:solidFill>
                    <w14:schemeClr w14:val="tx1"/>
                  </w14:solidFill>
                </w14:textFill>
              </w:rPr>
              <w:t>-1</w:t>
            </w:r>
            <w:r>
              <w:rPr>
                <w:rFonts w:hint="eastAsia"/>
                <w:b/>
                <w:bCs/>
                <w:color w:val="000000" w:themeColor="text1"/>
                <w:sz w:val="24"/>
                <w:szCs w:val="24"/>
                <w:highlight w:val="none"/>
                <w:lang w:val="en-US" w:eastAsia="zh-CN"/>
                <w14:textFill>
                  <w14:solidFill>
                    <w14:schemeClr w14:val="tx1"/>
                  </w14:solidFill>
                </w14:textFill>
              </w:rPr>
              <w:t>8</w:t>
            </w:r>
            <w:r>
              <w:rPr>
                <w:rFonts w:hint="eastAsia"/>
                <w:b/>
                <w:bCs/>
                <w:color w:val="000000" w:themeColor="text1"/>
                <w:sz w:val="24"/>
                <w:szCs w:val="24"/>
                <w:highlight w:val="none"/>
                <w14:textFill>
                  <w14:solidFill>
                    <w14:schemeClr w14:val="tx1"/>
                  </w14:solidFill>
                </w14:textFill>
              </w:rPr>
              <w:t xml:space="preserve">  </w:t>
            </w:r>
            <w:r>
              <w:rPr>
                <w:rFonts w:hint="default"/>
                <w:b/>
                <w:color w:val="000000" w:themeColor="text1"/>
                <w:sz w:val="24"/>
                <w:szCs w:val="24"/>
                <w:highlight w:val="none"/>
                <w14:textFill>
                  <w14:solidFill>
                    <w14:schemeClr w14:val="tx1"/>
                  </w14:solidFill>
                </w14:textFill>
              </w:rPr>
              <w:t>项目与</w:t>
            </w:r>
            <w:r>
              <w:rPr>
                <w:rStyle w:val="47"/>
                <w:rFonts w:hint="eastAsia" w:ascii="宋体" w:hAnsi="宋体" w:cs="宋体"/>
                <w:color w:val="000000" w:themeColor="text1"/>
                <w:sz w:val="24"/>
                <w:szCs w:val="24"/>
                <w:highlight w:val="none"/>
                <w14:textFill>
                  <w14:solidFill>
                    <w14:schemeClr w14:val="tx1"/>
                  </w14:solidFill>
                </w14:textFill>
              </w:rPr>
              <w:t>《</w:t>
            </w:r>
            <w:r>
              <w:rPr>
                <w:rFonts w:hint="eastAsia" w:ascii="仿宋_GB2312" w:hAnsi="宋体" w:cs="仿宋_GB2312"/>
                <w:b/>
                <w:bCs/>
                <w:color w:val="000000" w:themeColor="text1"/>
                <w:sz w:val="24"/>
                <w:szCs w:val="24"/>
                <w:highlight w:val="none"/>
                <w14:textFill>
                  <w14:solidFill>
                    <w14:schemeClr w14:val="tx1"/>
                  </w14:solidFill>
                </w14:textFill>
              </w:rPr>
              <w:t>磷石膏综合利用行动方案</w:t>
            </w:r>
            <w:r>
              <w:rPr>
                <w:rStyle w:val="47"/>
                <w:rFonts w:hint="eastAsia" w:ascii="宋体" w:hAnsi="宋体" w:cs="宋体"/>
                <w:color w:val="000000" w:themeColor="text1"/>
                <w:sz w:val="24"/>
                <w:szCs w:val="24"/>
                <w:highlight w:val="none"/>
                <w14:textFill>
                  <w14:solidFill>
                    <w14:schemeClr w14:val="tx1"/>
                  </w14:solidFill>
                </w14:textFill>
              </w:rPr>
              <w:t>》</w:t>
            </w:r>
            <w:r>
              <w:rPr>
                <w:rFonts w:hint="eastAsia"/>
                <w:b/>
                <w:color w:val="000000" w:themeColor="text1"/>
                <w:sz w:val="24"/>
                <w:szCs w:val="24"/>
                <w:highlight w:val="none"/>
                <w14:textFill>
                  <w14:solidFill>
                    <w14:schemeClr w14:val="tx1"/>
                  </w14:solidFill>
                </w14:textFill>
              </w:rPr>
              <w:t>符合性</w:t>
            </w:r>
            <w:r>
              <w:rPr>
                <w:rFonts w:hint="default"/>
                <w:b/>
                <w:color w:val="000000" w:themeColor="text1"/>
                <w:sz w:val="24"/>
                <w:szCs w:val="24"/>
                <w:highlight w:val="none"/>
                <w14:textFill>
                  <w14:solidFill>
                    <w14:schemeClr w14:val="tx1"/>
                  </w14:solidFill>
                </w14:textFill>
              </w:rPr>
              <w:t>分析</w:t>
            </w:r>
          </w:p>
          <w:tbl>
            <w:tblPr>
              <w:tblStyle w:val="44"/>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3102"/>
              <w:gridCol w:w="734"/>
            </w:tblGrid>
            <w:tr w14:paraId="7C91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11" w:type="dxa"/>
                  <w:tcBorders>
                    <w:tl2br w:val="nil"/>
                    <w:tr2bl w:val="nil"/>
                  </w:tcBorders>
                  <w:vAlign w:val="center"/>
                </w:tcPr>
                <w:p w14:paraId="728623EF">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相关</w:t>
                  </w:r>
                  <w:r>
                    <w:rPr>
                      <w:rFonts w:hint="default" w:ascii="宋体" w:hAnsi="宋体"/>
                      <w:b/>
                      <w:bCs/>
                      <w:color w:val="000000" w:themeColor="text1"/>
                      <w:sz w:val="21"/>
                      <w:szCs w:val="21"/>
                      <w:highlight w:val="none"/>
                      <w14:textFill>
                        <w14:solidFill>
                          <w14:schemeClr w14:val="tx1"/>
                        </w14:solidFill>
                      </w14:textFill>
                    </w:rPr>
                    <w:t>要求</w:t>
                  </w:r>
                </w:p>
              </w:tc>
              <w:tc>
                <w:tcPr>
                  <w:tcW w:w="2717" w:type="dxa"/>
                  <w:tcBorders>
                    <w:tl2br w:val="nil"/>
                    <w:tr2bl w:val="nil"/>
                  </w:tcBorders>
                  <w:vAlign w:val="center"/>
                </w:tcPr>
                <w:p w14:paraId="757B8336">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拟建项目的</w:t>
                  </w:r>
                  <w:r>
                    <w:rPr>
                      <w:rFonts w:hint="eastAsia" w:ascii="宋体" w:hAnsi="宋体"/>
                      <w:b/>
                      <w:bCs/>
                      <w:color w:val="000000" w:themeColor="text1"/>
                      <w:sz w:val="21"/>
                      <w:szCs w:val="21"/>
                      <w:highlight w:val="none"/>
                      <w14:textFill>
                        <w14:solidFill>
                          <w14:schemeClr w14:val="tx1"/>
                        </w14:solidFill>
                      </w14:textFill>
                    </w:rPr>
                    <w:t>情况</w:t>
                  </w:r>
                </w:p>
              </w:tc>
              <w:tc>
                <w:tcPr>
                  <w:tcW w:w="643" w:type="dxa"/>
                  <w:tcBorders>
                    <w:tl2br w:val="nil"/>
                    <w:tr2bl w:val="nil"/>
                  </w:tcBorders>
                  <w:vAlign w:val="center"/>
                </w:tcPr>
                <w:p w14:paraId="498FA3F8">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符合性</w:t>
                  </w:r>
                </w:p>
              </w:tc>
            </w:tr>
            <w:tr w14:paraId="00FA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11" w:type="dxa"/>
                  <w:tcBorders>
                    <w:tl2br w:val="nil"/>
                    <w:tr2bl w:val="nil"/>
                  </w:tcBorders>
                  <w:vAlign w:val="center"/>
                </w:tcPr>
                <w:p w14:paraId="6E5E072A">
                  <w:pPr>
                    <w:keepNext w:val="0"/>
                    <w:keepLines w:val="0"/>
                    <w:widowControl/>
                    <w:suppressLineNumbers w:val="0"/>
                    <w:spacing w:before="0" w:beforeAutospacing="0" w:after="0" w:afterAutospacing="0"/>
                    <w:ind w:left="0" w:right="0"/>
                    <w:jc w:val="left"/>
                    <w:rPr>
                      <w:rFonts w:hint="default" w:ascii="宋体" w:hAnsi="宋体"/>
                      <w:color w:val="000000" w:themeColor="text1"/>
                      <w:sz w:val="21"/>
                      <w:szCs w:val="21"/>
                      <w:highlight w:val="none"/>
                      <w14:textFill>
                        <w14:solidFill>
                          <w14:schemeClr w14:val="tx1"/>
                        </w14:solidFill>
                      </w14:textFill>
                    </w:rPr>
                  </w:pPr>
                  <w:r>
                    <w:rPr>
                      <w:rFonts w:hint="default" w:ascii="宋体" w:hAnsi="宋体"/>
                      <w:color w:val="000000" w:themeColor="text1"/>
                      <w:sz w:val="21"/>
                      <w:szCs w:val="21"/>
                      <w:highlight w:val="none"/>
                      <w14:textFill>
                        <w14:solidFill>
                          <w14:schemeClr w14:val="tx1"/>
                        </w14:solidFill>
                      </w14:textFill>
                    </w:rPr>
                    <w:t>鼓励磷石膏产生企业根据不同综合利用产品质量要求，开展磷石膏预处理，降低影响下游产品质量的水溶磷、水溶氟、有机质等杂质和环境风险因子，提升成分均一性，优化磷石膏品质，提高可资源化利用性。推动以磷石膏为原料生产水泥缓凝剂、石膏砂浆（抹灰石膏、石膏自流平等）、石膏条板</w:t>
                  </w:r>
                  <w:r>
                    <w:rPr>
                      <w:rFonts w:hint="default"/>
                      <w:color w:val="000000" w:themeColor="text1"/>
                      <w:sz w:val="21"/>
                      <w:szCs w:val="21"/>
                      <w:highlight w:val="none"/>
                      <w14:textFill>
                        <w14:solidFill>
                          <w14:schemeClr w14:val="tx1"/>
                        </w14:solidFill>
                      </w14:textFill>
                    </w:rPr>
                    <w:t>、Ⅱ型无</w:t>
                  </w:r>
                  <w:r>
                    <w:rPr>
                      <w:rFonts w:hint="default" w:ascii="宋体" w:hAnsi="宋体"/>
                      <w:color w:val="000000" w:themeColor="text1"/>
                      <w:sz w:val="21"/>
                      <w:szCs w:val="21"/>
                      <w:highlight w:val="none"/>
                      <w14:textFill>
                        <w14:solidFill>
                          <w14:schemeClr w14:val="tx1"/>
                        </w14:solidFill>
                      </w14:textFill>
                    </w:rPr>
                    <w:t>水石膏及制品、高精度石膏砌块、建筑装饰材料、装配式复合建材产品等。支持磷石膏分解生产硫酸联产石灰和水泥，推广高固废掺量的低碳水泥生产技术，鼓励水泥生产企业在水泥熟料生产中提高磷石膏等非碳酸盐原料掺量比例。</w:t>
                  </w:r>
                </w:p>
              </w:tc>
              <w:tc>
                <w:tcPr>
                  <w:tcW w:w="2717" w:type="dxa"/>
                  <w:tcBorders>
                    <w:tl2br w:val="nil"/>
                    <w:tr2bl w:val="nil"/>
                  </w:tcBorders>
                  <w:vAlign w:val="center"/>
                </w:tcPr>
                <w:p w14:paraId="2FB34435">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本项目为磷石膏</w:t>
                  </w:r>
                  <w:r>
                    <w:rPr>
                      <w:rFonts w:hint="eastAsia" w:ascii="宋体" w:hAnsi="宋体"/>
                      <w:color w:val="000000" w:themeColor="text1"/>
                      <w:sz w:val="21"/>
                      <w:szCs w:val="21"/>
                      <w:highlight w:val="none"/>
                      <w:lang w:val="en-US" w:eastAsia="zh-CN"/>
                      <w14:textFill>
                        <w14:solidFill>
                          <w14:schemeClr w14:val="tx1"/>
                        </w14:solidFill>
                      </w14:textFill>
                    </w:rPr>
                    <w:t>改性</w:t>
                  </w:r>
                  <w:r>
                    <w:rPr>
                      <w:rFonts w:hint="eastAsia" w:ascii="宋体" w:hAnsi="宋体"/>
                      <w:color w:val="000000" w:themeColor="text1"/>
                      <w:sz w:val="21"/>
                      <w:szCs w:val="21"/>
                      <w:highlight w:val="none"/>
                      <w14:textFill>
                        <w14:solidFill>
                          <w14:schemeClr w14:val="tx1"/>
                        </w14:solidFill>
                      </w14:textFill>
                    </w:rPr>
                    <w:t>工程，采用生石灰和固化剂对存量磷石膏进行中和改性（生石灰2%、固化剂4%），降低可溶性氟、磷含量，改性后产品满足《改性磷石膏用于矿山废弃地生态修复回填技术规范》（DB53/T 1269-2024）要求，属于方案中鼓励的磷石膏综合利用项目。</w:t>
                  </w:r>
                </w:p>
              </w:tc>
              <w:tc>
                <w:tcPr>
                  <w:tcW w:w="643" w:type="dxa"/>
                  <w:tcBorders>
                    <w:tl2br w:val="nil"/>
                    <w:tr2bl w:val="nil"/>
                  </w:tcBorders>
                  <w:vAlign w:val="center"/>
                </w:tcPr>
                <w:p w14:paraId="614374FB">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399F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10" w:type="dxa"/>
                  <w:tcBorders>
                    <w:tl2br w:val="nil"/>
                    <w:tr2bl w:val="nil"/>
                  </w:tcBorders>
                  <w:vAlign w:val="center"/>
                </w:tcPr>
                <w:p w14:paraId="04C616AD">
                  <w:pPr>
                    <w:keepNext w:val="0"/>
                    <w:keepLines w:val="0"/>
                    <w:widowControl/>
                    <w:suppressLineNumbers w:val="0"/>
                    <w:spacing w:before="0" w:beforeAutospacing="0" w:after="0" w:afterAutospacing="0"/>
                    <w:ind w:left="0" w:right="0"/>
                    <w:jc w:val="left"/>
                    <w:rPr>
                      <w:rFonts w:hint="default" w:ascii="宋体" w:hAnsi="宋体"/>
                      <w:color w:val="000000" w:themeColor="text1"/>
                      <w:sz w:val="21"/>
                      <w:szCs w:val="21"/>
                      <w:highlight w:val="none"/>
                      <w14:textFill>
                        <w14:solidFill>
                          <w14:schemeClr w14:val="tx1"/>
                        </w14:solidFill>
                      </w14:textFill>
                    </w:rPr>
                  </w:pPr>
                  <w:r>
                    <w:rPr>
                      <w:rFonts w:hint="default" w:ascii="宋体" w:hAnsi="宋体"/>
                      <w:color w:val="000000" w:themeColor="text1"/>
                      <w:sz w:val="21"/>
                      <w:szCs w:val="21"/>
                      <w:highlight w:val="none"/>
                      <w14:textFill>
                        <w14:solidFill>
                          <w14:schemeClr w14:val="tx1"/>
                        </w14:solidFill>
                      </w14:textFill>
                    </w:rPr>
                    <w:t>推动磷化工、建材、交通等行业深度耦合发展，形成“资源—产品—废弃物—二次资源”循环发展模式，促进磷石膏与其他固废协同利用，推动磷石膏在区域内、园区内、厂区内协同利用，提高就地资源化利用效率。充分利用长江中下游市场和长江经济带水运、铁路等优势，优化运输结构，推进多式联运，扩大磷石膏及其制品销售半径，促进跨地区协同利用。</w:t>
                  </w:r>
                </w:p>
              </w:tc>
              <w:tc>
                <w:tcPr>
                  <w:tcW w:w="2717" w:type="dxa"/>
                  <w:tcBorders>
                    <w:tl2br w:val="nil"/>
                    <w:tr2bl w:val="nil"/>
                  </w:tcBorders>
                  <w:vAlign w:val="center"/>
                </w:tcPr>
                <w:p w14:paraId="58BE3756">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本项目通过对存量磷石膏进行无害化改性处理，实现磷石膏资源化利用，提高就地消纳效率，符合方案中</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推动磷石膏综合利用</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的要求。</w:t>
                  </w:r>
                </w:p>
              </w:tc>
              <w:tc>
                <w:tcPr>
                  <w:tcW w:w="643" w:type="dxa"/>
                  <w:tcBorders>
                    <w:tl2br w:val="nil"/>
                    <w:tr2bl w:val="nil"/>
                  </w:tcBorders>
                  <w:vAlign w:val="center"/>
                </w:tcPr>
                <w:p w14:paraId="1EFD2ED8">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bl>
          <w:p w14:paraId="09F17E68">
            <w:pPr>
              <w:pStyle w:val="95"/>
              <w:keepNext w:val="0"/>
              <w:keepLines w:val="0"/>
              <w:suppressLineNumbers w:val="0"/>
              <w:spacing w:before="0" w:beforeAutospacing="0" w:after="0" w:afterAutospacing="0" w:line="360" w:lineRule="auto"/>
              <w:ind w:left="0" w:right="0" w:firstLine="482" w:firstLineChars="200"/>
              <w:rPr>
                <w:rFonts w:hint="default"/>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18</w:t>
            </w:r>
            <w:r>
              <w:rPr>
                <w:rFonts w:hint="eastAsia" w:hAnsi="宋体"/>
                <w:b/>
                <w:color w:val="000000" w:themeColor="text1"/>
                <w:sz w:val="24"/>
                <w:szCs w:val="24"/>
                <w:highlight w:val="none"/>
                <w:lang w:val="en-US" w:eastAsia="zh-CN"/>
                <w14:textFill>
                  <w14:solidFill>
                    <w14:schemeClr w14:val="tx1"/>
                  </w14:solidFill>
                </w14:textFill>
              </w:rPr>
              <w:t>.</w:t>
            </w:r>
            <w:r>
              <w:rPr>
                <w:rFonts w:hint="eastAsia"/>
                <w:b/>
                <w:color w:val="000000" w:themeColor="text1"/>
                <w:sz w:val="24"/>
                <w:szCs w:val="24"/>
                <w:highlight w:val="none"/>
                <w14:textFill>
                  <w14:solidFill>
                    <w14:schemeClr w14:val="tx1"/>
                  </w14:solidFill>
                </w14:textFill>
              </w:rPr>
              <w:t>与《昆明市加快推动磷石膏综合利用二十条措施》符合性分析</w:t>
            </w:r>
          </w:p>
          <w:p w14:paraId="2F5392E4">
            <w:pPr>
              <w:pStyle w:val="95"/>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昆明市人民政府办公室于2022年12月23日发布了关于印发昆明市加快推动磷石膏综合利用二十条措施的通知，项目与其符合性分析如下。</w:t>
            </w:r>
          </w:p>
          <w:p w14:paraId="20612C7C">
            <w:pPr>
              <w:keepNext w:val="0"/>
              <w:keepLines w:val="0"/>
              <w:suppressLineNumbers w:val="0"/>
              <w:spacing w:before="0" w:beforeAutospacing="0" w:after="0" w:afterAutospacing="0"/>
              <w:ind w:left="0" w:right="0"/>
              <w:jc w:val="center"/>
              <w:rPr>
                <w:rFonts w:hint="default"/>
                <w:b/>
                <w:bCs/>
                <w:color w:val="000000" w:themeColor="text1"/>
                <w:sz w:val="24"/>
                <w:szCs w:val="24"/>
                <w:highlight w:val="none"/>
                <w14:textFill>
                  <w14:solidFill>
                    <w14:schemeClr w14:val="tx1"/>
                  </w14:solidFill>
                </w14:textFill>
              </w:rPr>
            </w:pPr>
            <w:r>
              <w:rPr>
                <w:rFonts w:hint="default"/>
                <w:b/>
                <w:bCs/>
                <w:color w:val="000000" w:themeColor="text1"/>
                <w:sz w:val="24"/>
                <w:szCs w:val="24"/>
                <w:highlight w:val="none"/>
                <w14:textFill>
                  <w14:solidFill>
                    <w14:schemeClr w14:val="tx1"/>
                  </w14:solidFill>
                </w14:textFill>
              </w:rPr>
              <w:t>表1</w:t>
            </w:r>
            <w:r>
              <w:rPr>
                <w:rFonts w:hint="eastAsia"/>
                <w:b/>
                <w:bCs/>
                <w:color w:val="000000" w:themeColor="text1"/>
                <w:sz w:val="24"/>
                <w:szCs w:val="24"/>
                <w:highlight w:val="none"/>
                <w14:textFill>
                  <w14:solidFill>
                    <w14:schemeClr w14:val="tx1"/>
                  </w14:solidFill>
                </w14:textFill>
              </w:rPr>
              <w:t>-1</w:t>
            </w:r>
            <w:r>
              <w:rPr>
                <w:rFonts w:hint="eastAsia"/>
                <w:b/>
                <w:bCs/>
                <w:color w:val="000000" w:themeColor="text1"/>
                <w:sz w:val="24"/>
                <w:szCs w:val="24"/>
                <w:highlight w:val="none"/>
                <w:lang w:val="en-US" w:eastAsia="zh-CN"/>
                <w14:textFill>
                  <w14:solidFill>
                    <w14:schemeClr w14:val="tx1"/>
                  </w14:solidFill>
                </w14:textFill>
              </w:rPr>
              <w:t>9</w:t>
            </w:r>
            <w:r>
              <w:rPr>
                <w:rFonts w:hint="eastAsia"/>
                <w:b/>
                <w:bCs/>
                <w:color w:val="000000" w:themeColor="text1"/>
                <w:sz w:val="24"/>
                <w:szCs w:val="24"/>
                <w:highlight w:val="none"/>
                <w14:textFill>
                  <w14:solidFill>
                    <w14:schemeClr w14:val="tx1"/>
                  </w14:solidFill>
                </w14:textFill>
              </w:rPr>
              <w:t xml:space="preserve">  </w:t>
            </w:r>
            <w:r>
              <w:rPr>
                <w:rFonts w:hint="default"/>
                <w:b/>
                <w:color w:val="000000" w:themeColor="text1"/>
                <w:sz w:val="24"/>
                <w:szCs w:val="24"/>
                <w:highlight w:val="none"/>
                <w14:textFill>
                  <w14:solidFill>
                    <w14:schemeClr w14:val="tx1"/>
                  </w14:solidFill>
                </w14:textFill>
              </w:rPr>
              <w:t>项目与</w:t>
            </w:r>
            <w:r>
              <w:rPr>
                <w:rFonts w:hint="eastAsia"/>
                <w:b/>
                <w:color w:val="000000" w:themeColor="text1"/>
                <w:sz w:val="24"/>
                <w:szCs w:val="24"/>
                <w:highlight w:val="none"/>
                <w14:textFill>
                  <w14:solidFill>
                    <w14:schemeClr w14:val="tx1"/>
                  </w14:solidFill>
                </w14:textFill>
              </w:rPr>
              <w:t>《昆明市加快推动磷石膏综合利用二十条措施》符合性</w:t>
            </w:r>
            <w:r>
              <w:rPr>
                <w:rFonts w:hint="default"/>
                <w:b/>
                <w:color w:val="000000" w:themeColor="text1"/>
                <w:sz w:val="24"/>
                <w:szCs w:val="24"/>
                <w:highlight w:val="none"/>
                <w14:textFill>
                  <w14:solidFill>
                    <w14:schemeClr w14:val="tx1"/>
                  </w14:solidFill>
                </w14:textFill>
              </w:rPr>
              <w:t>分析</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01"/>
              <w:gridCol w:w="3149"/>
              <w:gridCol w:w="746"/>
            </w:tblGrid>
            <w:tr w14:paraId="2542A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11" w:type="dxa"/>
                  <w:tcBorders>
                    <w:top w:val="single" w:color="auto" w:sz="4" w:space="0"/>
                    <w:left w:val="single" w:color="auto" w:sz="4" w:space="0"/>
                    <w:bottom w:val="single" w:color="auto" w:sz="4" w:space="0"/>
                    <w:right w:val="single" w:color="auto" w:sz="4" w:space="0"/>
                  </w:tcBorders>
                  <w:vAlign w:val="center"/>
                </w:tcPr>
                <w:p w14:paraId="54132EEB">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相关</w:t>
                  </w:r>
                  <w:r>
                    <w:rPr>
                      <w:rFonts w:hint="default" w:ascii="宋体" w:hAnsi="宋体"/>
                      <w:b/>
                      <w:bCs/>
                      <w:color w:val="000000" w:themeColor="text1"/>
                      <w:sz w:val="21"/>
                      <w:szCs w:val="21"/>
                      <w:highlight w:val="none"/>
                      <w14:textFill>
                        <w14:solidFill>
                          <w14:schemeClr w14:val="tx1"/>
                        </w14:solidFill>
                      </w14:textFill>
                    </w:rPr>
                    <w:t>要求</w:t>
                  </w:r>
                </w:p>
              </w:tc>
              <w:tc>
                <w:tcPr>
                  <w:tcW w:w="2717" w:type="dxa"/>
                  <w:tcBorders>
                    <w:top w:val="single" w:color="auto" w:sz="4" w:space="0"/>
                    <w:left w:val="single" w:color="auto" w:sz="4" w:space="0"/>
                    <w:bottom w:val="single" w:color="auto" w:sz="4" w:space="0"/>
                    <w:right w:val="single" w:color="auto" w:sz="4" w:space="0"/>
                  </w:tcBorders>
                  <w:vAlign w:val="center"/>
                </w:tcPr>
                <w:p w14:paraId="2D2C360E">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拟建项目的</w:t>
                  </w:r>
                  <w:r>
                    <w:rPr>
                      <w:rFonts w:hint="eastAsia" w:ascii="宋体" w:hAnsi="宋体"/>
                      <w:b/>
                      <w:bCs/>
                      <w:color w:val="000000" w:themeColor="text1"/>
                      <w:sz w:val="21"/>
                      <w:szCs w:val="21"/>
                      <w:highlight w:val="none"/>
                      <w14:textFill>
                        <w14:solidFill>
                          <w14:schemeClr w14:val="tx1"/>
                        </w14:solidFill>
                      </w14:textFill>
                    </w:rPr>
                    <w:t>情况</w:t>
                  </w:r>
                </w:p>
              </w:tc>
              <w:tc>
                <w:tcPr>
                  <w:tcW w:w="643" w:type="dxa"/>
                  <w:tcBorders>
                    <w:top w:val="single" w:color="auto" w:sz="4" w:space="0"/>
                    <w:left w:val="single" w:color="auto" w:sz="4" w:space="0"/>
                    <w:bottom w:val="single" w:color="auto" w:sz="4" w:space="0"/>
                    <w:right w:val="single" w:color="auto" w:sz="4" w:space="0"/>
                  </w:tcBorders>
                  <w:vAlign w:val="center"/>
                </w:tcPr>
                <w:p w14:paraId="7F97494D">
                  <w:pPr>
                    <w:keepNext w:val="0"/>
                    <w:keepLines w:val="0"/>
                    <w:suppressLineNumbers w:val="0"/>
                    <w:spacing w:before="0" w:beforeAutospacing="0" w:after="0" w:afterAutospacing="0"/>
                    <w:ind w:left="0" w:right="0"/>
                    <w:jc w:val="center"/>
                    <w:rPr>
                      <w:rFonts w:hint="default" w:ascii="宋体" w:hAnsi="宋体"/>
                      <w:b/>
                      <w:bCs/>
                      <w:color w:val="000000" w:themeColor="text1"/>
                      <w:sz w:val="21"/>
                      <w:szCs w:val="21"/>
                      <w:highlight w:val="none"/>
                      <w14:textFill>
                        <w14:solidFill>
                          <w14:schemeClr w14:val="tx1"/>
                        </w14:solidFill>
                      </w14:textFill>
                    </w:rPr>
                  </w:pPr>
                  <w:r>
                    <w:rPr>
                      <w:rFonts w:hint="default" w:ascii="宋体" w:hAnsi="宋体"/>
                      <w:b/>
                      <w:bCs/>
                      <w:color w:val="000000" w:themeColor="text1"/>
                      <w:sz w:val="21"/>
                      <w:szCs w:val="21"/>
                      <w:highlight w:val="none"/>
                      <w14:textFill>
                        <w14:solidFill>
                          <w14:schemeClr w14:val="tx1"/>
                        </w14:solidFill>
                      </w14:textFill>
                    </w:rPr>
                    <w:t>符合性</w:t>
                  </w:r>
                </w:p>
              </w:tc>
            </w:tr>
            <w:tr w14:paraId="3F788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11" w:type="dxa"/>
                  <w:tcBorders>
                    <w:top w:val="single" w:color="auto" w:sz="4" w:space="0"/>
                    <w:left w:val="single" w:color="auto" w:sz="4" w:space="0"/>
                    <w:bottom w:val="single" w:color="auto" w:sz="4" w:space="0"/>
                    <w:right w:val="single" w:color="auto" w:sz="4" w:space="0"/>
                  </w:tcBorders>
                  <w:vAlign w:val="center"/>
                </w:tcPr>
                <w:p w14:paraId="5C0F72E4">
                  <w:pPr>
                    <w:keepNext w:val="0"/>
                    <w:keepLines w:val="0"/>
                    <w:suppressLineNumbers w:val="0"/>
                    <w:spacing w:before="0" w:beforeAutospacing="0" w:after="0" w:afterAutospacing="0"/>
                    <w:ind w:left="0" w:right="0"/>
                    <w:jc w:val="left"/>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认真落实台账制度。指导企业建立覆盖磷石膏产生、收集、贮存、运输、利用、处置全过程的磷石膏管理台账，如实记录产生磷石膏的数量、流向、贮存、利用、处置等信息，规范生态环境统计，加强统计数据的分析研判，做到磷石膏底数清、情况明、可追溯、可查询。</w:t>
                  </w:r>
                </w:p>
              </w:tc>
              <w:tc>
                <w:tcPr>
                  <w:tcW w:w="2717" w:type="dxa"/>
                  <w:tcBorders>
                    <w:top w:val="single" w:color="auto" w:sz="4" w:space="0"/>
                    <w:left w:val="single" w:color="auto" w:sz="4" w:space="0"/>
                    <w:bottom w:val="single" w:color="auto" w:sz="4" w:space="0"/>
                    <w:right w:val="single" w:color="auto" w:sz="4" w:space="0"/>
                  </w:tcBorders>
                  <w:vAlign w:val="center"/>
                </w:tcPr>
                <w:p w14:paraId="3E49399F">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项目拟认真落实台账制度，对厂区内磷石膏产生、收集、贮存、运输、利用、处置全过程建立台账，如实记录</w:t>
                  </w:r>
                  <w:r>
                    <w:rPr>
                      <w:rFonts w:hint="eastAsia" w:ascii="宋体" w:hAnsi="宋体"/>
                      <w:color w:val="000000" w:themeColor="text1"/>
                      <w:sz w:val="21"/>
                      <w:szCs w:val="21"/>
                      <w:highlight w:val="none"/>
                      <w:lang w:val="en-US" w:eastAsia="zh-CN"/>
                      <w14:textFill>
                        <w14:solidFill>
                          <w14:schemeClr w14:val="tx1"/>
                        </w14:solidFill>
                      </w14:textFill>
                    </w:rPr>
                    <w:t>改性</w:t>
                  </w:r>
                  <w:r>
                    <w:rPr>
                      <w:rFonts w:hint="eastAsia" w:ascii="宋体" w:hAnsi="宋体"/>
                      <w:color w:val="000000" w:themeColor="text1"/>
                      <w:sz w:val="21"/>
                      <w:szCs w:val="21"/>
                      <w:highlight w:val="none"/>
                      <w14:textFill>
                        <w14:solidFill>
                          <w14:schemeClr w14:val="tx1"/>
                        </w14:solidFill>
                      </w14:textFill>
                    </w:rPr>
                    <w:t>磷石膏的数量、流向、贮存、利用等信息。</w:t>
                  </w:r>
                </w:p>
              </w:tc>
              <w:tc>
                <w:tcPr>
                  <w:tcW w:w="643" w:type="dxa"/>
                  <w:tcBorders>
                    <w:top w:val="single" w:color="auto" w:sz="4" w:space="0"/>
                    <w:left w:val="single" w:color="auto" w:sz="4" w:space="0"/>
                    <w:bottom w:val="single" w:color="auto" w:sz="4" w:space="0"/>
                    <w:right w:val="single" w:color="auto" w:sz="4" w:space="0"/>
                  </w:tcBorders>
                  <w:vAlign w:val="center"/>
                </w:tcPr>
                <w:p w14:paraId="5372291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14020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11" w:type="dxa"/>
                  <w:tcBorders>
                    <w:top w:val="single" w:color="auto" w:sz="4" w:space="0"/>
                    <w:left w:val="single" w:color="auto" w:sz="4" w:space="0"/>
                    <w:bottom w:val="single" w:color="auto" w:sz="4" w:space="0"/>
                    <w:right w:val="single" w:color="auto" w:sz="4" w:space="0"/>
                  </w:tcBorders>
                  <w:vAlign w:val="center"/>
                </w:tcPr>
                <w:p w14:paraId="053BEBEA">
                  <w:pPr>
                    <w:keepNext w:val="0"/>
                    <w:keepLines w:val="0"/>
                    <w:suppressLineNumbers w:val="0"/>
                    <w:spacing w:before="0" w:beforeAutospacing="0" w:after="0" w:afterAutospacing="0"/>
                    <w:ind w:left="0" w:right="0"/>
                    <w:jc w:val="left"/>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加强磷石膏库监管。严格执行磷石膏库环保、安全标准和规定，加强对磷石膏库的日常监督管理。加大磷石膏库环保安全隐患排查整治力度，对存在生态环境和安全隐患问题的磷石膏库，指导企业制定整改方案，做到一库一策、督促整改落实，</w:t>
                  </w:r>
                  <w:r>
                    <w:rPr>
                      <w:rFonts w:hint="eastAsia" w:ascii="宋体" w:hAnsi="宋体"/>
                      <w:color w:val="000000" w:themeColor="text1"/>
                      <w:sz w:val="21"/>
                      <w:szCs w:val="21"/>
                      <w:highlight w:val="none"/>
                      <w:lang w:eastAsia="zh-CN"/>
                      <w14:textFill>
                        <w14:solidFill>
                          <w14:schemeClr w14:val="tx1"/>
                        </w14:solidFill>
                      </w14:textFill>
                    </w:rPr>
                    <w:t>有效防范化解</w:t>
                  </w:r>
                  <w:r>
                    <w:rPr>
                      <w:rFonts w:hint="eastAsia" w:ascii="宋体" w:hAnsi="宋体"/>
                      <w:color w:val="000000" w:themeColor="text1"/>
                      <w:sz w:val="21"/>
                      <w:szCs w:val="21"/>
                      <w:highlight w:val="none"/>
                      <w14:textFill>
                        <w14:solidFill>
                          <w14:schemeClr w14:val="tx1"/>
                        </w14:solidFill>
                      </w14:textFill>
                    </w:rPr>
                    <w:t>磷石膏库环境安全风险。</w:t>
                  </w:r>
                </w:p>
              </w:tc>
              <w:tc>
                <w:tcPr>
                  <w:tcW w:w="2717" w:type="dxa"/>
                  <w:tcBorders>
                    <w:top w:val="single" w:color="auto" w:sz="4" w:space="0"/>
                    <w:left w:val="single" w:color="auto" w:sz="4" w:space="0"/>
                    <w:bottom w:val="single" w:color="auto" w:sz="4" w:space="0"/>
                    <w:right w:val="single" w:color="auto" w:sz="4" w:space="0"/>
                  </w:tcBorders>
                  <w:vAlign w:val="center"/>
                </w:tcPr>
                <w:p w14:paraId="436FC22A">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项目改性车间</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待检区均为</w:t>
                  </w:r>
                  <w:r>
                    <w:rPr>
                      <w:rFonts w:hint="default" w:ascii="Times New Roman" w:hAnsi="Times New Roman" w:cs="Times New Roman"/>
                      <w:color w:val="000000" w:themeColor="text1"/>
                      <w:sz w:val="21"/>
                      <w:szCs w:val="21"/>
                      <w:highlight w:val="none"/>
                      <w14:textFill>
                        <w14:solidFill>
                          <w14:schemeClr w14:val="tx1"/>
                        </w14:solidFill>
                      </w14:textFill>
                    </w:rPr>
                    <w:t>重点防渗区</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采取粘土压实层（厚度≥0.75m，K≤1×10⁻⁷cm/s）+C30混凝土（厚度300mm，抗渗等级P8）；待检区采用</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二布一膜</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结构，满足《一般工业固体废物贮存和填埋污染控制标准》（GB 18599-2020）要求，降低了环境风险。</w:t>
                  </w:r>
                </w:p>
              </w:tc>
              <w:tc>
                <w:tcPr>
                  <w:tcW w:w="643" w:type="dxa"/>
                  <w:tcBorders>
                    <w:top w:val="single" w:color="auto" w:sz="4" w:space="0"/>
                    <w:left w:val="single" w:color="auto" w:sz="4" w:space="0"/>
                    <w:bottom w:val="single" w:color="auto" w:sz="4" w:space="0"/>
                    <w:right w:val="single" w:color="auto" w:sz="4" w:space="0"/>
                  </w:tcBorders>
                  <w:vAlign w:val="center"/>
                </w:tcPr>
                <w:p w14:paraId="383A413D">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r w14:paraId="2010E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711" w:type="dxa"/>
                  <w:tcBorders>
                    <w:top w:val="single" w:color="auto" w:sz="4" w:space="0"/>
                    <w:left w:val="single" w:color="auto" w:sz="4" w:space="0"/>
                    <w:bottom w:val="single" w:color="auto" w:sz="4" w:space="0"/>
                    <w:right w:val="single" w:color="auto" w:sz="4" w:space="0"/>
                  </w:tcBorders>
                  <w:vAlign w:val="center"/>
                </w:tcPr>
                <w:p w14:paraId="4681417D">
                  <w:pPr>
                    <w:keepNext w:val="0"/>
                    <w:keepLines w:val="0"/>
                    <w:suppressLineNumbers w:val="0"/>
                    <w:spacing w:before="0" w:beforeAutospacing="0" w:after="0" w:afterAutospacing="0"/>
                    <w:ind w:left="0" w:right="0"/>
                    <w:jc w:val="left"/>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推广建材方向利用。支持建材行业与磷化工行业耦合发展，合力推动磷石膏在建材领域的综合利用。鼓励现有水泥生产企业优化产品结构、优化喂料系统，提高磷石膏水泥缓凝剂的使用比例；支持利用磷石膏生产高强石膏粉、建筑石膏粉以及石膏板、石膏砌块、石膏模盒、石膏基干混砂浆等建材产品，在建材领域大力推动磷石膏的综合利用。</w:t>
                  </w:r>
                </w:p>
              </w:tc>
              <w:tc>
                <w:tcPr>
                  <w:tcW w:w="2717" w:type="dxa"/>
                  <w:tcBorders>
                    <w:top w:val="single" w:color="auto" w:sz="4" w:space="0"/>
                    <w:left w:val="single" w:color="auto" w:sz="4" w:space="0"/>
                    <w:bottom w:val="single" w:color="auto" w:sz="4" w:space="0"/>
                    <w:right w:val="single" w:color="auto" w:sz="4" w:space="0"/>
                  </w:tcBorders>
                  <w:vAlign w:val="center"/>
                </w:tcPr>
                <w:p w14:paraId="15161B92">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本项目为磷石膏</w:t>
                  </w:r>
                  <w:r>
                    <w:rPr>
                      <w:rFonts w:hint="eastAsia" w:ascii="宋体" w:hAnsi="宋体"/>
                      <w:color w:val="000000" w:themeColor="text1"/>
                      <w:sz w:val="21"/>
                      <w:szCs w:val="21"/>
                      <w:highlight w:val="none"/>
                      <w:lang w:val="en-US" w:eastAsia="zh-CN"/>
                      <w14:textFill>
                        <w14:solidFill>
                          <w14:schemeClr w14:val="tx1"/>
                        </w14:solidFill>
                      </w14:textFill>
                    </w:rPr>
                    <w:t>改性</w:t>
                  </w:r>
                  <w:r>
                    <w:rPr>
                      <w:rFonts w:hint="eastAsia" w:ascii="宋体" w:hAnsi="宋体"/>
                      <w:color w:val="000000" w:themeColor="text1"/>
                      <w:sz w:val="21"/>
                      <w:szCs w:val="21"/>
                      <w:highlight w:val="none"/>
                      <w14:textFill>
                        <w14:solidFill>
                          <w14:schemeClr w14:val="tx1"/>
                        </w14:solidFill>
                      </w14:textFill>
                    </w:rPr>
                    <w:t>工程，通过对存量磷石膏进行无害化改性处理后用于矿山生态修复回填，实现磷石膏资源化利用。</w:t>
                  </w:r>
                </w:p>
              </w:tc>
              <w:tc>
                <w:tcPr>
                  <w:tcW w:w="643" w:type="dxa"/>
                  <w:tcBorders>
                    <w:top w:val="single" w:color="auto" w:sz="4" w:space="0"/>
                    <w:left w:val="single" w:color="auto" w:sz="4" w:space="0"/>
                    <w:bottom w:val="single" w:color="auto" w:sz="4" w:space="0"/>
                    <w:right w:val="single" w:color="auto" w:sz="4" w:space="0"/>
                  </w:tcBorders>
                  <w:vAlign w:val="center"/>
                </w:tcPr>
                <w:p w14:paraId="28888581">
                  <w:pPr>
                    <w:keepNext w:val="0"/>
                    <w:keepLines w:val="0"/>
                    <w:suppressLineNumbers w:val="0"/>
                    <w:spacing w:before="0" w:beforeAutospacing="0" w:after="0" w:afterAutospacing="0"/>
                    <w:ind w:left="0" w:right="0"/>
                    <w:jc w:val="center"/>
                    <w:rPr>
                      <w:rFonts w:hint="default"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w:t>
                  </w:r>
                </w:p>
              </w:tc>
            </w:tr>
          </w:tbl>
          <w:p w14:paraId="39B623DB">
            <w:pPr>
              <w:keepNext w:val="0"/>
              <w:keepLines w:val="0"/>
              <w:suppressLineNumbers w:val="0"/>
              <w:spacing w:before="0" w:beforeAutospacing="0" w:after="0" w:afterAutospacing="0" w:line="360" w:lineRule="auto"/>
              <w:ind w:left="0" w:right="0" w:firstLine="482" w:firstLineChars="200"/>
              <w:rPr>
                <w:rFonts w:hint="default"/>
                <w:b/>
                <w:color w:val="000000" w:themeColor="text1"/>
                <w:sz w:val="24"/>
                <w:szCs w:val="24"/>
                <w:highlight w:val="none"/>
                <w14:textFill>
                  <w14:solidFill>
                    <w14:schemeClr w14:val="tx1"/>
                  </w14:solidFill>
                </w14:textFill>
              </w:rPr>
            </w:pPr>
            <w:r>
              <w:rPr>
                <w:rFonts w:hint="eastAsia" w:hAnsi="宋体"/>
                <w:b/>
                <w:color w:val="000000" w:themeColor="text1"/>
                <w:sz w:val="24"/>
                <w:szCs w:val="28"/>
                <w:highlight w:val="none"/>
                <w14:textFill>
                  <w14:solidFill>
                    <w14:schemeClr w14:val="tx1"/>
                  </w14:solidFill>
                </w14:textFill>
              </w:rPr>
              <w:t>19</w:t>
            </w:r>
            <w:r>
              <w:rPr>
                <w:rFonts w:hint="eastAsia" w:hAnsi="宋体"/>
                <w:b/>
                <w:color w:val="000000" w:themeColor="text1"/>
                <w:sz w:val="24"/>
                <w:szCs w:val="28"/>
                <w:highlight w:val="none"/>
                <w:lang w:val="en-US" w:eastAsia="zh-CN"/>
                <w14:textFill>
                  <w14:solidFill>
                    <w14:schemeClr w14:val="tx1"/>
                  </w14:solidFill>
                </w14:textFill>
              </w:rPr>
              <w:t>.</w:t>
            </w:r>
            <w:r>
              <w:rPr>
                <w:rFonts w:hint="default"/>
                <w:b/>
                <w:color w:val="000000" w:themeColor="text1"/>
                <w:sz w:val="24"/>
                <w:szCs w:val="24"/>
                <w:highlight w:val="none"/>
                <w14:textFill>
                  <w14:solidFill>
                    <w14:schemeClr w14:val="tx1"/>
                  </w14:solidFill>
                </w14:textFill>
              </w:rPr>
              <w:t>项目与</w:t>
            </w:r>
            <w:r>
              <w:rPr>
                <w:rFonts w:hint="eastAsia"/>
                <w:b/>
                <w:color w:val="000000" w:themeColor="text1"/>
                <w:sz w:val="24"/>
                <w:szCs w:val="24"/>
                <w:highlight w:val="none"/>
                <w14:textFill>
                  <w14:solidFill>
                    <w14:schemeClr w14:val="tx1"/>
                  </w14:solidFill>
                </w14:textFill>
              </w:rPr>
              <w:t>《昆明市磷石膏无害化处理技术规程（试行）》符合性</w:t>
            </w:r>
            <w:r>
              <w:rPr>
                <w:rFonts w:hint="default"/>
                <w:b/>
                <w:color w:val="000000" w:themeColor="text1"/>
                <w:sz w:val="24"/>
                <w:szCs w:val="24"/>
                <w:highlight w:val="none"/>
                <w14:textFill>
                  <w14:solidFill>
                    <w14:schemeClr w14:val="tx1"/>
                  </w14:solidFill>
                </w14:textFill>
              </w:rPr>
              <w:t>分析</w:t>
            </w:r>
          </w:p>
          <w:p w14:paraId="389D0BB4">
            <w:pPr>
              <w:keepNext w:val="0"/>
              <w:keepLines w:val="0"/>
              <w:suppressLineNumbers w:val="0"/>
              <w:spacing w:before="0" w:beforeAutospacing="0" w:after="0" w:afterAutospacing="0" w:line="360" w:lineRule="auto"/>
              <w:ind w:left="0" w:right="0" w:firstLine="482" w:firstLineChars="200"/>
              <w:rPr>
                <w:rFonts w:hint="default" w:eastAsia="宋体"/>
                <w:b/>
                <w:color w:val="000000" w:themeColor="text1"/>
                <w:sz w:val="24"/>
                <w:szCs w:val="24"/>
                <w:highlight w:val="none"/>
                <w:lang w:val="en-US" w:eastAsia="zh-CN"/>
                <w14:textFill>
                  <w14:solidFill>
                    <w14:schemeClr w14:val="tx1"/>
                  </w14:solidFill>
                </w14:textFill>
              </w:rPr>
            </w:pPr>
            <w:r>
              <w:rPr>
                <w:rFonts w:hint="eastAsia"/>
                <w:b/>
                <w:color w:val="000000" w:themeColor="text1"/>
                <w:sz w:val="24"/>
                <w:szCs w:val="24"/>
                <w:highlight w:val="none"/>
                <w:lang w:val="en-US" w:eastAsia="zh-CN"/>
                <w14:textFill>
                  <w14:solidFill>
                    <w14:schemeClr w14:val="tx1"/>
                  </w14:solidFill>
                </w14:textFill>
              </w:rPr>
              <w:t>表1-20  与</w:t>
            </w:r>
            <w:r>
              <w:rPr>
                <w:rFonts w:hint="eastAsia"/>
                <w:b/>
                <w:color w:val="000000" w:themeColor="text1"/>
                <w:sz w:val="24"/>
                <w:szCs w:val="24"/>
                <w:highlight w:val="none"/>
                <w14:textFill>
                  <w14:solidFill>
                    <w14:schemeClr w14:val="tx1"/>
                  </w14:solidFill>
                </w14:textFill>
              </w:rPr>
              <w:t>《昆明市磷石膏无害化处理技术规程（试行）》</w:t>
            </w:r>
            <w:r>
              <w:rPr>
                <w:rFonts w:hint="eastAsia"/>
                <w:b/>
                <w:color w:val="000000" w:themeColor="text1"/>
                <w:sz w:val="24"/>
                <w:szCs w:val="24"/>
                <w:highlight w:val="none"/>
                <w:lang w:val="en-US" w:eastAsia="zh-CN"/>
                <w14:textFill>
                  <w14:solidFill>
                    <w14:schemeClr w14:val="tx1"/>
                  </w14:solidFill>
                </w14:textFill>
              </w:rPr>
              <w:t>相符性分析</w:t>
            </w:r>
          </w:p>
          <w:tbl>
            <w:tblPr>
              <w:tblStyle w:val="44"/>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97"/>
              <w:gridCol w:w="3944"/>
              <w:gridCol w:w="959"/>
            </w:tblGrid>
            <w:tr w14:paraId="4D9A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jc w:val="center"/>
              </w:trPr>
              <w:tc>
                <w:tcPr>
                  <w:tcW w:w="3197" w:type="dxa"/>
                  <w:shd w:val="clear" w:color="auto" w:fill="auto"/>
                  <w:noWrap/>
                  <w:vAlign w:val="center"/>
                </w:tcPr>
                <w:p w14:paraId="5794C9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相关要求</w:t>
                  </w:r>
                </w:p>
              </w:tc>
              <w:tc>
                <w:tcPr>
                  <w:tcW w:w="3944" w:type="dxa"/>
                  <w:shd w:val="clear" w:color="auto" w:fill="auto"/>
                  <w:noWrap/>
                  <w:vAlign w:val="center"/>
                </w:tcPr>
                <w:p w14:paraId="4209EA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拟建项目的情况</w:t>
                  </w:r>
                </w:p>
              </w:tc>
              <w:tc>
                <w:tcPr>
                  <w:tcW w:w="959" w:type="dxa"/>
                  <w:shd w:val="clear" w:color="auto" w:fill="auto"/>
                  <w:noWrap/>
                  <w:vAlign w:val="center"/>
                </w:tcPr>
                <w:p w14:paraId="1051E3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符合性</w:t>
                  </w:r>
                </w:p>
              </w:tc>
            </w:tr>
            <w:tr w14:paraId="0EB1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3197" w:type="dxa"/>
                  <w:shd w:val="clear" w:color="auto" w:fill="auto"/>
                  <w:noWrap/>
                  <w:vAlign w:val="center"/>
                </w:tcPr>
                <w:p w14:paraId="270C70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4.1无害化处理工艺应减少二次污染、注重节能降耗、节水减排，减轻对操作人员安全的威胁和对职业健康的影响。</w:t>
                  </w:r>
                </w:p>
              </w:tc>
              <w:tc>
                <w:tcPr>
                  <w:tcW w:w="3944" w:type="dxa"/>
                  <w:shd w:val="clear" w:color="auto" w:fill="auto"/>
                  <w:noWrap/>
                  <w:vAlign w:val="center"/>
                </w:tcPr>
                <w:p w14:paraId="5B35CF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项目采用化学中和工艺，改性车间采用全封闭钢结构厂房；破碎、投料出料口设置喷淋抑尘系统，待检区配置雾炮并采用密目网苫盖堆体；生产工艺满足节能降耗要求，无高毒有害药剂使用。</w:t>
                  </w:r>
                </w:p>
              </w:tc>
              <w:tc>
                <w:tcPr>
                  <w:tcW w:w="959" w:type="dxa"/>
                  <w:shd w:val="clear" w:color="auto" w:fill="auto"/>
                  <w:noWrap/>
                  <w:vAlign w:val="center"/>
                </w:tcPr>
                <w:p w14:paraId="7259C8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符合</w:t>
                  </w:r>
                </w:p>
              </w:tc>
            </w:tr>
            <w:tr w14:paraId="3E48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3197" w:type="dxa"/>
                  <w:shd w:val="clear" w:color="auto" w:fill="auto"/>
                  <w:noWrap/>
                  <w:vAlign w:val="center"/>
                </w:tcPr>
                <w:p w14:paraId="634E8D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4.2无害化处理设施的选址需符合国家、地方相关标准的要求。</w:t>
                  </w:r>
                </w:p>
              </w:tc>
              <w:tc>
                <w:tcPr>
                  <w:tcW w:w="3944" w:type="dxa"/>
                  <w:shd w:val="clear" w:color="auto" w:fill="auto"/>
                  <w:noWrap/>
                  <w:vAlign w:val="center"/>
                </w:tcPr>
                <w:p w14:paraId="2EADC0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项目位于昆明市寻甸县塘子街道，用地性质为工业用地；不涉及生态保护红线、基本农田、饮用水源保护区等敏感区域；符合《昆明市生态环境分区管控动态更新方案（2023年）》要求。</w:t>
                  </w:r>
                </w:p>
              </w:tc>
              <w:tc>
                <w:tcPr>
                  <w:tcW w:w="959" w:type="dxa"/>
                  <w:shd w:val="clear" w:color="auto" w:fill="auto"/>
                  <w:noWrap/>
                  <w:vAlign w:val="center"/>
                </w:tcPr>
                <w:p w14:paraId="66A733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符合</w:t>
                  </w:r>
                </w:p>
              </w:tc>
            </w:tr>
            <w:tr w14:paraId="34D6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3197" w:type="dxa"/>
                  <w:shd w:val="clear" w:color="auto" w:fill="auto"/>
                  <w:noWrap/>
                  <w:vAlign w:val="center"/>
                </w:tcPr>
                <w:p w14:paraId="66897E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4.3建设磷石膏无害化处理设施，应当依法进行环境影响评价，污染防治设施与主体工程同时设计、同时施工、同时投入使用。</w:t>
                  </w:r>
                </w:p>
              </w:tc>
              <w:tc>
                <w:tcPr>
                  <w:tcW w:w="3944" w:type="dxa"/>
                  <w:shd w:val="clear" w:color="auto" w:fill="auto"/>
                  <w:noWrap/>
                  <w:vAlign w:val="center"/>
                </w:tcPr>
                <w:p w14:paraId="686260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建设</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单位承诺严格落实环保"三同时"制度，自主开展竣工环保验收。</w:t>
                  </w:r>
                </w:p>
              </w:tc>
              <w:tc>
                <w:tcPr>
                  <w:tcW w:w="959" w:type="dxa"/>
                  <w:shd w:val="clear" w:color="auto" w:fill="auto"/>
                  <w:noWrap/>
                  <w:vAlign w:val="center"/>
                </w:tcPr>
                <w:p w14:paraId="05123D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符合</w:t>
                  </w:r>
                </w:p>
              </w:tc>
            </w:tr>
            <w:tr w14:paraId="3C2C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3197" w:type="dxa"/>
                  <w:shd w:val="clear" w:color="auto" w:fill="auto"/>
                  <w:noWrap/>
                  <w:vAlign w:val="center"/>
                </w:tcPr>
                <w:p w14:paraId="1FB4FC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4.4无害化处理过程中产生的废水、废气等污染物排放应符合国家污染物排放标准及限值要求。</w:t>
                  </w:r>
                </w:p>
              </w:tc>
              <w:tc>
                <w:tcPr>
                  <w:tcW w:w="3944" w:type="dxa"/>
                  <w:shd w:val="clear" w:color="auto" w:fill="auto"/>
                  <w:noWrap/>
                  <w:vAlign w:val="center"/>
                </w:tcPr>
                <w:p w14:paraId="441115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废气：封闭厂房+喷淋+雾炮</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厂界颗粒物满足《大气污染物综合排放标准》（GB16297-1996）无组织限值；废水：无生产废水外排；噪声：选用低噪设备+减振+限时作业，厂界满足《工业企业厂界环境噪声排放标准》2类标准</w:t>
                  </w:r>
                </w:p>
              </w:tc>
              <w:tc>
                <w:tcPr>
                  <w:tcW w:w="959" w:type="dxa"/>
                  <w:shd w:val="clear" w:color="auto" w:fill="auto"/>
                  <w:noWrap/>
                  <w:vAlign w:val="center"/>
                </w:tcPr>
                <w:p w14:paraId="4C095F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符合</w:t>
                  </w:r>
                </w:p>
              </w:tc>
            </w:tr>
            <w:tr w14:paraId="2931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3197" w:type="dxa"/>
                  <w:shd w:val="clear" w:color="auto" w:fill="auto"/>
                  <w:noWrap/>
                  <w:vAlign w:val="center"/>
                </w:tcPr>
                <w:p w14:paraId="4E56A6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4.5磷石膏应优先综合利用；无害化处理的磷石膏应按GB 18599等规定做好贮存、监测等工作。</w:t>
                  </w:r>
                </w:p>
              </w:tc>
              <w:tc>
                <w:tcPr>
                  <w:tcW w:w="3944" w:type="dxa"/>
                  <w:shd w:val="clear" w:color="auto" w:fill="auto"/>
                  <w:noWrap/>
                  <w:vAlign w:val="center"/>
                </w:tcPr>
                <w:p w14:paraId="63B0F6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项目对磷石膏进行无害化改性处理后，作为生态修复材料用于矿山废弃矿坑回填，实现资源化利用；改性区</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、待检区</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按重点防渗区（粘土层+P8混凝土）满足GB 18599-2020要求。</w:t>
                  </w:r>
                </w:p>
              </w:tc>
              <w:tc>
                <w:tcPr>
                  <w:tcW w:w="959" w:type="dxa"/>
                  <w:shd w:val="clear" w:color="auto" w:fill="auto"/>
                  <w:noWrap/>
                  <w:vAlign w:val="center"/>
                </w:tcPr>
                <w:p w14:paraId="677FA5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符合</w:t>
                  </w:r>
                </w:p>
              </w:tc>
            </w:tr>
            <w:tr w14:paraId="21ED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3197" w:type="dxa"/>
                  <w:shd w:val="clear" w:color="auto" w:fill="auto"/>
                  <w:noWrap/>
                  <w:vAlign w:val="center"/>
                </w:tcPr>
                <w:p w14:paraId="12853F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5.2磷石膏添加适宜的碱性物质，通过中和反应调整pH值，使水溶性磷、氟等杂质生成不溶或难溶物质。</w:t>
                  </w:r>
                </w:p>
              </w:tc>
              <w:tc>
                <w:tcPr>
                  <w:tcW w:w="3944" w:type="dxa"/>
                  <w:shd w:val="clear" w:color="auto" w:fill="auto"/>
                  <w:noWrap/>
                  <w:vAlign w:val="center"/>
                </w:tcPr>
                <w:p w14:paraId="6F3D5D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项目采用化学中和工艺，按比例自动添加生石灰和固化剂，在振动双轴搅拌机内进行强力混合，使药剂与磷石膏充分接触反应，实现无害化。</w:t>
                  </w:r>
                </w:p>
              </w:tc>
              <w:tc>
                <w:tcPr>
                  <w:tcW w:w="959" w:type="dxa"/>
                  <w:shd w:val="clear" w:color="auto" w:fill="auto"/>
                  <w:noWrap/>
                  <w:vAlign w:val="center"/>
                </w:tcPr>
                <w:p w14:paraId="0ED192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符合</w:t>
                  </w:r>
                </w:p>
              </w:tc>
            </w:tr>
            <w:tr w14:paraId="7B49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3197" w:type="dxa"/>
                  <w:shd w:val="clear" w:color="auto" w:fill="auto"/>
                  <w:noWrap/>
                  <w:vAlign w:val="center"/>
                </w:tcPr>
                <w:p w14:paraId="568BCC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6.1浸出液特征污染物浓度不超过GB 8978一级标准，pH 6~9、氟化物≤10mg/L、磷酸盐≤0.5mg/L、总铅≤1.0mg/L等13项指标。</w:t>
                  </w:r>
                </w:p>
              </w:tc>
              <w:tc>
                <w:tcPr>
                  <w:tcW w:w="3944" w:type="dxa"/>
                  <w:shd w:val="clear" w:color="auto" w:fill="auto"/>
                  <w:noWrap/>
                  <w:vAlign w:val="center"/>
                </w:tcPr>
                <w:p w14:paraId="7148BE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项目改性磷石膏浸出液检测依据HJ 557-2010制备，检测指标涵盖规程全部控制项；</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根据</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2026年1月云南方源科技有限公司检测结果显示：pH 7.45~7.68、氟化物0.05~0.45mg/L、磷酸盐0.01~0.05mg/L等，均满足限值要求。</w:t>
                  </w:r>
                </w:p>
              </w:tc>
              <w:tc>
                <w:tcPr>
                  <w:tcW w:w="959" w:type="dxa"/>
                  <w:shd w:val="clear" w:color="auto" w:fill="auto"/>
                  <w:noWrap/>
                  <w:vAlign w:val="center"/>
                </w:tcPr>
                <w:p w14:paraId="6ECD39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符合</w:t>
                  </w:r>
                </w:p>
              </w:tc>
            </w:tr>
            <w:tr w14:paraId="1706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97" w:type="dxa"/>
                  <w:shd w:val="clear" w:color="auto" w:fill="auto"/>
                  <w:noWrap/>
                  <w:vAlign w:val="center"/>
                </w:tcPr>
                <w:p w14:paraId="7F4863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7.1-7.3按HJ/T 20取样、HJ 557制备浸出液；选择现行有效的国家/行业/地方标准进行监测分析。</w:t>
                  </w:r>
                </w:p>
              </w:tc>
              <w:tc>
                <w:tcPr>
                  <w:tcW w:w="3944" w:type="dxa"/>
                  <w:shd w:val="clear" w:color="auto" w:fill="auto"/>
                  <w:noWrap/>
                  <w:vAlign w:val="center"/>
                </w:tcPr>
                <w:p w14:paraId="2141E1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项目样品采集、保存按HJ/T 20执行；浸出液制备严格按HJ 557-2010《固体废物 浸出毒性浸出方法 水平振荡法》；委托具备CMA资质的第三方机构开展检测，分析方法采用现行国标。</w:t>
                  </w:r>
                </w:p>
              </w:tc>
              <w:tc>
                <w:tcPr>
                  <w:tcW w:w="959" w:type="dxa"/>
                  <w:shd w:val="clear" w:color="auto" w:fill="auto"/>
                  <w:noWrap/>
                  <w:vAlign w:val="center"/>
                </w:tcPr>
                <w:p w14:paraId="37795D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符合</w:t>
                  </w:r>
                </w:p>
              </w:tc>
            </w:tr>
            <w:tr w14:paraId="4225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3197" w:type="dxa"/>
                  <w:shd w:val="clear" w:color="auto" w:fill="auto"/>
                  <w:noWrap/>
                  <w:vAlign w:val="center"/>
                </w:tcPr>
                <w:p w14:paraId="106B34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7.2主要控制指标按表2监测（pH/氟化物/磷酸盐每日1次，重金属每批1次）；批次按月处理量确定（＞4万t按3万t/批）。</w:t>
                  </w:r>
                </w:p>
              </w:tc>
              <w:tc>
                <w:tcPr>
                  <w:tcW w:w="3944" w:type="dxa"/>
                  <w:shd w:val="clear" w:color="auto" w:fill="auto"/>
                  <w:noWrap/>
                  <w:vAlign w:val="center"/>
                </w:tcPr>
                <w:p w14:paraId="31E140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项目按《改性磷石膏用于矿山废弃地生态修复回填技术规范》（DB53/T 1269-2024）要求，每3万吨或每批次（以先到为准）检测一次；检测频率不低于规程要求，不合格产品全部返回重新改性。</w:t>
                  </w:r>
                </w:p>
              </w:tc>
              <w:tc>
                <w:tcPr>
                  <w:tcW w:w="959" w:type="dxa"/>
                  <w:shd w:val="clear" w:color="auto" w:fill="auto"/>
                  <w:noWrap/>
                  <w:vAlign w:val="center"/>
                </w:tcPr>
                <w:p w14:paraId="4CEE23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符合</w:t>
                  </w:r>
                </w:p>
              </w:tc>
            </w:tr>
            <w:tr w14:paraId="78BC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3197" w:type="dxa"/>
                  <w:shd w:val="clear" w:color="auto" w:fill="auto"/>
                  <w:noWrap/>
                  <w:vAlign w:val="center"/>
                </w:tcPr>
                <w:p w14:paraId="3239FC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7.4-7.5建立监测质量管理制度；监测结果纳入磷石膏全过程管理台账，保存期限不少于五年。</w:t>
                  </w:r>
                </w:p>
              </w:tc>
              <w:tc>
                <w:tcPr>
                  <w:tcW w:w="3944" w:type="dxa"/>
                  <w:shd w:val="clear" w:color="auto" w:fill="auto"/>
                  <w:noWrap/>
                  <w:vAlign w:val="center"/>
                </w:tcPr>
                <w:p w14:paraId="526E50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项目承诺建立覆盖磷石膏产生、收集、贮存、运输、利用全过程的管理台账，如实记录数量、流向、检测等信息；检测不合格批次实行内部循环改性，监测结果归档保存≥5年。</w:t>
                  </w:r>
                </w:p>
              </w:tc>
              <w:tc>
                <w:tcPr>
                  <w:tcW w:w="959" w:type="dxa"/>
                  <w:shd w:val="clear" w:color="auto" w:fill="auto"/>
                  <w:noWrap/>
                  <w:vAlign w:val="center"/>
                </w:tcPr>
                <w:p w14:paraId="032C43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符合</w:t>
                  </w:r>
                </w:p>
              </w:tc>
            </w:tr>
          </w:tbl>
          <w:p w14:paraId="6A3B712A">
            <w:pPr>
              <w:keepNext w:val="0"/>
              <w:keepLines w:val="0"/>
              <w:suppressLineNumbers w:val="0"/>
              <w:spacing w:before="0" w:beforeAutospacing="0" w:after="0" w:afterAutospacing="0" w:line="360" w:lineRule="auto"/>
              <w:ind w:left="0" w:right="0" w:firstLine="482" w:firstLineChars="200"/>
              <w:rPr>
                <w:rFonts w:hint="default" w:hAnsi="宋体"/>
                <w:b/>
                <w:color w:val="000000" w:themeColor="text1"/>
                <w:sz w:val="24"/>
                <w:szCs w:val="28"/>
                <w:highlight w:val="none"/>
                <w14:textFill>
                  <w14:solidFill>
                    <w14:schemeClr w14:val="tx1"/>
                  </w14:solidFill>
                </w14:textFill>
              </w:rPr>
            </w:pPr>
            <w:r>
              <w:rPr>
                <w:rFonts w:hint="eastAsia" w:hAnsi="宋体"/>
                <w:b/>
                <w:color w:val="000000" w:themeColor="text1"/>
                <w:sz w:val="24"/>
                <w:szCs w:val="28"/>
                <w:highlight w:val="none"/>
                <w:lang w:val="en-US" w:eastAsia="zh-CN"/>
                <w14:textFill>
                  <w14:solidFill>
                    <w14:schemeClr w14:val="tx1"/>
                  </w14:solidFill>
                </w14:textFill>
              </w:rPr>
              <w:t>20.</w:t>
            </w:r>
            <w:r>
              <w:rPr>
                <w:rFonts w:hint="eastAsia" w:hAnsi="宋体"/>
                <w:b/>
                <w:color w:val="000000" w:themeColor="text1"/>
                <w:sz w:val="24"/>
                <w:szCs w:val="28"/>
                <w:highlight w:val="none"/>
                <w14:textFill>
                  <w14:solidFill>
                    <w14:schemeClr w14:val="tx1"/>
                  </w14:solidFill>
                </w14:textFill>
              </w:rPr>
              <w:t>选址合理性分析</w:t>
            </w:r>
          </w:p>
          <w:p w14:paraId="3E84BF4A">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sz w:val="24"/>
                <w:szCs w:val="24"/>
                <w:highlight w:val="none"/>
                <w:lang w:eastAsia="zh-CN" w:bidi="ar"/>
                <w14:textFill>
                  <w14:solidFill>
                    <w14:schemeClr w14:val="tx1"/>
                  </w14:solidFill>
                </w14:textFill>
              </w:rPr>
            </w:pPr>
            <w:r>
              <w:rPr>
                <w:rFonts w:hint="default"/>
                <w:color w:val="000000" w:themeColor="text1"/>
                <w:sz w:val="24"/>
                <w:szCs w:val="20"/>
                <w:highlight w:val="none"/>
                <w14:textFill>
                  <w14:solidFill>
                    <w14:schemeClr w14:val="tx1"/>
                  </w14:solidFill>
                </w14:textFill>
              </w:rPr>
              <w:t>本</w:t>
            </w:r>
            <w:r>
              <w:rPr>
                <w:rFonts w:hint="default"/>
                <w:color w:val="000000" w:themeColor="text1"/>
                <w:sz w:val="24"/>
                <w:szCs w:val="20"/>
                <w:highlight w:val="none"/>
                <w:lang w:bidi="ar"/>
                <w14:textFill>
                  <w14:solidFill>
                    <w14:schemeClr w14:val="tx1"/>
                  </w14:solidFill>
                </w14:textFill>
              </w:rPr>
              <w:t>项目</w:t>
            </w:r>
            <w:r>
              <w:rPr>
                <w:rFonts w:hint="eastAsia"/>
                <w:color w:val="000000" w:themeColor="text1"/>
                <w:sz w:val="24"/>
                <w:szCs w:val="20"/>
                <w:highlight w:val="none"/>
                <w:lang w:eastAsia="zh-CN" w:bidi="ar"/>
                <w14:textFill>
                  <w14:solidFill>
                    <w14:schemeClr w14:val="tx1"/>
                  </w14:solidFill>
                </w14:textFill>
              </w:rPr>
              <w:t>拟对云南常青树化工有限公司磷石膏库堆存的</w:t>
            </w:r>
            <w:r>
              <w:rPr>
                <w:rFonts w:hint="eastAsia"/>
                <w:color w:val="000000" w:themeColor="text1"/>
                <w:sz w:val="24"/>
                <w:szCs w:val="24"/>
                <w:highlight w:val="none"/>
                <w14:textFill>
                  <w14:solidFill>
                    <w14:schemeClr w14:val="tx1"/>
                  </w14:solidFill>
                </w14:textFill>
              </w:rPr>
              <w:t>磷石膏进行综合利用</w:t>
            </w:r>
            <w:r>
              <w:rPr>
                <w:rFonts w:hint="default"/>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eastAsia="zh-CN" w:bidi="ar"/>
                <w14:textFill>
                  <w14:solidFill>
                    <w14:schemeClr w14:val="tx1"/>
                  </w14:solidFill>
                </w14:textFill>
              </w:rPr>
              <w:t>项目改性</w:t>
            </w:r>
            <w:r>
              <w:rPr>
                <w:rFonts w:hint="eastAsia"/>
                <w:color w:val="000000" w:themeColor="text1"/>
                <w:sz w:val="24"/>
                <w:szCs w:val="24"/>
                <w:highlight w:val="none"/>
                <w:lang w:val="en-US" w:eastAsia="zh-CN" w:bidi="ar"/>
                <w14:textFill>
                  <w14:solidFill>
                    <w14:schemeClr w14:val="tx1"/>
                  </w14:solidFill>
                </w14:textFill>
              </w:rPr>
              <w:t>工程</w:t>
            </w:r>
            <w:r>
              <w:rPr>
                <w:rFonts w:hint="eastAsia"/>
                <w:color w:val="000000" w:themeColor="text1"/>
                <w:sz w:val="24"/>
                <w:szCs w:val="24"/>
                <w:highlight w:val="none"/>
                <w:lang w:eastAsia="zh-CN" w:bidi="ar"/>
                <w14:textFill>
                  <w14:solidFill>
                    <w14:schemeClr w14:val="tx1"/>
                  </w14:solidFill>
                </w14:textFill>
              </w:rPr>
              <w:t>选址于常青树</w:t>
            </w:r>
            <w:r>
              <w:rPr>
                <w:rFonts w:hint="eastAsia"/>
                <w:color w:val="000000" w:themeColor="text1"/>
                <w:sz w:val="24"/>
                <w:szCs w:val="20"/>
                <w:highlight w:val="none"/>
                <w:lang w:eastAsia="zh-CN" w:bidi="ar"/>
                <w14:textFill>
                  <w14:solidFill>
                    <w14:schemeClr w14:val="tx1"/>
                  </w14:solidFill>
                </w14:textFill>
              </w:rPr>
              <w:t>磷石膏库东侧的空地，最大限度地减少了运输距离。</w:t>
            </w:r>
          </w:p>
          <w:p w14:paraId="10E48488">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评价范围内无名胜古迹、风景区、自然保护区、饮用水源保护区等生态保护目标，不取用地下水，项目不涉及基本农田，不在禁止开发区域，不在生态保护红线范围内。项目按照该报告表中的要求，落实本环评报告中提出的废气、废水、噪声、固废治理措施，项目的建设和运营对周边环境影响较小。</w:t>
            </w:r>
          </w:p>
          <w:p w14:paraId="615236EA">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项目用地性质为工业用地，不占用基本农田，用地不属于《禁止用地项目目录（2012年本）》和《限制用地项目目录（2012年本》中的禁止用地和限制用地项目。</w:t>
            </w:r>
            <w:r>
              <w:rPr>
                <w:rFonts w:hint="default"/>
                <w:color w:val="000000" w:themeColor="text1"/>
                <w:sz w:val="24"/>
                <w:szCs w:val="20"/>
                <w:highlight w:val="none"/>
                <w14:textFill>
                  <w14:solidFill>
                    <w14:schemeClr w14:val="tx1"/>
                  </w14:solidFill>
                </w14:textFill>
              </w:rPr>
              <w:t>且项目符合《昆明市人民政府关于实施“三线一单”生态环境分区管控的意见》（昆政发</w:t>
            </w:r>
            <w:r>
              <w:rPr>
                <w:rFonts w:hint="eastAsia"/>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2021</w:t>
            </w:r>
            <w:r>
              <w:rPr>
                <w:rFonts w:hint="eastAsia"/>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21号）、《云南省牛栏江保护条例</w:t>
            </w:r>
            <w:r>
              <w:rPr>
                <w:rFonts w:hint="eastAsia"/>
                <w:color w:val="000000" w:themeColor="text1"/>
                <w:sz w:val="24"/>
                <w:szCs w:val="20"/>
                <w:highlight w:val="none"/>
                <w:lang w:eastAsia="zh-CN"/>
                <w14:textFill>
                  <w14:solidFill>
                    <w14:schemeClr w14:val="tx1"/>
                  </w14:solidFill>
                </w14:textFill>
              </w:rPr>
              <w:t>》《</w:t>
            </w:r>
            <w:r>
              <w:rPr>
                <w:rFonts w:hint="eastAsia"/>
                <w:bCs/>
                <w:color w:val="000000" w:themeColor="text1"/>
                <w:sz w:val="24"/>
                <w:szCs w:val="20"/>
                <w:highlight w:val="none"/>
                <w14:textFill>
                  <w14:solidFill>
                    <w14:schemeClr w14:val="tx1"/>
                  </w14:solidFill>
                </w14:textFill>
              </w:rPr>
              <w:t>长江经济带发展负面清单指南》（试行，2022年版）、</w:t>
            </w:r>
            <w:r>
              <w:rPr>
                <w:rFonts w:hint="eastAsia" w:hAnsi="宋体"/>
                <w:bCs/>
                <w:color w:val="000000" w:themeColor="text1"/>
                <w:sz w:val="24"/>
                <w:szCs w:val="20"/>
                <w:highlight w:val="none"/>
                <w14:textFill>
                  <w14:solidFill>
                    <w14:schemeClr w14:val="tx1"/>
                  </w14:solidFill>
                </w14:textFill>
              </w:rPr>
              <w:t>《云南省长江经济带发展负面清单指南实施细则（试行，2022年版）</w:t>
            </w:r>
            <w:r>
              <w:rPr>
                <w:rFonts w:hint="eastAsia" w:hAnsi="宋体"/>
                <w:bCs/>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中华人民共和国长江保护法</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昆明市大气污染防治条例</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云南省固体废物污染环境防治条例</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云南省工业固体废物和重金属污染防治“十四五”规划</w:t>
            </w:r>
            <w:r>
              <w:rPr>
                <w:rFonts w:hint="eastAsia"/>
                <w:color w:val="000000" w:themeColor="text1"/>
                <w:sz w:val="24"/>
                <w:szCs w:val="20"/>
                <w:highlight w:val="none"/>
                <w:lang w:eastAsia="zh-CN"/>
                <w14:textFill>
                  <w14:solidFill>
                    <w14:schemeClr w14:val="tx1"/>
                  </w14:solidFill>
                </w14:textFill>
              </w:rPr>
              <w:t>》等</w:t>
            </w:r>
            <w:r>
              <w:rPr>
                <w:rFonts w:hint="default"/>
                <w:color w:val="000000" w:themeColor="text1"/>
                <w:sz w:val="24"/>
                <w:szCs w:val="20"/>
                <w:highlight w:val="none"/>
                <w14:textFill>
                  <w14:solidFill>
                    <w14:schemeClr w14:val="tx1"/>
                  </w14:solidFill>
                </w14:textFill>
              </w:rPr>
              <w:t>。</w:t>
            </w:r>
          </w:p>
          <w:p w14:paraId="22944308">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highlight w:val="none"/>
                <w:lang w:bidi="ar"/>
                <w14:textFill>
                  <w14:solidFill>
                    <w14:schemeClr w14:val="tx1"/>
                  </w14:solidFill>
                </w14:textFill>
              </w:rPr>
            </w:pPr>
            <w:r>
              <w:rPr>
                <w:rFonts w:hint="eastAsia"/>
                <w:color w:val="000000" w:themeColor="text1"/>
                <w:sz w:val="24"/>
                <w:szCs w:val="20"/>
                <w:highlight w:val="none"/>
                <w14:textFill>
                  <w14:solidFill>
                    <w14:schemeClr w14:val="tx1"/>
                  </w14:solidFill>
                </w14:textFill>
              </w:rPr>
              <w:t>根据工程分析，项目产生的噪声能达标排放，废水全部回用，固体废物</w:t>
            </w:r>
            <w:r>
              <w:rPr>
                <w:rFonts w:hint="default"/>
                <w:color w:val="000000" w:themeColor="text1"/>
                <w:sz w:val="24"/>
                <w:szCs w:val="20"/>
                <w:highlight w:val="none"/>
                <w14:textFill>
                  <w14:solidFill>
                    <w14:schemeClr w14:val="tx1"/>
                  </w14:solidFill>
                </w14:textFill>
              </w:rPr>
              <w:t>100%</w:t>
            </w:r>
            <w:r>
              <w:rPr>
                <w:rFonts w:hint="eastAsia"/>
                <w:color w:val="000000" w:themeColor="text1"/>
                <w:sz w:val="24"/>
                <w:szCs w:val="20"/>
                <w:highlight w:val="none"/>
                <w14:textFill>
                  <w14:solidFill>
                    <w14:schemeClr w14:val="tx1"/>
                  </w14:solidFill>
                </w14:textFill>
              </w:rPr>
              <w:t>合理处置，项目的生产对周围村庄等敏感点影响不大，本项目与周围环境是相容的。</w:t>
            </w:r>
          </w:p>
          <w:p w14:paraId="48BBB8F2">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highlight w:val="none"/>
                <w:lang w:bidi="ar"/>
                <w14:textFill>
                  <w14:solidFill>
                    <w14:schemeClr w14:val="tx1"/>
                  </w14:solidFill>
                </w14:textFill>
              </w:rPr>
            </w:pPr>
            <w:r>
              <w:rPr>
                <w:rFonts w:hint="default"/>
                <w:color w:val="000000" w:themeColor="text1"/>
                <w:sz w:val="24"/>
                <w:szCs w:val="20"/>
                <w:highlight w:val="none"/>
                <w:lang w:bidi="ar"/>
                <w14:textFill>
                  <w14:solidFill>
                    <w14:schemeClr w14:val="tx1"/>
                  </w14:solidFill>
                </w14:textFill>
              </w:rPr>
              <w:t>综上，</w:t>
            </w:r>
            <w:r>
              <w:rPr>
                <w:rFonts w:hint="eastAsia"/>
                <w:color w:val="000000" w:themeColor="text1"/>
                <w:sz w:val="24"/>
                <w:szCs w:val="20"/>
                <w:highlight w:val="none"/>
                <w14:textFill>
                  <w14:solidFill>
                    <w14:schemeClr w14:val="tx1"/>
                  </w14:solidFill>
                </w14:textFill>
              </w:rPr>
              <w:t>本项目的选址是可行的</w:t>
            </w:r>
            <w:r>
              <w:rPr>
                <w:rFonts w:hint="eastAsia"/>
                <w:color w:val="000000" w:themeColor="text1"/>
                <w:sz w:val="24"/>
                <w:szCs w:val="20"/>
                <w:highlight w:val="none"/>
                <w:lang w:eastAsia="zh-CN"/>
                <w14:textFill>
                  <w14:solidFill>
                    <w14:schemeClr w14:val="tx1"/>
                  </w14:solidFill>
                </w14:textFill>
              </w:rPr>
              <w:t>。</w:t>
            </w:r>
          </w:p>
          <w:p w14:paraId="34DED312">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1F9952C4">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3B99A45F">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26824E3B">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5E190BD4">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2A2E70FC">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54914260">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0586EDFC">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6CEF0D18">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5CCDEB42">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1DEA6C93">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153EC7B9">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2511A37E">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6600871E">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3219B810">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76030BF0">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0280BBF7">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21BD7DE9">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5701B310">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0E8CFD07">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42C00149">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1FBC768F">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3CB4FFBC">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76D3502F">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3DDDBB75">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6D5C5D79">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31FC1159">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193EA44D">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2342BFC0">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4FB4C0A9">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74CF7230">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59AC3148">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3D856630">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1B02C481">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789BBB65">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036E7330">
            <w:pPr>
              <w:keepNext w:val="0"/>
              <w:keepLines w:val="0"/>
              <w:suppressLineNumbers w:val="0"/>
              <w:bidi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p w14:paraId="44944FF7">
            <w:pPr>
              <w:keepNext w:val="0"/>
              <w:keepLines w:val="0"/>
              <w:suppressLineNumbers w:val="0"/>
              <w:spacing w:before="0" w:beforeAutospacing="0" w:after="0" w:afterAutospacing="0" w:line="360" w:lineRule="auto"/>
              <w:ind w:left="0" w:right="0"/>
              <w:jc w:val="left"/>
              <w:rPr>
                <w:rFonts w:hint="default"/>
                <w:color w:val="000000" w:themeColor="text1"/>
                <w:sz w:val="24"/>
                <w:szCs w:val="20"/>
                <w:highlight w:val="none"/>
                <w14:textFill>
                  <w14:solidFill>
                    <w14:schemeClr w14:val="tx1"/>
                  </w14:solidFill>
                </w14:textFill>
              </w:rPr>
            </w:pPr>
          </w:p>
        </w:tc>
      </w:tr>
    </w:tbl>
    <w:p w14:paraId="6318C9BB">
      <w:pPr>
        <w:numPr>
          <w:ilvl w:val="0"/>
          <w:numId w:val="3"/>
        </w:numPr>
        <w:spacing w:line="360" w:lineRule="auto"/>
        <w:jc w:val="center"/>
        <w:outlineLvl w:val="0"/>
        <w:rPr>
          <w:b/>
          <w:snapToGrid w:val="0"/>
          <w:sz w:val="30"/>
          <w:szCs w:val="30"/>
        </w:rPr>
        <w:sectPr>
          <w:footerReference r:id="rId6" w:type="default"/>
          <w:footerReference r:id="rId7"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E54CF06">
      <w:pPr>
        <w:numPr>
          <w:ilvl w:val="0"/>
          <w:numId w:val="3"/>
        </w:numPr>
        <w:spacing w:line="360" w:lineRule="auto"/>
        <w:jc w:val="center"/>
        <w:outlineLvl w:val="0"/>
        <w:rPr>
          <w:b/>
          <w:snapToGrid w:val="0"/>
          <w:sz w:val="30"/>
          <w:szCs w:val="30"/>
        </w:rPr>
      </w:pPr>
      <w:r>
        <w:rPr>
          <w:rFonts w:hint="eastAsia"/>
          <w:b/>
          <w:snapToGrid w:val="0"/>
          <w:sz w:val="30"/>
          <w:szCs w:val="30"/>
        </w:rPr>
        <w:t>建设项目工程分析</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607"/>
      </w:tblGrid>
      <w:tr w14:paraId="00D0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7" w:hRule="atLeast"/>
        </w:trPr>
        <w:tc>
          <w:tcPr>
            <w:tcW w:w="456" w:type="dxa"/>
            <w:tcBorders>
              <w:top w:val="single" w:color="auto" w:sz="4" w:space="0"/>
              <w:bottom w:val="single" w:color="auto" w:sz="4" w:space="0"/>
            </w:tcBorders>
            <w:vAlign w:val="center"/>
          </w:tcPr>
          <w:p w14:paraId="5C73574B">
            <w:pPr>
              <w:pStyle w:val="40"/>
              <w:keepNext w:val="0"/>
              <w:keepLines w:val="0"/>
              <w:suppressLineNumbers w:val="0"/>
              <w:adjustRightInd w:val="0"/>
              <w:snapToGrid w:val="0"/>
              <w:spacing w:before="120" w:beforeAutospacing="0" w:after="0" w:afterAutospacing="0" w:line="360" w:lineRule="auto"/>
              <w:ind w:left="0" w:right="0"/>
              <w:jc w:val="center"/>
              <w:rPr>
                <w:rFonts w:hint="default" w:ascii="Times New Roman" w:hAnsi="Times New Roman"/>
                <w:color w:val="000000" w:themeColor="text1"/>
                <w:szCs w:val="24"/>
                <w:highlight w:val="none"/>
                <w14:textFill>
                  <w14:solidFill>
                    <w14:schemeClr w14:val="tx1"/>
                  </w14:solidFill>
                </w14:textFill>
              </w:rPr>
            </w:pPr>
            <w:r>
              <w:rPr>
                <w:rFonts w:hint="default" w:ascii="Times New Roman" w:hAnsi="Times New Roman"/>
                <w:color w:val="000000" w:themeColor="text1"/>
                <w:szCs w:val="24"/>
                <w:highlight w:val="none"/>
                <w14:textFill>
                  <w14:solidFill>
                    <w14:schemeClr w14:val="tx1"/>
                  </w14:solidFill>
                </w14:textFill>
              </w:rPr>
              <w:t>建设内容</w:t>
            </w:r>
          </w:p>
        </w:tc>
        <w:tc>
          <w:tcPr>
            <w:tcW w:w="8604" w:type="dxa"/>
            <w:tcBorders>
              <w:top w:val="single" w:color="auto" w:sz="4" w:space="0"/>
              <w:bottom w:val="single" w:color="auto" w:sz="4" w:space="0"/>
            </w:tcBorders>
          </w:tcPr>
          <w:p w14:paraId="321FDB55">
            <w:pPr>
              <w:keepNext w:val="0"/>
              <w:keepLines w:val="0"/>
              <w:suppressLineNumbers w:val="0"/>
              <w:autoSpaceDE w:val="0"/>
              <w:autoSpaceDN w:val="0"/>
              <w:adjustRightInd w:val="0"/>
              <w:spacing w:before="0" w:beforeAutospacing="0" w:after="0" w:afterAutospacing="0" w:line="360" w:lineRule="auto"/>
              <w:ind w:left="0" w:right="0" w:firstLine="482" w:firstLineChars="200"/>
              <w:rPr>
                <w:rFonts w:hint="default"/>
                <w:color w:val="000000" w:themeColor="text1"/>
                <w:sz w:val="24"/>
                <w:szCs w:val="24"/>
                <w:highlight w:val="none"/>
                <w14:textFill>
                  <w14:solidFill>
                    <w14:schemeClr w14:val="tx1"/>
                  </w14:solidFill>
                </w14:textFill>
              </w:rPr>
            </w:pPr>
            <w:r>
              <w:rPr>
                <w:rFonts w:hint="eastAsia"/>
                <w:b/>
                <w:color w:val="000000" w:themeColor="text1"/>
                <w:sz w:val="24"/>
                <w:szCs w:val="24"/>
                <w:highlight w:val="none"/>
                <w:lang w:val="en-US" w:eastAsia="zh-CN"/>
                <w14:textFill>
                  <w14:solidFill>
                    <w14:schemeClr w14:val="tx1"/>
                  </w14:solidFill>
                </w14:textFill>
              </w:rPr>
              <w:t xml:space="preserve">2.1 </w:t>
            </w:r>
            <w:r>
              <w:rPr>
                <w:rFonts w:hint="eastAsia"/>
                <w:b/>
                <w:color w:val="000000" w:themeColor="text1"/>
                <w:sz w:val="24"/>
                <w:szCs w:val="24"/>
                <w:highlight w:val="none"/>
                <w14:textFill>
                  <w14:solidFill>
                    <w14:schemeClr w14:val="tx1"/>
                  </w14:solidFill>
                </w14:textFill>
              </w:rPr>
              <w:t>项目</w:t>
            </w:r>
            <w:r>
              <w:rPr>
                <w:rFonts w:hint="default"/>
                <w:b/>
                <w:color w:val="000000" w:themeColor="text1"/>
                <w:sz w:val="24"/>
                <w:szCs w:val="24"/>
                <w:highlight w:val="none"/>
                <w14:textFill>
                  <w14:solidFill>
                    <w14:schemeClr w14:val="tx1"/>
                  </w14:solidFill>
                </w14:textFill>
              </w:rPr>
              <w:t>提出的背景</w:t>
            </w:r>
          </w:p>
          <w:p w14:paraId="26ADC3FE">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0"/>
                <w:highlight w:val="none"/>
                <w14:textFill>
                  <w14:solidFill>
                    <w14:schemeClr w14:val="tx1"/>
                  </w14:solidFill>
                </w14:textFill>
              </w:rPr>
              <w:t>根据2024年3月昆明市生态环境局对云南常青树化工有限公司磷石膏渣场进行现场检查及云南常青树化工有限公司自查自验识别的环境问题，云南常青树化工有限公司存在：1</w:t>
            </w:r>
            <w:r>
              <w:rPr>
                <w:rFonts w:hint="eastAsia" w:cs="Times New Roman"/>
                <w:color w:val="000000" w:themeColor="text1"/>
                <w:sz w:val="24"/>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0"/>
                <w:highlight w:val="none"/>
                <w14:textFill>
                  <w14:solidFill>
                    <w14:schemeClr w14:val="tx1"/>
                  </w14:solidFill>
                </w14:textFill>
              </w:rPr>
              <w:t>地方溯源分析认为厂区对聂鼠龙河造成污染；2</w:t>
            </w:r>
            <w:r>
              <w:rPr>
                <w:rFonts w:hint="eastAsia" w:cs="Times New Roman"/>
                <w:color w:val="000000" w:themeColor="text1"/>
                <w:sz w:val="24"/>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0"/>
                <w:highlight w:val="none"/>
                <w14:textFill>
                  <w14:solidFill>
                    <w14:schemeClr w14:val="tx1"/>
                  </w14:solidFill>
                </w14:textFill>
              </w:rPr>
              <w:t>常青树磷石膏渣库不满足</w:t>
            </w:r>
            <w:r>
              <w:rPr>
                <w:rFonts w:hint="eastAsia" w:cs="Times New Roman"/>
                <w:color w:val="000000" w:themeColor="text1"/>
                <w:sz w:val="24"/>
                <w:szCs w:val="20"/>
                <w:highlight w:val="none"/>
                <w:lang w:eastAsia="zh-CN"/>
                <w14:textFill>
                  <w14:solidFill>
                    <w14:schemeClr w14:val="tx1"/>
                  </w14:solidFill>
                </w14:textFill>
              </w:rPr>
              <w:t>Ⅱ类</w:t>
            </w:r>
            <w:r>
              <w:rPr>
                <w:rFonts w:hint="default" w:ascii="Times New Roman" w:hAnsi="Times New Roman" w:eastAsia="宋体" w:cs="Times New Roman"/>
                <w:color w:val="000000" w:themeColor="text1"/>
                <w:sz w:val="24"/>
                <w:szCs w:val="20"/>
                <w:highlight w:val="none"/>
                <w14:textFill>
                  <w14:solidFill>
                    <w14:schemeClr w14:val="tx1"/>
                  </w14:solidFill>
                </w14:textFill>
              </w:rPr>
              <w:t>固废防渗要求；3</w:t>
            </w:r>
            <w:r>
              <w:rPr>
                <w:rFonts w:hint="eastAsia" w:cs="Times New Roman"/>
                <w:color w:val="000000" w:themeColor="text1"/>
                <w:sz w:val="24"/>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0"/>
                <w:highlight w:val="none"/>
                <w14:textFill>
                  <w14:solidFill>
                    <w14:schemeClr w14:val="tx1"/>
                  </w14:solidFill>
                </w14:textFill>
              </w:rPr>
              <w:t>下游龙潭地下水氟化物、总磷超标</w:t>
            </w:r>
            <w:r>
              <w:rPr>
                <w:rFonts w:hint="eastAsia" w:cs="Times New Roman"/>
                <w:color w:val="000000" w:themeColor="text1"/>
                <w:sz w:val="24"/>
                <w:szCs w:val="20"/>
                <w:highlight w:val="none"/>
                <w:lang w:eastAsia="zh-CN"/>
                <w14:textFill>
                  <w14:solidFill>
                    <w14:schemeClr w14:val="tx1"/>
                  </w14:solidFill>
                </w14:textFill>
              </w:rPr>
              <w:t>等</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环境问题。</w:t>
            </w:r>
            <w:r>
              <w:rPr>
                <w:rFonts w:hint="default" w:ascii="Times New Roman" w:hAnsi="Times New Roman" w:eastAsia="宋体" w:cs="Times New Roman"/>
                <w:color w:val="000000" w:themeColor="text1"/>
                <w:sz w:val="24"/>
                <w:szCs w:val="20"/>
                <w:highlight w:val="none"/>
                <w14:textFill>
                  <w14:solidFill>
                    <w14:schemeClr w14:val="tx1"/>
                  </w14:solidFill>
                </w14:textFill>
              </w:rPr>
              <w:t>由于云南常青树化工有限公司长期经营亏损，资金有限，无法彻底解决磷石膏渣场环境问题，无法从源头实现污染治理</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0"/>
                <w:highlight w:val="none"/>
                <w14:textFill>
                  <w14:solidFill>
                    <w14:schemeClr w14:val="tx1"/>
                  </w14:solidFill>
                </w14:textFill>
              </w:rPr>
              <w:t>无法履行企业主体责任</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w:t>
            </w:r>
            <w:bookmarkStart w:id="6" w:name="_Toc173834663"/>
            <w:bookmarkStart w:id="7" w:name="_Toc173834295"/>
            <w:bookmarkStart w:id="8" w:name="_Toc173835049"/>
            <w:bookmarkStart w:id="9" w:name="_Toc21251"/>
            <w:r>
              <w:rPr>
                <w:rFonts w:hint="default" w:ascii="Times New Roman" w:hAnsi="Times New Roman" w:eastAsia="宋体" w:cs="Times New Roman"/>
                <w:color w:val="000000" w:themeColor="text1"/>
                <w:sz w:val="24"/>
                <w:szCs w:val="20"/>
                <w:highlight w:val="none"/>
                <w14:textFill>
                  <w14:solidFill>
                    <w14:schemeClr w14:val="tx1"/>
                  </w14:solidFill>
                </w14:textFill>
              </w:rPr>
              <w:t>鉴于此，寻甸县人民政府经研究决定政府兜底责任，</w:t>
            </w:r>
            <w:r>
              <w:rPr>
                <w:rFonts w:hint="eastAsia" w:ascii="Times New Roman" w:hAnsi="Times New Roman" w:eastAsia="宋体" w:cs="Times New Roman"/>
                <w:color w:val="000000" w:themeColor="text1"/>
                <w:sz w:val="24"/>
                <w:szCs w:val="20"/>
                <w:highlight w:val="none"/>
                <w14:textFill>
                  <w14:solidFill>
                    <w14:schemeClr w14:val="tx1"/>
                  </w14:solidFill>
                </w14:textFill>
              </w:rPr>
              <w:t>由寻甸县</w:t>
            </w:r>
            <w:r>
              <w:rPr>
                <w:rFonts w:hint="default" w:ascii="Times New Roman" w:hAnsi="Times New Roman" w:eastAsia="宋体" w:cs="Times New Roman"/>
                <w:color w:val="000000" w:themeColor="text1"/>
                <w:sz w:val="24"/>
                <w:szCs w:val="20"/>
                <w:highlight w:val="none"/>
                <w14:textFill>
                  <w14:solidFill>
                    <w14:schemeClr w14:val="tx1"/>
                  </w14:solidFill>
                </w14:textFill>
              </w:rPr>
              <w:t>科技和工业信息化局承担云南常青树化工有限公司磷石膏渣场的综合治理任务，</w:t>
            </w:r>
            <w:r>
              <w:rPr>
                <w:rFonts w:hint="eastAsia" w:ascii="Times New Roman" w:hAnsi="Times New Roman" w:eastAsia="宋体" w:cs="Times New Roman"/>
                <w:color w:val="000000" w:themeColor="text1"/>
                <w:sz w:val="24"/>
                <w:szCs w:val="20"/>
                <w:highlight w:val="none"/>
                <w14:textFill>
                  <w14:solidFill>
                    <w14:schemeClr w14:val="tx1"/>
                  </w14:solidFill>
                </w14:textFill>
              </w:rPr>
              <w:t>利用</w:t>
            </w:r>
            <w:r>
              <w:rPr>
                <w:rFonts w:hint="default" w:ascii="Times New Roman" w:hAnsi="Times New Roman" w:eastAsia="宋体" w:cs="Times New Roman"/>
                <w:color w:val="000000" w:themeColor="text1"/>
                <w:sz w:val="24"/>
                <w:szCs w:val="20"/>
                <w:highlight w:val="none"/>
                <w14:textFill>
                  <w14:solidFill>
                    <w14:schemeClr w14:val="tx1"/>
                  </w14:solidFill>
                </w14:textFill>
              </w:rPr>
              <w:t>云南常青树化工有限公司</w:t>
            </w:r>
            <w:r>
              <w:rPr>
                <w:rFonts w:hint="eastAsia" w:ascii="Times New Roman" w:hAnsi="Times New Roman" w:eastAsia="宋体" w:cs="Times New Roman"/>
                <w:color w:val="000000" w:themeColor="text1"/>
                <w:sz w:val="24"/>
                <w:szCs w:val="20"/>
                <w:highlight w:val="none"/>
                <w14:textFill>
                  <w14:solidFill>
                    <w14:schemeClr w14:val="tx1"/>
                  </w14:solidFill>
                </w14:textFill>
              </w:rPr>
              <w:t>磷石膏经改性后</w:t>
            </w:r>
            <w:r>
              <w:rPr>
                <w:rFonts w:hint="default" w:ascii="Times New Roman" w:hAnsi="Times New Roman" w:eastAsia="宋体" w:cs="Times New Roman"/>
                <w:color w:val="000000" w:themeColor="text1"/>
                <w:sz w:val="24"/>
                <w:szCs w:val="20"/>
                <w:highlight w:val="none"/>
                <w14:textFill>
                  <w14:solidFill>
                    <w14:schemeClr w14:val="tx1"/>
                  </w14:solidFill>
                </w14:textFill>
              </w:rPr>
              <w:t>对</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寻甸县</w:t>
            </w:r>
            <w:r>
              <w:rPr>
                <w:rFonts w:hint="eastAsia" w:cs="Times New Roman"/>
                <w:color w:val="000000" w:themeColor="text1"/>
                <w:sz w:val="24"/>
                <w:szCs w:val="20"/>
                <w:highlight w:val="none"/>
                <w:lang w:eastAsia="zh-CN"/>
                <w14:textFill>
                  <w14:solidFill>
                    <w14:schemeClr w14:val="tx1"/>
                  </w14:solidFill>
                </w14:textFill>
              </w:rPr>
              <w:t>塘子街道</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钟灵村委会令友采石场</w:t>
            </w:r>
            <w:r>
              <w:rPr>
                <w:rFonts w:hint="default" w:ascii="Times New Roman" w:hAnsi="Times New Roman" w:eastAsia="宋体" w:cs="Times New Roman"/>
                <w:color w:val="000000" w:themeColor="text1"/>
                <w:sz w:val="24"/>
                <w:szCs w:val="20"/>
                <w:highlight w:val="none"/>
                <w14:textFill>
                  <w14:solidFill>
                    <w14:schemeClr w14:val="tx1"/>
                  </w14:solidFill>
                </w14:textFill>
              </w:rPr>
              <w:t>进行矿山生态修复工程充填，实现常青树磷石膏库清空处置，消除隐患风险。</w:t>
            </w:r>
          </w:p>
          <w:p w14:paraId="303ABFC1">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0"/>
                <w:highlight w:val="none"/>
                <w14:textFill>
                  <w14:solidFill>
                    <w14:schemeClr w14:val="tx1"/>
                  </w14:solidFill>
                </w14:textFill>
              </w:rPr>
              <w:t>本项目是寻甸县深入贯彻习近平生态文明思想、习近平总书记考察云南重要讲话以及关于长江生态环境保护、磷石膏综合治理的重要指示批示精神，基于云南常青树化工有限公司磷石膏渣场现状实际提出的一项环境保护和生态治理项目，是基于云南常青树化工有限公司磷石膏渣场常年堆存磷石膏渣造成的环境污染，以及</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寻甸县</w:t>
            </w:r>
            <w:r>
              <w:rPr>
                <w:rFonts w:hint="eastAsia" w:cs="Times New Roman"/>
                <w:color w:val="000000" w:themeColor="text1"/>
                <w:sz w:val="24"/>
                <w:szCs w:val="20"/>
                <w:highlight w:val="none"/>
                <w:lang w:eastAsia="zh-CN"/>
                <w14:textFill>
                  <w14:solidFill>
                    <w14:schemeClr w14:val="tx1"/>
                  </w14:solidFill>
                </w14:textFill>
              </w:rPr>
              <w:t>塘子街道</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钟灵村委会令友采石场</w:t>
            </w:r>
            <w:r>
              <w:rPr>
                <w:rFonts w:hint="default" w:ascii="Times New Roman" w:hAnsi="Times New Roman" w:eastAsia="宋体" w:cs="Times New Roman"/>
                <w:color w:val="000000" w:themeColor="text1"/>
                <w:sz w:val="24"/>
                <w:szCs w:val="20"/>
                <w:highlight w:val="none"/>
                <w14:textFill>
                  <w14:solidFill>
                    <w14:schemeClr w14:val="tx1"/>
                  </w14:solidFill>
                </w14:textFill>
              </w:rPr>
              <w:t>废弃矿山生态修复任务而提出的统筹解决方案。</w:t>
            </w:r>
          </w:p>
          <w:p w14:paraId="369008AE">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14:textFill>
                  <w14:solidFill>
                    <w14:schemeClr w14:val="tx1"/>
                  </w14:solidFill>
                </w14:textFill>
              </w:rPr>
              <w:t>20</w:t>
            </w:r>
            <w:r>
              <w:rPr>
                <w:rFonts w:hint="eastAsia" w:ascii="Times New Roman" w:hAnsi="Times New Roman" w:eastAsia="宋体" w:cs="Times New Roman"/>
                <w:color w:val="000000" w:themeColor="text1"/>
                <w:sz w:val="24"/>
                <w:szCs w:val="20"/>
                <w:highlight w:val="none"/>
                <w14:textFill>
                  <w14:solidFill>
                    <w14:schemeClr w14:val="tx1"/>
                  </w14:solidFill>
                </w14:textFill>
              </w:rPr>
              <w:t>25</w:t>
            </w:r>
            <w:r>
              <w:rPr>
                <w:rFonts w:hint="default" w:ascii="Times New Roman" w:hAnsi="Times New Roman" w:eastAsia="宋体" w:cs="Times New Roman"/>
                <w:color w:val="000000" w:themeColor="text1"/>
                <w:sz w:val="24"/>
                <w:szCs w:val="20"/>
                <w:highlight w:val="none"/>
                <w14:textFill>
                  <w14:solidFill>
                    <w14:schemeClr w14:val="tx1"/>
                  </w14:solidFill>
                </w14:textFill>
              </w:rPr>
              <w:t>年3月</w:t>
            </w:r>
            <w:r>
              <w:rPr>
                <w:rFonts w:hint="eastAsia" w:ascii="Times New Roman" w:hAnsi="Times New Roman" w:eastAsia="宋体" w:cs="Times New Roman"/>
                <w:color w:val="000000" w:themeColor="text1"/>
                <w:sz w:val="24"/>
                <w:szCs w:val="20"/>
                <w:highlight w:val="none"/>
                <w14:textFill>
                  <w14:solidFill>
                    <w14:schemeClr w14:val="tx1"/>
                  </w14:solidFill>
                </w14:textFill>
              </w:rPr>
              <w:t>10</w:t>
            </w:r>
            <w:r>
              <w:rPr>
                <w:rFonts w:hint="default" w:ascii="Times New Roman" w:hAnsi="Times New Roman" w:eastAsia="宋体" w:cs="Times New Roman"/>
                <w:color w:val="000000" w:themeColor="text1"/>
                <w:sz w:val="24"/>
                <w:szCs w:val="20"/>
                <w:highlight w:val="none"/>
                <w14:textFill>
                  <w14:solidFill>
                    <w14:schemeClr w14:val="tx1"/>
                  </w14:solidFill>
                </w14:textFill>
              </w:rPr>
              <w:t>日</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0"/>
                <w:highlight w:val="none"/>
                <w14:textFill>
                  <w14:solidFill>
                    <w14:schemeClr w14:val="tx1"/>
                  </w14:solidFill>
                </w14:textFill>
              </w:rPr>
              <w:t>寻甸县科技和工业信息化局取得</w:t>
            </w:r>
            <w:r>
              <w:rPr>
                <w:rFonts w:hint="eastAsia" w:ascii="Times New Roman" w:hAnsi="Times New Roman" w:eastAsia="宋体" w:cs="Times New Roman"/>
                <w:color w:val="000000" w:themeColor="text1"/>
                <w:sz w:val="24"/>
                <w:szCs w:val="20"/>
                <w:highlight w:val="none"/>
                <w14:textFill>
                  <w14:solidFill>
                    <w14:schemeClr w14:val="tx1"/>
                  </w14:solidFill>
                </w14:textFill>
              </w:rPr>
              <w:t>《寻甸回族彝族自治县发展和改革局关于寻甸县常青树磷石膏库综合治理项目可行性研究报告批复》（寻发改投资〔2025〕1号）</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。批复内容如下：</w:t>
            </w:r>
            <w:r>
              <w:rPr>
                <w:rFonts w:hint="default" w:ascii="Times New Roman" w:hAnsi="Times New Roman" w:eastAsia="宋体" w:cs="Times New Roman"/>
                <w:color w:val="000000" w:themeColor="text1"/>
                <w:sz w:val="24"/>
                <w:szCs w:val="20"/>
                <w:highlight w:val="none"/>
                <w14:textFill>
                  <w14:solidFill>
                    <w14:schemeClr w14:val="tx1"/>
                  </w14:solidFill>
                </w14:textFill>
              </w:rPr>
              <w:t>项目代码：2502-530129-04-05-901566</w:t>
            </w:r>
            <w:r>
              <w:rPr>
                <w:rFonts w:hint="eastAsia" w:cs="Times New Roman"/>
                <w:color w:val="000000" w:themeColor="text1"/>
                <w:sz w:val="24"/>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拟建地址：寻甸县塘子镇云南常青树化工有限公司磷石膏渣场、寻甸县鸡街镇大旋塘采石场</w:t>
            </w:r>
            <w:r>
              <w:rPr>
                <w:rFonts w:hint="eastAsia" w:cs="Times New Roman"/>
                <w:color w:val="000000" w:themeColor="text1"/>
                <w:sz w:val="24"/>
                <w:szCs w:val="20"/>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建设内容及规模：1、完成云南常青树磷石膏库库存量约100万吨清空处置。2、对磷石膏进行无害化处置并利用废弃矿坑回填后，实现矿坑生态修复治理面积202.5亩左右。随着项目推进，各项物探、勘测资料的不断完善，为统筹项目更好的完成生态修复，寻甸县人民政府和</w:t>
            </w:r>
            <w:r>
              <w:rPr>
                <w:rFonts w:hint="default" w:ascii="Times New Roman" w:hAnsi="Times New Roman" w:eastAsia="宋体" w:cs="Times New Roman"/>
                <w:color w:val="000000" w:themeColor="text1"/>
                <w:sz w:val="24"/>
                <w:szCs w:val="20"/>
                <w:highlight w:val="none"/>
                <w14:textFill>
                  <w14:solidFill>
                    <w14:schemeClr w14:val="tx1"/>
                  </w14:solidFill>
                </w14:textFill>
              </w:rPr>
              <w:t>寻甸县科技和工业信息化局</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商议决定将矿坑生态修复治理选址由寻甸县鸡街镇大旋塘采石场变更为</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寻甸县塘子镇钟灵村委会令友采石场，</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为此，寻甸县回族彝族自治县发展和改革局出具了“关于常青树磷石膏库综合治理项目调整建设地点和规模的情况说明”，详见附件2。同时根据《寻甸县常青树磷石膏库堆渣体积复核项目物探勘察中间成果》（</w:t>
            </w: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详见附件</w:t>
            </w:r>
            <w:r>
              <w:rPr>
                <w:rFonts w:hint="eastAsia" w:cs="Times New Roman"/>
                <w:color w:val="000000" w:themeColor="text1"/>
                <w:sz w:val="24"/>
                <w:szCs w:val="20"/>
                <w:highlight w:val="none"/>
                <w:lang w:val="en-US" w:eastAsia="zh-CN"/>
                <w14:textFill>
                  <w14:solidFill>
                    <w14:schemeClr w14:val="tx1"/>
                  </w14:solidFill>
                </w14:textFill>
              </w:rPr>
              <w:t>8、9</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w:t>
            </w:r>
            <w:r>
              <w:rPr>
                <w:rFonts w:hint="eastAsia" w:cs="Times New Roman"/>
                <w:color w:val="000000" w:themeColor="text1"/>
                <w:sz w:val="24"/>
                <w:szCs w:val="20"/>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最终确定云南常青树化工有限公司磷石膏渣场堆存量为115.3万立方米。</w:t>
            </w:r>
          </w:p>
          <w:p w14:paraId="2FE7919B">
            <w:pPr>
              <w:keepNext w:val="0"/>
              <w:keepLines w:val="0"/>
              <w:suppressLineNumbers w:val="0"/>
              <w:spacing w:before="0" w:beforeAutospacing="0" w:after="0" w:afterAutospacing="0" w:line="360"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由于改性工程与生态修复工程作为独立治理单元，地理位置、地质条件、修复技术方案与其他子项目显著不同，各子项目需按不同地块区域或所属国民经济行业类别分别开展实施方案、环评等前期手续，因此将寻甸县常青树磷石膏库综合治理项目改性工程作为子项目进行单独申报相关手续。</w:t>
            </w:r>
            <w:r>
              <w:rPr>
                <w:rFonts w:hint="eastAsia"/>
                <w:color w:val="000000" w:themeColor="text1"/>
                <w:kern w:val="0"/>
                <w:sz w:val="24"/>
                <w:szCs w:val="20"/>
                <w:highlight w:val="none"/>
                <w:lang w:val="en-US" w:eastAsia="zh-CN"/>
                <w14:textFill>
                  <w14:solidFill>
                    <w14:schemeClr w14:val="tx1"/>
                  </w14:solidFill>
                </w14:textFill>
              </w:rPr>
              <w:t>本次环评</w:t>
            </w:r>
            <w:r>
              <w:rPr>
                <w:rFonts w:hint="eastAsia"/>
                <w:color w:val="000000" w:themeColor="text1"/>
                <w:kern w:val="0"/>
                <w:sz w:val="24"/>
                <w:szCs w:val="20"/>
                <w:highlight w:val="none"/>
                <w14:textFill>
                  <w14:solidFill>
                    <w14:schemeClr w14:val="tx1"/>
                  </w14:solidFill>
                </w14:textFill>
              </w:rPr>
              <w:t>评价</w:t>
            </w:r>
            <w:r>
              <w:rPr>
                <w:rFonts w:hint="eastAsia"/>
                <w:color w:val="000000" w:themeColor="text1"/>
                <w:sz w:val="24"/>
                <w:szCs w:val="24"/>
                <w:highlight w:val="none"/>
                <w14:textFill>
                  <w14:solidFill>
                    <w14:schemeClr w14:val="tx1"/>
                  </w14:solidFill>
                </w14:textFill>
              </w:rPr>
              <w:t>范围</w:t>
            </w:r>
            <w:r>
              <w:rPr>
                <w:rFonts w:hint="eastAsia"/>
                <w:color w:val="000000" w:themeColor="text1"/>
                <w:sz w:val="24"/>
                <w:szCs w:val="24"/>
                <w:highlight w:val="none"/>
                <w:lang w:val="en-US" w:eastAsia="zh-CN"/>
                <w14:textFill>
                  <w14:solidFill>
                    <w14:schemeClr w14:val="tx1"/>
                  </w14:solidFill>
                </w14:textFill>
              </w:rPr>
              <w:t>仅</w:t>
            </w:r>
            <w:r>
              <w:rPr>
                <w:rFonts w:hint="eastAsia"/>
                <w:color w:val="000000" w:themeColor="text1"/>
                <w:sz w:val="24"/>
                <w:szCs w:val="24"/>
                <w:highlight w:val="none"/>
                <w14:textFill>
                  <w14:solidFill>
                    <w14:schemeClr w14:val="tx1"/>
                  </w14:solidFill>
                </w14:textFill>
              </w:rPr>
              <w:t>包括改性生产</w:t>
            </w:r>
            <w:r>
              <w:rPr>
                <w:rFonts w:hint="eastAsia"/>
                <w:color w:val="000000" w:themeColor="text1"/>
                <w:sz w:val="24"/>
                <w:szCs w:val="24"/>
                <w:highlight w:val="none"/>
                <w:lang w:val="en-US" w:eastAsia="zh-CN"/>
                <w14:textFill>
                  <w14:solidFill>
                    <w14:schemeClr w14:val="tx1"/>
                  </w14:solidFill>
                </w14:textFill>
              </w:rPr>
              <w:t>工程</w:t>
            </w:r>
            <w:r>
              <w:rPr>
                <w:rFonts w:hint="eastAsia"/>
                <w:color w:val="000000" w:themeColor="text1"/>
                <w:sz w:val="24"/>
                <w:szCs w:val="24"/>
                <w:highlight w:val="none"/>
                <w14:textFill>
                  <w14:solidFill>
                    <w14:schemeClr w14:val="tx1"/>
                  </w14:solidFill>
                </w14:textFill>
              </w:rPr>
              <w:t>。生态修复回填工程作为独立治理单元，</w:t>
            </w:r>
            <w:r>
              <w:rPr>
                <w:rFonts w:hint="eastAsia"/>
                <w:color w:val="000000" w:themeColor="text1"/>
                <w:sz w:val="24"/>
                <w:szCs w:val="24"/>
                <w:highlight w:val="none"/>
                <w:lang w:val="en-US" w:eastAsia="zh-CN"/>
                <w14:textFill>
                  <w14:solidFill>
                    <w14:schemeClr w14:val="tx1"/>
                  </w14:solidFill>
                </w14:textFill>
              </w:rPr>
              <w:t>已另行</w:t>
            </w:r>
            <w:r>
              <w:rPr>
                <w:rFonts w:hint="eastAsia"/>
                <w:color w:val="000000" w:themeColor="text1"/>
                <w:sz w:val="24"/>
                <w:szCs w:val="24"/>
                <w:highlight w:val="none"/>
                <w14:textFill>
                  <w14:solidFill>
                    <w14:schemeClr w14:val="tx1"/>
                  </w14:solidFill>
                </w14:textFill>
              </w:rPr>
              <w:t>履行环评手续</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已于2026年3月23日取得环评批复，批复文号为“昆生环复[2026]11-6号”</w:t>
            </w:r>
            <w:r>
              <w:rPr>
                <w:rFonts w:hint="eastAsia"/>
                <w:color w:val="000000" w:themeColor="text1"/>
                <w:sz w:val="24"/>
                <w:szCs w:val="24"/>
                <w:highlight w:val="none"/>
                <w14:textFill>
                  <w14:solidFill>
                    <w14:schemeClr w14:val="tx1"/>
                  </w14:solidFill>
                </w14:textFill>
              </w:rPr>
              <w:t>。</w:t>
            </w:r>
          </w:p>
          <w:p w14:paraId="1C1897A5">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highlight w:val="none"/>
                <w14:textFill>
                  <w14:solidFill>
                    <w14:schemeClr w14:val="tx1"/>
                  </w14:solidFill>
                </w14:textFill>
              </w:rPr>
            </w:pPr>
            <w:r>
              <w:rPr>
                <w:rFonts w:hint="eastAsia" w:ascii="Times New Roman" w:hAnsi="Times New Roman" w:eastAsia="宋体" w:cs="Times New Roman"/>
                <w:color w:val="000000" w:themeColor="text1"/>
                <w:sz w:val="24"/>
                <w:szCs w:val="20"/>
                <w:highlight w:val="none"/>
                <w14:textFill>
                  <w14:solidFill>
                    <w14:schemeClr w14:val="tx1"/>
                  </w14:solidFill>
                </w14:textFill>
              </w:rPr>
              <w:t>本项目改性</w:t>
            </w:r>
            <w:r>
              <w:rPr>
                <w:rFonts w:hint="eastAsia" w:cs="Times New Roman"/>
                <w:color w:val="000000" w:themeColor="text1"/>
                <w:sz w:val="24"/>
                <w:szCs w:val="20"/>
                <w:highlight w:val="none"/>
                <w:lang w:val="en-US" w:eastAsia="zh-CN"/>
                <w14:textFill>
                  <w14:solidFill>
                    <w14:schemeClr w14:val="tx1"/>
                  </w14:solidFill>
                </w14:textFill>
              </w:rPr>
              <w:t>工程</w:t>
            </w:r>
            <w:r>
              <w:rPr>
                <w:rFonts w:hint="eastAsia" w:ascii="Times New Roman" w:hAnsi="Times New Roman" w:eastAsia="宋体" w:cs="Times New Roman"/>
                <w:color w:val="000000" w:themeColor="text1"/>
                <w:sz w:val="24"/>
                <w:szCs w:val="20"/>
                <w:highlight w:val="none"/>
                <w14:textFill>
                  <w14:solidFill>
                    <w14:schemeClr w14:val="tx1"/>
                  </w14:solidFill>
                </w14:textFill>
              </w:rPr>
              <w:t>位于</w:t>
            </w:r>
            <w:r>
              <w:rPr>
                <w:rFonts w:hint="eastAsia" w:cs="Times New Roman"/>
                <w:color w:val="000000" w:themeColor="text1"/>
                <w:sz w:val="24"/>
                <w:szCs w:val="20"/>
                <w:highlight w:val="none"/>
                <w:lang w:val="en-US" w:eastAsia="zh-CN"/>
                <w14:textFill>
                  <w14:solidFill>
                    <w14:schemeClr w14:val="tx1"/>
                  </w14:solidFill>
                </w14:textFill>
              </w:rPr>
              <w:t>寻甸县塘子镇塘子街道原</w:t>
            </w:r>
            <w:r>
              <w:rPr>
                <w:rFonts w:hint="eastAsia" w:ascii="Times New Roman" w:hAnsi="Times New Roman" w:eastAsia="宋体" w:cs="Times New Roman"/>
                <w:color w:val="000000" w:themeColor="text1"/>
                <w:sz w:val="24"/>
                <w:szCs w:val="20"/>
                <w:highlight w:val="none"/>
                <w14:textFill>
                  <w14:solidFill>
                    <w14:schemeClr w14:val="tx1"/>
                  </w14:solidFill>
                </w14:textFill>
              </w:rPr>
              <w:t>云南泰康消防化工集团寻甸有限公司</w:t>
            </w:r>
            <w:r>
              <w:rPr>
                <w:rFonts w:hint="eastAsia" w:cs="Times New Roman"/>
                <w:color w:val="000000" w:themeColor="text1"/>
                <w:sz w:val="24"/>
                <w:szCs w:val="20"/>
                <w:highlight w:val="none"/>
                <w:lang w:val="en-US" w:eastAsia="zh-CN"/>
                <w14:textFill>
                  <w14:solidFill>
                    <w14:schemeClr w14:val="tx1"/>
                  </w14:solidFill>
                </w14:textFill>
              </w:rPr>
              <w:t>厂内</w:t>
            </w:r>
            <w:r>
              <w:rPr>
                <w:rFonts w:hint="eastAsia" w:ascii="Times New Roman" w:hAnsi="Times New Roman" w:eastAsia="宋体" w:cs="Times New Roman"/>
                <w:color w:val="000000" w:themeColor="text1"/>
                <w:sz w:val="24"/>
                <w:szCs w:val="20"/>
                <w:highlight w:val="none"/>
                <w14:textFill>
                  <w14:solidFill>
                    <w14:schemeClr w14:val="tx1"/>
                  </w14:solidFill>
                </w14:textFill>
              </w:rPr>
              <w:t>，该地块原为云南泰康消防化工集团寻甸有限公司</w:t>
            </w:r>
            <w:r>
              <w:rPr>
                <w:rFonts w:hint="eastAsia" w:cs="Times New Roman"/>
                <w:color w:val="000000" w:themeColor="text1"/>
                <w:sz w:val="24"/>
                <w:szCs w:val="20"/>
                <w:highlight w:val="none"/>
                <w:lang w:val="en-US" w:eastAsia="zh-CN"/>
                <w14:textFill>
                  <w14:solidFill>
                    <w14:schemeClr w14:val="tx1"/>
                  </w14:solidFill>
                </w14:textFill>
              </w:rPr>
              <w:t>闲置空地，</w:t>
            </w:r>
            <w:r>
              <w:rPr>
                <w:rFonts w:hint="eastAsia" w:ascii="Times New Roman" w:hAnsi="Times New Roman" w:eastAsia="宋体" w:cs="Times New Roman"/>
                <w:color w:val="000000" w:themeColor="text1"/>
                <w:sz w:val="24"/>
                <w:szCs w:val="20"/>
                <w:highlight w:val="none"/>
                <w14:textFill>
                  <w14:solidFill>
                    <w14:schemeClr w14:val="tx1"/>
                  </w14:solidFill>
                </w14:textFill>
              </w:rPr>
              <w:t>该公司破产后，云南亿鑫芳商贸有限公司通过司法拍卖依法取得该地块土地使用权及地上附着物使用权。2025年，中国有色金属工业昆明勘察设计研究院有限公司（项目工程总承包单位）与云南亿鑫芳商贸有限公司签订场地租赁合同，承租该地块用于改性车间、待检区等设施建设。</w:t>
            </w:r>
            <w:r>
              <w:rPr>
                <w:rFonts w:hint="eastAsia" w:cs="Times New Roman"/>
                <w:color w:val="000000" w:themeColor="text1"/>
                <w:sz w:val="24"/>
                <w:szCs w:val="20"/>
                <w:highlight w:val="none"/>
                <w:lang w:val="en-US" w:eastAsia="zh-CN"/>
                <w14:textFill>
                  <w14:solidFill>
                    <w14:schemeClr w14:val="tx1"/>
                  </w14:solidFill>
                </w14:textFill>
              </w:rPr>
              <w:t>此外，</w:t>
            </w:r>
            <w:r>
              <w:rPr>
                <w:rFonts w:hint="eastAsia" w:ascii="Times New Roman" w:hAnsi="Times New Roman" w:eastAsia="宋体" w:cs="Times New Roman"/>
                <w:color w:val="000000" w:themeColor="text1"/>
                <w:sz w:val="24"/>
                <w:szCs w:val="20"/>
                <w:highlight w:val="none"/>
                <w14:textFill>
                  <w14:solidFill>
                    <w14:schemeClr w14:val="tx1"/>
                  </w14:solidFill>
                </w14:textFill>
              </w:rPr>
              <w:t>本项目由寻甸回族彝族自治县科学技术和工业信息化局作为建设单位立项发包，中国有色金属工业昆明勘察设计研究院有限公司作为工程总承包单位承接项目设计与实施工作，并委托</w:t>
            </w:r>
            <w:r>
              <w:rPr>
                <w:rFonts w:hint="eastAsia" w:cs="Times New Roman"/>
                <w:color w:val="000000" w:themeColor="text1"/>
                <w:sz w:val="24"/>
                <w:szCs w:val="20"/>
                <w:highlight w:val="none"/>
                <w:lang w:val="en-US" w:eastAsia="zh-CN"/>
                <w14:textFill>
                  <w14:solidFill>
                    <w14:schemeClr w14:val="tx1"/>
                  </w14:solidFill>
                </w14:textFill>
              </w:rPr>
              <w:t>本公司</w:t>
            </w:r>
            <w:r>
              <w:rPr>
                <w:rFonts w:hint="eastAsia" w:ascii="Times New Roman" w:hAnsi="Times New Roman" w:eastAsia="宋体" w:cs="Times New Roman"/>
                <w:color w:val="000000" w:themeColor="text1"/>
                <w:sz w:val="24"/>
                <w:szCs w:val="20"/>
                <w:highlight w:val="none"/>
                <w14:textFill>
                  <w14:solidFill>
                    <w14:schemeClr w14:val="tx1"/>
                  </w14:solidFill>
                </w14:textFill>
              </w:rPr>
              <w:t>承担环境影响报告表编制任务。项目用地权属清晰、租赁关系合法、实施主体明确，为项目顺利推进提供了基础保障。</w:t>
            </w:r>
          </w:p>
          <w:bookmarkEnd w:id="6"/>
          <w:bookmarkEnd w:id="7"/>
          <w:bookmarkEnd w:id="8"/>
          <w:bookmarkEnd w:id="9"/>
          <w:p w14:paraId="2F67CABD">
            <w:pPr>
              <w:keepNext w:val="0"/>
              <w:keepLines w:val="0"/>
              <w:suppressLineNumbers w:val="0"/>
              <w:spacing w:before="0" w:beforeAutospacing="0" w:after="0" w:afterAutospacing="0" w:line="360"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根据《中华人民共和国环境保护法》《中华人民共和国环境影响评价法》《建设项目环境保护管理条例》（2017年修订）、《建设项目环境影响评价分类管理名录》等法律法规的规定，本项目</w:t>
            </w:r>
            <w:r>
              <w:rPr>
                <w:rFonts w:hint="eastAsia"/>
                <w:color w:val="000000" w:themeColor="text1"/>
                <w:kern w:val="0"/>
                <w:sz w:val="24"/>
                <w:szCs w:val="20"/>
                <w:highlight w:val="none"/>
                <w14:textFill>
                  <w14:solidFill>
                    <w14:schemeClr w14:val="tx1"/>
                  </w14:solidFill>
                </w14:textFill>
              </w:rPr>
              <w:t>属于“四十</w:t>
            </w:r>
            <w:r>
              <w:rPr>
                <w:rFonts w:hint="eastAsia"/>
                <w:color w:val="000000" w:themeColor="text1"/>
                <w:kern w:val="0"/>
                <w:sz w:val="24"/>
                <w:szCs w:val="20"/>
                <w:highlight w:val="none"/>
                <w:lang w:val="en-US" w:eastAsia="zh-CN"/>
                <w14:textFill>
                  <w14:solidFill>
                    <w14:schemeClr w14:val="tx1"/>
                  </w14:solidFill>
                </w14:textFill>
              </w:rPr>
              <w:t>七</w:t>
            </w:r>
            <w:r>
              <w:rPr>
                <w:rFonts w:hint="eastAsia"/>
                <w:color w:val="000000" w:themeColor="text1"/>
                <w:kern w:val="0"/>
                <w:sz w:val="24"/>
                <w:szCs w:val="20"/>
                <w:highlight w:val="none"/>
                <w14:textFill>
                  <w14:solidFill>
                    <w14:schemeClr w14:val="tx1"/>
                  </w14:solidFill>
                </w14:textFill>
              </w:rPr>
              <w:t>、</w:t>
            </w:r>
            <w:r>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生</w:t>
            </w:r>
            <w:r>
              <w:rPr>
                <w:rFonts w:hint="default" w:ascii="Times New Roman" w:hAnsi="Times New Roman" w:eastAsia="宋体" w:cs="Times New Roman"/>
                <w:color w:val="000000" w:themeColor="text1"/>
                <w:kern w:val="0"/>
                <w:sz w:val="24"/>
                <w:szCs w:val="20"/>
                <w:highlight w:val="none"/>
                <w14:textFill>
                  <w14:solidFill>
                    <w14:schemeClr w14:val="tx1"/>
                  </w14:solidFill>
                </w14:textFill>
              </w:rPr>
              <w:t>态保护和环境治理业</w:t>
            </w:r>
            <w:r>
              <w:rPr>
                <w:rFonts w:hint="eastAsia" w:ascii="Times New Roman" w:hAnsi="Times New Roman" w:eastAsia="宋体" w:cs="Times New Roman"/>
                <w:color w:val="000000" w:themeColor="text1"/>
                <w:kern w:val="0"/>
                <w:sz w:val="24"/>
                <w:szCs w:val="20"/>
                <w:highlight w:val="none"/>
                <w14:textFill>
                  <w14:solidFill>
                    <w14:schemeClr w14:val="tx1"/>
                  </w14:solidFill>
                </w14:textFill>
              </w:rPr>
              <w:t>-</w:t>
            </w:r>
            <w:r>
              <w:rPr>
                <w:rFonts w:hint="default" w:ascii="Times New Roman" w:hAnsi="Times New Roman" w:eastAsia="宋体" w:cs="Times New Roman"/>
                <w:color w:val="000000" w:themeColor="text1"/>
                <w:kern w:val="0"/>
                <w:sz w:val="24"/>
                <w:szCs w:val="20"/>
                <w:highlight w:val="none"/>
                <w14:textFill>
                  <w14:solidFill>
                    <w14:schemeClr w14:val="tx1"/>
                  </w14:solidFill>
                </w14:textFill>
              </w:rPr>
              <w:t>10</w:t>
            </w:r>
            <w:r>
              <w:rPr>
                <w:rFonts w:hint="eastAsia" w:ascii="Times New Roman" w:hAnsi="Times New Roman" w:eastAsia="宋体" w:cs="Times New Roman"/>
                <w:color w:val="000000" w:themeColor="text1"/>
                <w:kern w:val="0"/>
                <w:sz w:val="24"/>
                <w:szCs w:val="20"/>
                <w:highlight w:val="none"/>
                <w14:textFill>
                  <w14:solidFill>
                    <w14:schemeClr w14:val="tx1"/>
                  </w14:solidFill>
                </w14:textFill>
              </w:rPr>
              <w:t>3一般工业固体废物</w:t>
            </w:r>
            <w:r>
              <w:rPr>
                <w:rFonts w:hint="default" w:ascii="Times New Roman" w:hAnsi="Times New Roman" w:eastAsia="宋体" w:cs="Times New Roman"/>
                <w:color w:val="000000" w:themeColor="text1"/>
                <w:kern w:val="0"/>
                <w:sz w:val="24"/>
                <w:szCs w:val="20"/>
                <w:highlight w:val="none"/>
                <w14:textFill>
                  <w14:solidFill>
                    <w14:schemeClr w14:val="tx1"/>
                  </w14:solidFill>
                </w14:textFill>
              </w:rPr>
              <w:t>（</w:t>
            </w:r>
            <w:r>
              <w:rPr>
                <w:rFonts w:hint="eastAsia" w:ascii="Times New Roman" w:hAnsi="Times New Roman" w:eastAsia="宋体" w:cs="Times New Roman"/>
                <w:color w:val="000000" w:themeColor="text1"/>
                <w:kern w:val="0"/>
                <w:sz w:val="24"/>
                <w:szCs w:val="20"/>
                <w:highlight w:val="none"/>
                <w14:textFill>
                  <w14:solidFill>
                    <w14:schemeClr w14:val="tx1"/>
                  </w14:solidFill>
                </w14:textFill>
              </w:rPr>
              <w:t>含污水处理污泥</w:t>
            </w:r>
            <w:r>
              <w:rPr>
                <w:rFonts w:hint="default" w:ascii="Times New Roman" w:hAnsi="Times New Roman" w:eastAsia="宋体" w:cs="Times New Roman"/>
                <w:color w:val="000000" w:themeColor="text1"/>
                <w:kern w:val="0"/>
                <w:sz w:val="24"/>
                <w:szCs w:val="20"/>
                <w:highlight w:val="none"/>
                <w14:textFill>
                  <w14:solidFill>
                    <w14:schemeClr w14:val="tx1"/>
                  </w14:solidFill>
                </w14:textFill>
              </w:rPr>
              <w:t>）</w:t>
            </w:r>
            <w:r>
              <w:rPr>
                <w:rFonts w:hint="eastAsia" w:ascii="Times New Roman" w:hAnsi="Times New Roman" w:eastAsia="宋体" w:cs="Times New Roman"/>
                <w:color w:val="000000" w:themeColor="text1"/>
                <w:kern w:val="0"/>
                <w:sz w:val="24"/>
                <w:szCs w:val="20"/>
                <w:highlight w:val="none"/>
                <w14:textFill>
                  <w14:solidFill>
                    <w14:schemeClr w14:val="tx1"/>
                  </w14:solidFill>
                </w14:textFill>
              </w:rPr>
              <w:t>、建筑施工废弃物处置及综合利用</w:t>
            </w:r>
            <w:r>
              <w:rPr>
                <w:rFonts w:hint="eastAsia" w:cs="Times New Roman"/>
                <w:color w:val="000000" w:themeColor="text1"/>
                <w:kern w:val="0"/>
                <w:sz w:val="24"/>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0"/>
                <w:highlight w:val="none"/>
                <w14:textFill>
                  <w14:solidFill>
                    <w14:schemeClr w14:val="tx1"/>
                  </w14:solidFill>
                </w14:textFill>
              </w:rPr>
              <w:t>其他</w:t>
            </w:r>
            <w:r>
              <w:rPr>
                <w:rFonts w:hint="eastAsia" w:ascii="Times New Roman" w:hAnsi="Times New Roman" w:eastAsia="宋体" w:cs="Times New Roman"/>
                <w:color w:val="000000" w:themeColor="text1"/>
                <w:kern w:val="0"/>
                <w:sz w:val="24"/>
                <w:szCs w:val="20"/>
                <w:highlight w:val="none"/>
                <w14:textFill>
                  <w14:solidFill>
                    <w14:schemeClr w14:val="tx1"/>
                  </w14:solidFill>
                </w14:textFill>
              </w:rPr>
              <w:t>”，</w:t>
            </w:r>
            <w:r>
              <w:rPr>
                <w:rFonts w:hint="default" w:ascii="Times New Roman" w:hAnsi="Times New Roman" w:eastAsia="宋体" w:cs="Times New Roman"/>
                <w:color w:val="000000" w:themeColor="text1"/>
                <w:kern w:val="0"/>
                <w:sz w:val="24"/>
                <w:szCs w:val="20"/>
                <w:highlight w:val="none"/>
                <w14:textFill>
                  <w14:solidFill>
                    <w14:schemeClr w14:val="tx1"/>
                  </w14:solidFill>
                </w14:textFill>
              </w:rPr>
              <w:t>需</w:t>
            </w:r>
            <w:r>
              <w:rPr>
                <w:rFonts w:hint="default"/>
                <w:color w:val="000000" w:themeColor="text1"/>
                <w:kern w:val="0"/>
                <w:sz w:val="24"/>
                <w:szCs w:val="20"/>
                <w:highlight w:val="none"/>
                <w14:textFill>
                  <w14:solidFill>
                    <w14:schemeClr w14:val="tx1"/>
                  </w14:solidFill>
                </w14:textFill>
              </w:rPr>
              <w:t>进行环境影响评价，编制环境影响报告表。</w:t>
            </w:r>
            <w:r>
              <w:rPr>
                <w:rFonts w:hint="default"/>
                <w:color w:val="000000" w:themeColor="text1"/>
                <w:kern w:val="0"/>
                <w:sz w:val="24"/>
                <w:szCs w:val="24"/>
                <w:highlight w:val="none"/>
                <w:lang w:bidi="ar"/>
                <w14:textFill>
                  <w14:solidFill>
                    <w14:schemeClr w14:val="tx1"/>
                  </w14:solidFill>
                </w14:textFill>
              </w:rPr>
              <w:t>为此</w:t>
            </w:r>
            <w:r>
              <w:rPr>
                <w:rFonts w:hint="eastAsia"/>
                <w:color w:val="000000" w:themeColor="text1"/>
                <w:kern w:val="0"/>
                <w:sz w:val="24"/>
                <w:szCs w:val="24"/>
                <w:highlight w:val="none"/>
                <w:lang w:bidi="ar"/>
                <w14:textFill>
                  <w14:solidFill>
                    <w14:schemeClr w14:val="tx1"/>
                  </w14:solidFill>
                </w14:textFill>
              </w:rPr>
              <w:t>，</w:t>
            </w:r>
            <w:r>
              <w:rPr>
                <w:rFonts w:hint="default"/>
                <w:color w:val="000000" w:themeColor="text1"/>
                <w:kern w:val="0"/>
                <w:sz w:val="24"/>
                <w:szCs w:val="24"/>
                <w:highlight w:val="none"/>
                <w:lang w:bidi="ar"/>
                <w14:textFill>
                  <w14:solidFill>
                    <w14:schemeClr w14:val="tx1"/>
                  </w14:solidFill>
                </w14:textFill>
              </w:rPr>
              <w:t>受建设单位委托，</w:t>
            </w:r>
            <w:r>
              <w:rPr>
                <w:rFonts w:hint="eastAsia"/>
                <w:color w:val="000000" w:themeColor="text1"/>
                <w:kern w:val="0"/>
                <w:sz w:val="24"/>
                <w:szCs w:val="24"/>
                <w:highlight w:val="none"/>
                <w:lang w:val="en-US" w:eastAsia="zh-CN" w:bidi="ar"/>
                <w14:textFill>
                  <w14:solidFill>
                    <w14:schemeClr w14:val="tx1"/>
                  </w14:solidFill>
                </w14:textFill>
              </w:rPr>
              <w:t>我</w:t>
            </w:r>
            <w:r>
              <w:rPr>
                <w:rFonts w:hint="default"/>
                <w:color w:val="000000" w:themeColor="text1"/>
                <w:kern w:val="0"/>
                <w:sz w:val="24"/>
                <w:szCs w:val="24"/>
                <w:highlight w:val="none"/>
                <w:lang w:bidi="ar"/>
                <w14:textFill>
                  <w14:solidFill>
                    <w14:schemeClr w14:val="tx1"/>
                  </w14:solidFill>
                </w14:textFill>
              </w:rPr>
              <w:t>公司承担了本项目环境影响评价工作。</w:t>
            </w:r>
          </w:p>
          <w:p w14:paraId="4510DCA2">
            <w:pPr>
              <w:keepNext w:val="0"/>
              <w:keepLines w:val="0"/>
              <w:suppressLineNumbers w:val="0"/>
              <w:autoSpaceDE w:val="0"/>
              <w:autoSpaceDN w:val="0"/>
              <w:adjustRightInd w:val="0"/>
              <w:spacing w:before="0" w:beforeAutospacing="0" w:after="0" w:afterAutospacing="0" w:line="360" w:lineRule="auto"/>
              <w:ind w:left="0" w:right="0" w:firstLine="562" w:firstLineChars="200"/>
              <w:rPr>
                <w:rFonts w:hint="default"/>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2.2</w:t>
            </w:r>
            <w:r>
              <w:rPr>
                <w:rFonts w:hint="default"/>
                <w:b/>
                <w:color w:val="000000" w:themeColor="text1"/>
                <w:sz w:val="28"/>
                <w:szCs w:val="28"/>
                <w:highlight w:val="none"/>
                <w14:textFill>
                  <w14:solidFill>
                    <w14:schemeClr w14:val="tx1"/>
                  </w14:solidFill>
                </w14:textFill>
              </w:rPr>
              <w:t>本项目概况</w:t>
            </w:r>
          </w:p>
          <w:p w14:paraId="2B535D80">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sz w:val="24"/>
                <w:szCs w:val="20"/>
                <w:highlight w:val="none"/>
                <w:lang w:eastAsia="zh-CN"/>
                <w14:textFill>
                  <w14:solidFill>
                    <w14:schemeClr w14:val="tx1"/>
                  </w14:solidFill>
                </w14:textFill>
              </w:rPr>
            </w:pP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1</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项目名称：</w:t>
            </w:r>
            <w:r>
              <w:rPr>
                <w:rFonts w:hint="eastAsia"/>
                <w:color w:val="000000" w:themeColor="text1"/>
                <w:sz w:val="24"/>
                <w:szCs w:val="20"/>
                <w:highlight w:val="none"/>
                <w:lang w:eastAsia="zh-CN"/>
                <w14:textFill>
                  <w14:solidFill>
                    <w14:schemeClr w14:val="tx1"/>
                  </w14:solidFill>
                </w14:textFill>
              </w:rPr>
              <w:t>寻甸县常青树磷石膏库综合治理项目</w:t>
            </w:r>
          </w:p>
          <w:p w14:paraId="52B4A421">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2</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建设单位：</w:t>
            </w:r>
            <w:r>
              <w:rPr>
                <w:rFonts w:hint="default" w:ascii="Times New Roman" w:hAnsi="Times New Roman" w:eastAsia="宋体" w:cs="Times New Roman"/>
                <w:color w:val="000000" w:themeColor="text1"/>
                <w:sz w:val="24"/>
                <w:szCs w:val="20"/>
                <w:highlight w:val="none"/>
                <w14:textFill>
                  <w14:solidFill>
                    <w14:schemeClr w14:val="tx1"/>
                  </w14:solidFill>
                </w14:textFill>
              </w:rPr>
              <w:t>寻甸回族彝族自治县科学技术和工业信息化局</w:t>
            </w:r>
          </w:p>
          <w:p w14:paraId="5B33F141">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3</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建设性质：</w:t>
            </w:r>
            <w:r>
              <w:rPr>
                <w:rFonts w:hint="eastAsia"/>
                <w:color w:val="000000" w:themeColor="text1"/>
                <w:sz w:val="24"/>
                <w:szCs w:val="20"/>
                <w:highlight w:val="none"/>
                <w:lang w:val="en-US" w:eastAsia="zh-CN"/>
                <w14:textFill>
                  <w14:solidFill>
                    <w14:schemeClr w14:val="tx1"/>
                  </w14:solidFill>
                </w14:textFill>
              </w:rPr>
              <w:t>新建</w:t>
            </w:r>
          </w:p>
          <w:p w14:paraId="41D9A0C8">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（4）</w:t>
            </w:r>
            <w:r>
              <w:rPr>
                <w:rFonts w:hint="default"/>
                <w:color w:val="000000" w:themeColor="text1"/>
                <w:sz w:val="24"/>
                <w:szCs w:val="20"/>
                <w:highlight w:val="none"/>
                <w14:textFill>
                  <w14:solidFill>
                    <w14:schemeClr w14:val="tx1"/>
                  </w14:solidFill>
                </w14:textFill>
              </w:rPr>
              <w:t>建设地点：</w:t>
            </w:r>
            <w:r>
              <w:rPr>
                <w:rFonts w:hint="eastAsia"/>
                <w:color w:val="000000" w:themeColor="text1"/>
                <w:sz w:val="24"/>
                <w:szCs w:val="20"/>
                <w:highlight w:val="none"/>
                <w14:textFill>
                  <w14:solidFill>
                    <w14:schemeClr w14:val="tx1"/>
                  </w14:solidFill>
                </w14:textFill>
              </w:rPr>
              <w:t>云南省昆明市寻甸回族彝族自治县塘子街道</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原泰康化工厂内</w:t>
            </w:r>
            <w:r>
              <w:rPr>
                <w:rFonts w:hint="eastAsia"/>
                <w:color w:val="000000" w:themeColor="text1"/>
                <w:sz w:val="24"/>
                <w:szCs w:val="20"/>
                <w:highlight w:val="none"/>
                <w:lang w:eastAsia="zh-CN"/>
                <w14:textFill>
                  <w14:solidFill>
                    <w14:schemeClr w14:val="tx1"/>
                  </w14:solidFill>
                </w14:textFill>
              </w:rPr>
              <w:t>）</w:t>
            </w:r>
          </w:p>
          <w:p w14:paraId="0B0054A3">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5</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项目总投资：</w:t>
            </w:r>
            <w:r>
              <w:rPr>
                <w:rFonts w:hint="eastAsia"/>
                <w:color w:val="000000" w:themeColor="text1"/>
                <w:sz w:val="24"/>
                <w:szCs w:val="20"/>
                <w:highlight w:val="none"/>
                <w:lang w:val="en-US" w:eastAsia="zh-CN"/>
                <w14:textFill>
                  <w14:solidFill>
                    <w14:schemeClr w14:val="tx1"/>
                  </w14:solidFill>
                </w14:textFill>
              </w:rPr>
              <w:t>6029</w:t>
            </w:r>
            <w:r>
              <w:rPr>
                <w:rFonts w:hint="default"/>
                <w:color w:val="000000" w:themeColor="text1"/>
                <w:sz w:val="24"/>
                <w:szCs w:val="20"/>
                <w:highlight w:val="none"/>
                <w14:textFill>
                  <w14:solidFill>
                    <w14:schemeClr w14:val="tx1"/>
                  </w14:solidFill>
                </w14:textFill>
              </w:rPr>
              <w:t>万元</w:t>
            </w:r>
          </w:p>
          <w:p w14:paraId="2ABD488C">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0"/>
                <w:highlight w:val="none"/>
                <w:lang w:val="en-US"/>
                <w14:textFill>
                  <w14:solidFill>
                    <w14:schemeClr w14:val="tx1"/>
                  </w14:solidFill>
                </w14:textFill>
              </w:rPr>
            </w:pP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6</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项目占地面积：占地面积</w:t>
            </w:r>
            <w:r>
              <w:rPr>
                <w:rFonts w:hint="eastAsia"/>
                <w:color w:val="000000" w:themeColor="text1"/>
                <w:sz w:val="24"/>
                <w:szCs w:val="24"/>
                <w:highlight w:val="none"/>
                <w:lang w:val="en-US" w:eastAsia="zh-CN"/>
                <w14:textFill>
                  <w14:solidFill>
                    <w14:schemeClr w14:val="tx1"/>
                  </w14:solidFill>
                </w14:textFill>
              </w:rPr>
              <w:t>12687</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cs="Times New Roman"/>
                <w:color w:val="000000" w:themeColor="text1"/>
                <w:sz w:val="24"/>
                <w:szCs w:val="24"/>
                <w:highlight w:val="none"/>
                <w:vertAlign w:val="superscript"/>
                <w:lang w:val="en-US" w:eastAsia="zh-CN"/>
                <w14:textFill>
                  <w14:solidFill>
                    <w14:schemeClr w14:val="tx1"/>
                  </w14:solidFill>
                </w14:textFill>
              </w:rPr>
              <w:t>2</w:t>
            </w:r>
            <w:r>
              <w:rPr>
                <w:rFonts w:hint="eastAsia"/>
                <w:color w:val="000000" w:themeColor="text1"/>
                <w:sz w:val="20"/>
                <w:szCs w:val="20"/>
                <w:highlight w:val="none"/>
                <w:lang w:val="en-US" w:eastAsia="zh-CN"/>
                <w14:textFill>
                  <w14:solidFill>
                    <w14:schemeClr w14:val="tx1"/>
                  </w14:solidFill>
                </w14:textFill>
              </w:rPr>
              <w:t>。</w:t>
            </w:r>
          </w:p>
          <w:p w14:paraId="1A59BF78">
            <w:pPr>
              <w:pStyle w:val="273"/>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kern w:val="0"/>
                <w:highlight w:val="none"/>
                <w:lang w:val="en-US" w:eastAsia="zh-CN"/>
                <w14:textFill>
                  <w14:solidFill>
                    <w14:schemeClr w14:val="tx1"/>
                  </w14:solidFill>
                </w14:textFill>
              </w:rPr>
            </w:pPr>
            <w:r>
              <w:rPr>
                <w:rFonts w:hint="eastAsia" w:ascii="Times New Roman" w:hAnsi="Times New Roman" w:cs="Times New Roman"/>
                <w:color w:val="000000" w:themeColor="text1"/>
                <w:kern w:val="0"/>
                <w:highlight w:val="none"/>
                <w:lang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7</w:t>
            </w:r>
            <w:r>
              <w:rPr>
                <w:rFonts w:hint="eastAsia" w:ascii="Times New Roman" w:hAnsi="Times New Roman" w:cs="Times New Roman"/>
                <w:color w:val="000000" w:themeColor="text1"/>
                <w:kern w:val="0"/>
                <w:highlight w:val="none"/>
                <w:lang w:eastAsia="zh-CN"/>
                <w14:textFill>
                  <w14:solidFill>
                    <w14:schemeClr w14:val="tx1"/>
                  </w14:solidFill>
                </w14:textFill>
              </w:rPr>
              <w:t>）服务期限：</w:t>
            </w:r>
            <w:r>
              <w:rPr>
                <w:rFonts w:hint="eastAsia" w:ascii="Times New Roman" w:hAnsi="Times New Roman" w:cs="Times New Roman"/>
                <w:color w:val="000000" w:themeColor="text1"/>
                <w:kern w:val="0"/>
                <w:highlight w:val="none"/>
                <w:lang w:val="en-US" w:eastAsia="zh-CN"/>
                <w14:textFill>
                  <w14:solidFill>
                    <w14:schemeClr w14:val="tx1"/>
                  </w14:solidFill>
                </w14:textFill>
              </w:rPr>
              <w:t>本项目为临时工程，服务期限即为常青树磷石膏渣场全部改性完毕。</w:t>
            </w:r>
          </w:p>
          <w:p w14:paraId="7151563F">
            <w:pPr>
              <w:pStyle w:val="273"/>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kern w:val="0"/>
                <w:highlight w:val="none"/>
                <w:lang w:val="en-US" w:eastAsia="zh-CN"/>
                <w14:textFill>
                  <w14:solidFill>
                    <w14:schemeClr w14:val="tx1"/>
                  </w14:solidFill>
                </w14:textFill>
              </w:rPr>
            </w:pPr>
            <w:r>
              <w:rPr>
                <w:rFonts w:hint="eastAsia" w:ascii="Times New Roman" w:hAnsi="Times New Roman" w:cs="Times New Roman"/>
                <w:color w:val="000000" w:themeColor="text1"/>
                <w:kern w:val="0"/>
                <w:highlight w:val="none"/>
                <w:lang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8</w:t>
            </w:r>
            <w:r>
              <w:rPr>
                <w:rFonts w:hint="eastAsia" w:ascii="Times New Roman" w:hAnsi="Times New Roman" w:cs="Times New Roman"/>
                <w:color w:val="000000" w:themeColor="text1"/>
                <w:kern w:val="0"/>
                <w:highlight w:val="none"/>
                <w:lang w:eastAsia="zh-CN"/>
                <w14:textFill>
                  <w14:solidFill>
                    <w14:schemeClr w14:val="tx1"/>
                  </w14:solidFill>
                </w14:textFill>
              </w:rPr>
              <w:t>）</w:t>
            </w:r>
            <w:r>
              <w:rPr>
                <w:rFonts w:hint="eastAsia" w:ascii="Times New Roman" w:hAnsi="Times New Roman" w:cs="Times New Roman"/>
                <w:color w:val="000000" w:themeColor="text1"/>
                <w:kern w:val="0"/>
                <w:highlight w:val="none"/>
                <w:lang w:val="en-US" w:eastAsia="zh-CN"/>
                <w14:textFill>
                  <w14:solidFill>
                    <w14:schemeClr w14:val="tx1"/>
                  </w14:solidFill>
                </w14:textFill>
              </w:rPr>
              <w:t>建设项目组成：项目包括改性区磷石膏干法改性工程。</w:t>
            </w:r>
          </w:p>
          <w:p w14:paraId="5D21AEA3">
            <w:pPr>
              <w:pStyle w:val="273"/>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000000" w:themeColor="text1"/>
                <w:kern w:val="0"/>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（9）建设内容及规模：</w:t>
            </w:r>
            <w:r>
              <w:rPr>
                <w:rFonts w:hint="eastAsia" w:ascii="Times New Roman" w:hAnsi="Times New Roman" w:cs="Times New Roman"/>
                <w:color w:val="000000" w:themeColor="text1"/>
                <w:sz w:val="24"/>
                <w:highlight w:val="none"/>
                <w:lang w:val="en-US" w:eastAsia="zh-CN"/>
                <w14:textFill>
                  <w14:solidFill>
                    <w14:schemeClr w14:val="tx1"/>
                  </w14:solidFill>
                </w14:textFill>
              </w:rPr>
              <w:t>本项目为临时工程，租赁</w:t>
            </w:r>
            <w:r>
              <w:rPr>
                <w:rFonts w:hint="eastAsia" w:ascii="Times New Roman" w:hAnsi="Times New Roman" w:eastAsia="宋体" w:cs="Times New Roman"/>
                <w:color w:val="000000" w:themeColor="text1"/>
                <w:sz w:val="24"/>
                <w:szCs w:val="20"/>
                <w:highlight w:val="none"/>
                <w14:textFill>
                  <w14:solidFill>
                    <w14:schemeClr w14:val="tx1"/>
                  </w14:solidFill>
                </w14:textFill>
              </w:rPr>
              <w:t>云南泰康消防化工集团寻甸有限公司</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闲置空地</w:t>
            </w:r>
            <w:r>
              <w:rPr>
                <w:rFonts w:hint="eastAsia" w:ascii="Times New Roman" w:hAnsi="Times New Roman" w:cs="Times New Roman"/>
                <w:color w:val="000000" w:themeColor="text1"/>
                <w:highlight w:val="none"/>
                <w:lang w:eastAsia="zh-CN"/>
                <w14:textFill>
                  <w14:solidFill>
                    <w14:schemeClr w14:val="tx1"/>
                  </w14:solidFill>
                </w14:textFill>
              </w:rPr>
              <w:t>对常青树磷石膏库现存约</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115.3万立方米（</w:t>
            </w:r>
            <w:r>
              <w:rPr>
                <w:rFonts w:hint="eastAsia" w:ascii="Times New Roman" w:hAnsi="Times New Roman" w:cs="Times New Roman"/>
                <w:color w:val="000000" w:themeColor="text1"/>
                <w:highlight w:val="none"/>
                <w:lang w:eastAsia="zh-CN"/>
                <w14:textFill>
                  <w14:solidFill>
                    <w14:schemeClr w14:val="tx1"/>
                  </w14:solidFill>
                </w14:textFill>
              </w:rPr>
              <w:t>161.42万吨</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磷石膏进行无害化改性处理。</w:t>
            </w:r>
            <w:r>
              <w:rPr>
                <w:rFonts w:hint="eastAsia" w:ascii="Times New Roman" w:hAnsi="Times New Roman" w:cs="Times New Roman"/>
                <w:color w:val="000000" w:themeColor="text1"/>
                <w:highlight w:val="none"/>
                <w:lang w:val="en-US" w:eastAsia="zh-CN"/>
                <w14:textFill>
                  <w14:solidFill>
                    <w14:schemeClr w14:val="tx1"/>
                  </w14:solidFill>
                </w14:textFill>
              </w:rPr>
              <w:t>主要建设</w:t>
            </w:r>
            <w:r>
              <w:rPr>
                <w:rFonts w:hint="eastAsia" w:ascii="Times New Roman" w:hAnsi="Times New Roman" w:cs="Times New Roman"/>
                <w:color w:val="000000" w:themeColor="text1"/>
                <w:highlight w:val="none"/>
                <w:lang w:eastAsia="zh-CN"/>
                <w14:textFill>
                  <w14:solidFill>
                    <w14:schemeClr w14:val="tx1"/>
                  </w14:solidFill>
                </w14:textFill>
              </w:rPr>
              <w:t>改性生产区、待检养护区、</w:t>
            </w:r>
            <w:r>
              <w:rPr>
                <w:rFonts w:hint="eastAsia" w:ascii="Times New Roman" w:hAnsi="Times New Roman" w:cs="Times New Roman"/>
                <w:color w:val="000000" w:themeColor="text1"/>
                <w:highlight w:val="none"/>
                <w:lang w:val="en-US" w:eastAsia="zh-CN"/>
                <w14:textFill>
                  <w14:solidFill>
                    <w14:schemeClr w14:val="tx1"/>
                  </w14:solidFill>
                </w14:textFill>
              </w:rPr>
              <w:t>以及配套的</w:t>
            </w:r>
            <w:r>
              <w:rPr>
                <w:rFonts w:hint="eastAsia" w:ascii="Times New Roman" w:hAnsi="Times New Roman" w:cs="Times New Roman"/>
                <w:color w:val="000000" w:themeColor="text1"/>
                <w:highlight w:val="none"/>
                <w:lang w:eastAsia="zh-CN"/>
                <w14:textFill>
                  <w14:solidFill>
                    <w14:schemeClr w14:val="tx1"/>
                  </w14:solidFill>
                </w14:textFill>
              </w:rPr>
              <w:t>环保设施。</w:t>
            </w:r>
            <w:r>
              <w:rPr>
                <w:rFonts w:hint="eastAsia" w:ascii="Times New Roman" w:hAnsi="Times New Roman" w:cs="Times New Roman"/>
                <w:color w:val="000000" w:themeColor="text1"/>
                <w:kern w:val="0"/>
                <w:highlight w:val="none"/>
                <w:lang w:val="en-US" w:eastAsia="zh-CN"/>
                <w14:textFill>
                  <w14:solidFill>
                    <w14:schemeClr w14:val="tx1"/>
                  </w14:solidFill>
                </w14:textFill>
              </w:rPr>
              <w:t>常青树磷石膏渣场全部改性完毕后</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改性工程即停止生产。</w:t>
            </w:r>
            <w:r>
              <w:rPr>
                <w:rFonts w:hint="eastAsia" w:ascii="Times New Roman" w:hAnsi="Times New Roman" w:cs="Times New Roman"/>
                <w:color w:val="000000" w:themeColor="text1"/>
                <w:highlight w:val="none"/>
                <w:lang w:eastAsia="zh-CN"/>
                <w14:textFill>
                  <w14:solidFill>
                    <w14:schemeClr w14:val="tx1"/>
                  </w14:solidFill>
                </w14:textFill>
              </w:rPr>
              <w:t>设计</w:t>
            </w:r>
            <w:r>
              <w:rPr>
                <w:rFonts w:hint="eastAsia" w:ascii="Times New Roman" w:hAnsi="Times New Roman" w:cs="Times New Roman"/>
                <w:color w:val="000000" w:themeColor="text1"/>
                <w:highlight w:val="none"/>
                <w:lang w:val="en-US" w:eastAsia="zh-CN"/>
                <w14:textFill>
                  <w14:solidFill>
                    <w14:schemeClr w14:val="tx1"/>
                  </w14:solidFill>
                </w14:textFill>
              </w:rPr>
              <w:t>改性</w:t>
            </w:r>
            <w:r>
              <w:rPr>
                <w:rFonts w:hint="eastAsia" w:ascii="Times New Roman" w:hAnsi="Times New Roman" w:cs="Times New Roman"/>
                <w:color w:val="000000" w:themeColor="text1"/>
                <w:highlight w:val="none"/>
                <w:lang w:eastAsia="zh-CN"/>
                <w14:textFill>
                  <w14:solidFill>
                    <w14:schemeClr w14:val="tx1"/>
                  </w14:solidFill>
                </w14:textFill>
              </w:rPr>
              <w:t>能力9000t/d，年工作300天，日工作10小时，年工作时间3000小时；雨天、夜间禁止作业。改性磷石膏满足《改性磷石膏用于矿山废弃地生态修复回填技术规范》（DB53/T 1269-2024）及《一般工业固体废物贮存和填埋污染控制标准》（GB 18599-2020）I类一般工业固体废物要求，全部外运至</w:t>
            </w:r>
            <w:r>
              <w:rPr>
                <w:rFonts w:hint="eastAsia" w:ascii="Times New Roman" w:hAnsi="Times New Roman" w:cs="Times New Roman"/>
                <w:color w:val="000000" w:themeColor="text1"/>
                <w:highlight w:val="none"/>
                <w:lang w:val="en-US" w:eastAsia="zh-CN"/>
                <w14:textFill>
                  <w14:solidFill>
                    <w14:schemeClr w14:val="tx1"/>
                  </w14:solidFill>
                </w14:textFill>
              </w:rPr>
              <w:t>令友采石场</w:t>
            </w:r>
            <w:r>
              <w:rPr>
                <w:rFonts w:hint="eastAsia" w:ascii="Times New Roman" w:hAnsi="Times New Roman" w:cs="Times New Roman"/>
                <w:color w:val="000000" w:themeColor="text1"/>
                <w:highlight w:val="none"/>
                <w:lang w:eastAsia="zh-CN"/>
                <w14:textFill>
                  <w14:solidFill>
                    <w14:schemeClr w14:val="tx1"/>
                  </w14:solidFill>
                </w14:textFill>
              </w:rPr>
              <w:t>修复区回填。</w:t>
            </w:r>
          </w:p>
          <w:p w14:paraId="76FF0B3D">
            <w:pPr>
              <w:keepNext w:val="0"/>
              <w:keepLines w:val="0"/>
              <w:suppressLineNumbers w:val="0"/>
              <w:autoSpaceDE w:val="0"/>
              <w:autoSpaceDN w:val="0"/>
              <w:spacing w:before="0" w:beforeAutospacing="0" w:after="0" w:afterAutospacing="0" w:line="360" w:lineRule="auto"/>
              <w:ind w:left="0" w:right="0" w:firstLine="562" w:firstLineChars="200"/>
              <w:rPr>
                <w:rFonts w:hint="default" w:eastAsia="宋体"/>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2.3项目情况</w:t>
            </w:r>
          </w:p>
          <w:p w14:paraId="1A92BBB8">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w:t>
            </w:r>
            <w:r>
              <w:rPr>
                <w:rFonts w:hint="eastAsia"/>
                <w:color w:val="000000" w:themeColor="text1"/>
                <w:sz w:val="24"/>
                <w:szCs w:val="20"/>
                <w:highlight w:val="none"/>
                <w:lang w:val="en-US" w:eastAsia="zh-CN"/>
                <w14:textFill>
                  <w14:solidFill>
                    <w14:schemeClr w14:val="tx1"/>
                  </w14:solidFill>
                </w14:textFill>
              </w:rPr>
              <w:t>项目</w:t>
            </w:r>
            <w:r>
              <w:rPr>
                <w:rFonts w:hint="eastAsia"/>
                <w:color w:val="000000" w:themeColor="text1"/>
                <w:sz w:val="24"/>
                <w:szCs w:val="20"/>
                <w:highlight w:val="none"/>
                <w14:textFill>
                  <w14:solidFill>
                    <w14:schemeClr w14:val="tx1"/>
                  </w14:solidFill>
                </w14:textFill>
              </w:rPr>
              <w:t>主要包括</w:t>
            </w:r>
            <w:r>
              <w:rPr>
                <w:rFonts w:hint="default"/>
                <w:color w:val="000000" w:themeColor="text1"/>
                <w:sz w:val="24"/>
                <w:szCs w:val="20"/>
                <w:highlight w:val="none"/>
                <w14:textFill>
                  <w14:solidFill>
                    <w14:schemeClr w14:val="tx1"/>
                  </w14:solidFill>
                </w14:textFill>
              </w:rPr>
              <w:t>主体工程、辅助工程、公用工程、环保工程及依托工程，</w:t>
            </w:r>
            <w:r>
              <w:rPr>
                <w:rFonts w:hint="eastAsia"/>
                <w:color w:val="000000" w:themeColor="text1"/>
                <w:sz w:val="24"/>
                <w:szCs w:val="20"/>
                <w:highlight w:val="none"/>
                <w:lang w:val="en-US" w:eastAsia="zh-CN"/>
                <w14:textFill>
                  <w14:solidFill>
                    <w14:schemeClr w14:val="tx1"/>
                  </w14:solidFill>
                </w14:textFill>
              </w:rPr>
              <w:t>项目</w:t>
            </w:r>
            <w:r>
              <w:rPr>
                <w:rFonts w:hint="eastAsia"/>
                <w:color w:val="000000" w:themeColor="text1"/>
                <w:sz w:val="24"/>
                <w:szCs w:val="20"/>
                <w:highlight w:val="none"/>
                <w14:textFill>
                  <w14:solidFill>
                    <w14:schemeClr w14:val="tx1"/>
                  </w14:solidFill>
                </w14:textFill>
              </w:rPr>
              <w:t>建设内容</w:t>
            </w:r>
            <w:r>
              <w:rPr>
                <w:rFonts w:hint="default"/>
                <w:color w:val="000000" w:themeColor="text1"/>
                <w:sz w:val="24"/>
                <w:szCs w:val="20"/>
                <w:highlight w:val="none"/>
                <w14:textFill>
                  <w14:solidFill>
                    <w14:schemeClr w14:val="tx1"/>
                  </w14:solidFill>
                </w14:textFill>
              </w:rPr>
              <w:t>见表2-</w:t>
            </w:r>
            <w:r>
              <w:rPr>
                <w:rFonts w:hint="eastAsia"/>
                <w:color w:val="000000" w:themeColor="text1"/>
                <w:sz w:val="24"/>
                <w:szCs w:val="20"/>
                <w:highlight w:val="none"/>
                <w14:textFill>
                  <w14:solidFill>
                    <w14:schemeClr w14:val="tx1"/>
                  </w14:solidFill>
                </w14:textFill>
              </w:rPr>
              <w:t>1</w:t>
            </w:r>
            <w:r>
              <w:rPr>
                <w:rFonts w:hint="default"/>
                <w:color w:val="000000" w:themeColor="text1"/>
                <w:sz w:val="24"/>
                <w:szCs w:val="20"/>
                <w:highlight w:val="none"/>
                <w14:textFill>
                  <w14:solidFill>
                    <w14:schemeClr w14:val="tx1"/>
                  </w14:solidFill>
                </w14:textFill>
              </w:rPr>
              <w:t>。</w:t>
            </w:r>
          </w:p>
          <w:p w14:paraId="5B67BDDB">
            <w:pPr>
              <w:keepNext w:val="0"/>
              <w:keepLines w:val="0"/>
              <w:suppressLineNumbers w:val="0"/>
              <w:autoSpaceDE w:val="0"/>
              <w:autoSpaceDN w:val="0"/>
              <w:spacing w:before="0" w:beforeAutospacing="0" w:after="0" w:afterAutospacing="0"/>
              <w:ind w:left="0" w:right="0"/>
              <w:jc w:val="center"/>
              <w:rPr>
                <w:rFonts w:hint="default"/>
                <w:b/>
                <w:color w:val="000000" w:themeColor="text1"/>
                <w:sz w:val="24"/>
                <w:szCs w:val="20"/>
                <w:highlight w:val="none"/>
                <w14:textFill>
                  <w14:solidFill>
                    <w14:schemeClr w14:val="tx1"/>
                  </w14:solidFill>
                </w14:textFill>
              </w:rPr>
            </w:pPr>
            <w:r>
              <w:rPr>
                <w:rFonts w:hint="default"/>
                <w:b/>
                <w:color w:val="000000" w:themeColor="text1"/>
                <w:sz w:val="24"/>
                <w:szCs w:val="20"/>
                <w:highlight w:val="none"/>
                <w14:textFill>
                  <w14:solidFill>
                    <w14:schemeClr w14:val="tx1"/>
                  </w14:solidFill>
                </w14:textFill>
              </w:rPr>
              <w:t>表2-</w:t>
            </w:r>
            <w:r>
              <w:rPr>
                <w:rFonts w:hint="eastAsia"/>
                <w:b/>
                <w:color w:val="000000" w:themeColor="text1"/>
                <w:sz w:val="24"/>
                <w:szCs w:val="20"/>
                <w:highlight w:val="none"/>
                <w14:textFill>
                  <w14:solidFill>
                    <w14:schemeClr w14:val="tx1"/>
                  </w14:solidFill>
                </w14:textFill>
              </w:rPr>
              <w:t>1</w:t>
            </w:r>
            <w:r>
              <w:rPr>
                <w:rFonts w:hint="default"/>
                <w:b/>
                <w:color w:val="000000" w:themeColor="text1"/>
                <w:sz w:val="24"/>
                <w:szCs w:val="20"/>
                <w:highlight w:val="none"/>
                <w14:textFill>
                  <w14:solidFill>
                    <w14:schemeClr w14:val="tx1"/>
                  </w14:solidFill>
                </w14:textFill>
              </w:rPr>
              <w:t xml:space="preserve">  工程建设内容一览表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407"/>
              <w:gridCol w:w="5060"/>
              <w:gridCol w:w="753"/>
            </w:tblGrid>
            <w:tr w14:paraId="3FA0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93" w:type="pct"/>
                  <w:noWrap w:val="0"/>
                  <w:vAlign w:val="center"/>
                </w:tcPr>
                <w:p w14:paraId="3F0F2040">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themeColor="text1"/>
                      <w:kern w:val="0"/>
                      <w:sz w:val="21"/>
                      <w:szCs w:val="21"/>
                      <w:highlight w:val="none"/>
                      <w14:textFill>
                        <w14:solidFill>
                          <w14:schemeClr w14:val="tx1"/>
                        </w14:solidFill>
                      </w14:textFill>
                    </w:rPr>
                  </w:pPr>
                  <w:r>
                    <w:rPr>
                      <w:rFonts w:hint="default" w:ascii="宋体" w:hAnsi="宋体"/>
                      <w:b/>
                      <w:bCs/>
                      <w:color w:val="000000" w:themeColor="text1"/>
                      <w:kern w:val="0"/>
                      <w:sz w:val="21"/>
                      <w:szCs w:val="21"/>
                      <w:highlight w:val="none"/>
                      <w14:textFill>
                        <w14:solidFill>
                          <w14:schemeClr w14:val="tx1"/>
                        </w14:solidFill>
                      </w14:textFill>
                    </w:rPr>
                    <w:t>工程内容</w:t>
                  </w:r>
                </w:p>
              </w:tc>
              <w:tc>
                <w:tcPr>
                  <w:tcW w:w="839" w:type="pct"/>
                  <w:noWrap w:val="0"/>
                  <w:vAlign w:val="center"/>
                </w:tcPr>
                <w:p w14:paraId="77D0A4C1">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themeColor="text1"/>
                      <w:kern w:val="0"/>
                      <w:sz w:val="21"/>
                      <w:szCs w:val="21"/>
                      <w:highlight w:val="none"/>
                      <w14:textFill>
                        <w14:solidFill>
                          <w14:schemeClr w14:val="tx1"/>
                        </w14:solidFill>
                      </w14:textFill>
                    </w:rPr>
                  </w:pPr>
                  <w:r>
                    <w:rPr>
                      <w:rFonts w:hint="default" w:ascii="宋体" w:hAnsi="宋体"/>
                      <w:b/>
                      <w:bCs/>
                      <w:color w:val="000000" w:themeColor="text1"/>
                      <w:kern w:val="0"/>
                      <w:sz w:val="21"/>
                      <w:szCs w:val="21"/>
                      <w:highlight w:val="none"/>
                      <w14:textFill>
                        <w14:solidFill>
                          <w14:schemeClr w14:val="tx1"/>
                        </w14:solidFill>
                      </w14:textFill>
                    </w:rPr>
                    <w:t>项目组成</w:t>
                  </w:r>
                </w:p>
              </w:tc>
              <w:tc>
                <w:tcPr>
                  <w:tcW w:w="3018" w:type="pct"/>
                  <w:noWrap w:val="0"/>
                  <w:vAlign w:val="center"/>
                </w:tcPr>
                <w:p w14:paraId="09A46E8F">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themeColor="text1"/>
                      <w:kern w:val="0"/>
                      <w:sz w:val="21"/>
                      <w:szCs w:val="21"/>
                      <w:highlight w:val="none"/>
                      <w14:textFill>
                        <w14:solidFill>
                          <w14:schemeClr w14:val="tx1"/>
                        </w14:solidFill>
                      </w14:textFill>
                    </w:rPr>
                  </w:pPr>
                  <w:r>
                    <w:rPr>
                      <w:rFonts w:hint="default" w:ascii="宋体" w:hAnsi="宋体"/>
                      <w:b/>
                      <w:bCs/>
                      <w:color w:val="000000" w:themeColor="text1"/>
                      <w:kern w:val="0"/>
                      <w:sz w:val="21"/>
                      <w:szCs w:val="21"/>
                      <w:highlight w:val="none"/>
                      <w14:textFill>
                        <w14:solidFill>
                          <w14:schemeClr w14:val="tx1"/>
                        </w14:solidFill>
                      </w14:textFill>
                    </w:rPr>
                    <w:t>建设内容</w:t>
                  </w:r>
                </w:p>
              </w:tc>
              <w:tc>
                <w:tcPr>
                  <w:tcW w:w="449" w:type="pct"/>
                  <w:noWrap w:val="0"/>
                  <w:vAlign w:val="center"/>
                </w:tcPr>
                <w:p w14:paraId="261D55B5">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themeColor="text1"/>
                      <w:kern w:val="0"/>
                      <w:sz w:val="21"/>
                      <w:szCs w:val="21"/>
                      <w:highlight w:val="none"/>
                      <w14:textFill>
                        <w14:solidFill>
                          <w14:schemeClr w14:val="tx1"/>
                        </w14:solidFill>
                      </w14:textFill>
                    </w:rPr>
                  </w:pPr>
                  <w:r>
                    <w:rPr>
                      <w:rFonts w:hint="default" w:ascii="宋体" w:hAnsi="宋体"/>
                      <w:b/>
                      <w:bCs/>
                      <w:color w:val="000000" w:themeColor="text1"/>
                      <w:kern w:val="0"/>
                      <w:sz w:val="21"/>
                      <w:szCs w:val="21"/>
                      <w:highlight w:val="none"/>
                      <w14:textFill>
                        <w14:solidFill>
                          <w14:schemeClr w14:val="tx1"/>
                        </w14:solidFill>
                      </w14:textFill>
                    </w:rPr>
                    <w:t>备注</w:t>
                  </w:r>
                </w:p>
              </w:tc>
            </w:tr>
            <w:tr w14:paraId="008A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93" w:type="pct"/>
                  <w:vMerge w:val="restart"/>
                  <w:noWrap w:val="0"/>
                  <w:vAlign w:val="center"/>
                </w:tcPr>
                <w:p w14:paraId="3616FC62">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主体工程</w:t>
                  </w:r>
                </w:p>
              </w:tc>
              <w:tc>
                <w:tcPr>
                  <w:tcW w:w="839" w:type="pct"/>
                  <w:noWrap w:val="0"/>
                  <w:vAlign w:val="center"/>
                </w:tcPr>
                <w:p w14:paraId="7E29319B">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1"/>
                      <w:szCs w:val="21"/>
                      <w:highlight w:val="none"/>
                      <w:lang w:eastAsia="zh-CN"/>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改性车间</w:t>
                  </w:r>
                </w:p>
              </w:tc>
              <w:tc>
                <w:tcPr>
                  <w:tcW w:w="3018" w:type="pct"/>
                  <w:noWrap w:val="0"/>
                  <w:vAlign w:val="center"/>
                </w:tcPr>
                <w:p w14:paraId="0A2B5FB8">
                  <w:pPr>
                    <w:keepNext w:val="0"/>
                    <w:keepLines w:val="0"/>
                    <w:suppressLineNumbers w:val="0"/>
                    <w:adjustRightInd w:val="0"/>
                    <w:snapToGrid w:val="0"/>
                    <w:spacing w:before="0" w:beforeAutospacing="0" w:after="0" w:afterAutospacing="0"/>
                    <w:ind w:left="0" w:right="0"/>
                    <w:rPr>
                      <w:rFonts w:hint="default"/>
                      <w:color w:val="000000" w:themeColor="text1"/>
                      <w:kern w:val="0"/>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位于租赁场地</w:t>
                  </w:r>
                  <w:r>
                    <w:rPr>
                      <w:rFonts w:hint="eastAsia"/>
                      <w:color w:val="000000" w:themeColor="text1"/>
                      <w:sz w:val="21"/>
                      <w:szCs w:val="21"/>
                      <w:highlight w:val="none"/>
                      <w:lang w:val="en-US" w:eastAsia="zh-CN"/>
                      <w14:textFill>
                        <w14:solidFill>
                          <w14:schemeClr w14:val="tx1"/>
                        </w14:solidFill>
                      </w14:textFill>
                    </w:rPr>
                    <w:t>北侧</w:t>
                  </w:r>
                  <w:r>
                    <w:rPr>
                      <w:rFonts w:hint="eastAsia"/>
                      <w:color w:val="000000" w:themeColor="text1"/>
                      <w:sz w:val="21"/>
                      <w:szCs w:val="21"/>
                      <w:highlight w:val="none"/>
                      <w14:textFill>
                        <w14:solidFill>
                          <w14:schemeClr w14:val="tx1"/>
                        </w14:solidFill>
                      </w14:textFill>
                    </w:rPr>
                    <w:t>，新建钢结构封闭厂房</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建筑面积</w:t>
                  </w:r>
                  <w:r>
                    <w:rPr>
                      <w:rFonts w:hint="eastAsia"/>
                      <w:color w:val="000000" w:themeColor="text1"/>
                      <w:sz w:val="21"/>
                      <w:szCs w:val="21"/>
                      <w:highlight w:val="none"/>
                      <w:lang w:eastAsia="zh-CN"/>
                      <w14:textFill>
                        <w14:solidFill>
                          <w14:schemeClr w14:val="tx1"/>
                        </w14:solidFill>
                      </w14:textFill>
                    </w:rPr>
                    <w:t>1930</w:t>
                  </w:r>
                  <w:r>
                    <w:rPr>
                      <w:rFonts w:hint="eastAsia"/>
                      <w:color w:val="000000" w:themeColor="text1"/>
                      <w:sz w:val="21"/>
                      <w:szCs w:val="21"/>
                      <w:highlight w:val="none"/>
                      <w14:textFill>
                        <w14:solidFill>
                          <w14:schemeClr w14:val="tx1"/>
                        </w14:solidFill>
                      </w14:textFill>
                    </w:rPr>
                    <w:t>m²，</w:t>
                  </w:r>
                  <w:r>
                    <w:rPr>
                      <w:rFonts w:hint="eastAsia"/>
                      <w:color w:val="000000" w:themeColor="text1"/>
                      <w:sz w:val="21"/>
                      <w:szCs w:val="21"/>
                      <w:highlight w:val="none"/>
                      <w:lang w:val="en-US" w:eastAsia="zh-CN"/>
                      <w14:textFill>
                        <w14:solidFill>
                          <w14:schemeClr w14:val="tx1"/>
                        </w14:solidFill>
                      </w14:textFill>
                    </w:rPr>
                    <w:t>设置两条</w:t>
                  </w:r>
                  <w:r>
                    <w:rPr>
                      <w:rFonts w:hint="eastAsia"/>
                      <w:color w:val="000000" w:themeColor="text1"/>
                      <w:sz w:val="21"/>
                      <w:szCs w:val="21"/>
                      <w:highlight w:val="none"/>
                      <w14:textFill>
                        <w14:solidFill>
                          <w14:schemeClr w14:val="tx1"/>
                        </w14:solidFill>
                      </w14:textFill>
                    </w:rPr>
                    <w:t>改性生产线</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一条产能为600</w:t>
                  </w:r>
                  <w:r>
                    <w:rPr>
                      <w:rFonts w:hint="eastAsia"/>
                      <w:color w:val="000000" w:themeColor="text1"/>
                      <w:sz w:val="21"/>
                      <w:szCs w:val="21"/>
                      <w:highlight w:val="none"/>
                      <w:lang w:eastAsia="zh-CN"/>
                      <w14:textFill>
                        <w14:solidFill>
                          <w14:schemeClr w14:val="tx1"/>
                        </w14:solidFill>
                      </w14:textFill>
                    </w:rPr>
                    <w:t>t/h</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一条产能为300</w:t>
                  </w:r>
                  <w:r>
                    <w:rPr>
                      <w:rFonts w:hint="eastAsia"/>
                      <w:color w:val="000000" w:themeColor="text1"/>
                      <w:sz w:val="21"/>
                      <w:szCs w:val="21"/>
                      <w:highlight w:val="none"/>
                      <w:lang w:eastAsia="zh-CN"/>
                      <w14:textFill>
                        <w14:solidFill>
                          <w14:schemeClr w14:val="tx1"/>
                        </w14:solidFill>
                      </w14:textFill>
                    </w:rPr>
                    <w:t>t/h。</w:t>
                  </w:r>
                </w:p>
              </w:tc>
              <w:tc>
                <w:tcPr>
                  <w:tcW w:w="449" w:type="pct"/>
                  <w:noWrap w:val="0"/>
                  <w:vAlign w:val="center"/>
                </w:tcPr>
                <w:p w14:paraId="2FBF5C47">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新建</w:t>
                  </w:r>
                </w:p>
              </w:tc>
            </w:tr>
            <w:tr w14:paraId="05CF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693" w:type="pct"/>
                  <w:vMerge w:val="continue"/>
                  <w:noWrap w:val="0"/>
                  <w:vAlign w:val="center"/>
                </w:tcPr>
                <w:p w14:paraId="027404E1">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p>
              </w:tc>
              <w:tc>
                <w:tcPr>
                  <w:tcW w:w="839" w:type="pct"/>
                  <w:noWrap w:val="0"/>
                  <w:vAlign w:val="center"/>
                </w:tcPr>
                <w:p w14:paraId="73B162AD">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lang w:val="en-US" w:eastAsia="zh-CN"/>
                      <w14:textFill>
                        <w14:solidFill>
                          <w14:schemeClr w14:val="tx1"/>
                        </w14:solidFill>
                      </w14:textFill>
                    </w:rPr>
                  </w:pPr>
                  <w:r>
                    <w:rPr>
                      <w:rFonts w:hint="eastAsia" w:ascii="宋体" w:hAnsi="宋体"/>
                      <w:color w:val="000000" w:themeColor="text1"/>
                      <w:kern w:val="0"/>
                      <w:sz w:val="21"/>
                      <w:szCs w:val="21"/>
                      <w:highlight w:val="none"/>
                      <w:lang w:val="en-US" w:eastAsia="zh-CN"/>
                      <w14:textFill>
                        <w14:solidFill>
                          <w14:schemeClr w14:val="tx1"/>
                        </w14:solidFill>
                      </w14:textFill>
                    </w:rPr>
                    <w:t>待检区</w:t>
                  </w:r>
                </w:p>
              </w:tc>
              <w:tc>
                <w:tcPr>
                  <w:tcW w:w="3018" w:type="pct"/>
                  <w:noWrap w:val="0"/>
                  <w:vAlign w:val="center"/>
                </w:tcPr>
                <w:p w14:paraId="7EAE0526">
                  <w:pPr>
                    <w:keepNext w:val="0"/>
                    <w:keepLines w:val="0"/>
                    <w:suppressLineNumbers w:val="0"/>
                    <w:spacing w:before="0" w:beforeAutospacing="0" w:after="0" w:afterAutospacing="0"/>
                    <w:ind w:left="0" w:right="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待检堆存区利用租赁厂区闲置的两间仓库及仓库南部空地进行建设，1#仓库占地面积780m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000000" w:themeColor="text1"/>
                      <w:sz w:val="21"/>
                      <w:szCs w:val="21"/>
                      <w:highlight w:val="none"/>
                      <w:vertAlign w:val="baseline"/>
                      <w:lang w:val="en-US" w:eastAsia="zh-CN"/>
                      <w14:textFill>
                        <w14:solidFill>
                          <w14:schemeClr w14:val="tx1"/>
                        </w14:solidFill>
                      </w14:textFill>
                    </w:rPr>
                    <w:t>，高10m</w:t>
                  </w:r>
                  <w:r>
                    <w:rPr>
                      <w:rFonts w:hint="eastAsia"/>
                      <w:color w:val="000000" w:themeColor="text1"/>
                      <w:sz w:val="21"/>
                      <w:szCs w:val="21"/>
                      <w:highlight w:val="none"/>
                      <w:lang w:val="en-US" w:eastAsia="zh-CN"/>
                      <w14:textFill>
                        <w14:solidFill>
                          <w14:schemeClr w14:val="tx1"/>
                        </w14:solidFill>
                      </w14:textFill>
                    </w:rPr>
                    <w:t>，2#仓库占地面积760m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000000" w:themeColor="text1"/>
                      <w:sz w:val="21"/>
                      <w:szCs w:val="21"/>
                      <w:highlight w:val="none"/>
                      <w:vertAlign w:val="baseline"/>
                      <w:lang w:val="en-US" w:eastAsia="zh-CN"/>
                      <w14:textFill>
                        <w14:solidFill>
                          <w14:schemeClr w14:val="tx1"/>
                        </w14:solidFill>
                      </w14:textFill>
                    </w:rPr>
                    <w:t>，高10m。</w:t>
                  </w:r>
                  <w:r>
                    <w:rPr>
                      <w:rFonts w:hint="eastAsia"/>
                      <w:color w:val="000000" w:themeColor="text1"/>
                      <w:sz w:val="21"/>
                      <w:szCs w:val="21"/>
                      <w:highlight w:val="none"/>
                      <w:lang w:val="en-US" w:eastAsia="zh-CN"/>
                      <w14:textFill>
                        <w14:solidFill>
                          <w14:schemeClr w14:val="tx1"/>
                        </w14:solidFill>
                      </w14:textFill>
                    </w:rPr>
                    <w:t>两间仓库最大堆存量为15000t。</w:t>
                  </w:r>
                </w:p>
                <w:p w14:paraId="5FA652E7">
                  <w:pPr>
                    <w:keepNext w:val="0"/>
                    <w:keepLines w:val="0"/>
                    <w:suppressLineNumbers w:val="0"/>
                    <w:spacing w:before="0" w:beforeAutospacing="0" w:after="0" w:afterAutospacing="0"/>
                    <w:ind w:left="0" w:right="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在仓库南侧空地建设中转场，</w:t>
                  </w:r>
                  <w:r>
                    <w:rPr>
                      <w:rFonts w:hint="default"/>
                      <w:color w:val="000000" w:themeColor="text1"/>
                      <w:sz w:val="21"/>
                      <w:szCs w:val="21"/>
                      <w:highlight w:val="none"/>
                      <w14:textFill>
                        <w14:solidFill>
                          <w14:schemeClr w14:val="tx1"/>
                        </w14:solidFill>
                      </w14:textFill>
                    </w:rPr>
                    <w:t>采用钢结构框架，设置顶棚及</w:t>
                  </w:r>
                  <w:r>
                    <w:rPr>
                      <w:rFonts w:hint="eastAsia"/>
                      <w:color w:val="000000" w:themeColor="text1"/>
                      <w:sz w:val="21"/>
                      <w:szCs w:val="21"/>
                      <w:highlight w:val="none"/>
                      <w:lang w:val="en-US" w:eastAsia="zh-CN"/>
                      <w14:textFill>
                        <w14:solidFill>
                          <w14:schemeClr w14:val="tx1"/>
                        </w14:solidFill>
                      </w14:textFill>
                    </w:rPr>
                    <w:t>四周</w:t>
                  </w:r>
                  <w:r>
                    <w:rPr>
                      <w:rFonts w:hint="default"/>
                      <w:color w:val="000000" w:themeColor="text1"/>
                      <w:sz w:val="21"/>
                      <w:szCs w:val="21"/>
                      <w:highlight w:val="none"/>
                      <w14:textFill>
                        <w14:solidFill>
                          <w14:schemeClr w14:val="tx1"/>
                        </w14:solidFill>
                      </w14:textFill>
                    </w:rPr>
                    <w:t>围挡</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占地面积</w:t>
                  </w:r>
                  <w:r>
                    <w:rPr>
                      <w:rFonts w:hint="eastAsia"/>
                      <w:color w:val="000000" w:themeColor="text1"/>
                      <w:sz w:val="21"/>
                      <w:szCs w:val="21"/>
                      <w:highlight w:val="none"/>
                      <w:lang w:val="en-US" w:eastAsia="zh-CN"/>
                      <w14:textFill>
                        <w14:solidFill>
                          <w14:schemeClr w14:val="tx1"/>
                        </w14:solidFill>
                      </w14:textFill>
                    </w:rPr>
                    <w:t>7500</w:t>
                  </w:r>
                  <w:r>
                    <w:rPr>
                      <w:rFonts w:hint="eastAsia"/>
                      <w:color w:val="000000" w:themeColor="text1"/>
                      <w:sz w:val="21"/>
                      <w:szCs w:val="21"/>
                      <w:highlight w:val="none"/>
                      <w14:textFill>
                        <w14:solidFill>
                          <w14:schemeClr w14:val="tx1"/>
                        </w14:solidFill>
                      </w14:textFill>
                    </w:rPr>
                    <w:t>m²，</w:t>
                  </w:r>
                  <w:r>
                    <w:rPr>
                      <w:rFonts w:hint="eastAsia"/>
                      <w:color w:val="000000" w:themeColor="text1"/>
                      <w:sz w:val="21"/>
                      <w:szCs w:val="21"/>
                      <w:highlight w:val="none"/>
                      <w:lang w:val="en-US" w:eastAsia="zh-CN"/>
                      <w14:textFill>
                        <w14:solidFill>
                          <w14:schemeClr w14:val="tx1"/>
                        </w14:solidFill>
                      </w14:textFill>
                    </w:rPr>
                    <w:t>最大堆存量60000t。</w:t>
                  </w:r>
                </w:p>
                <w:p w14:paraId="026109C6">
                  <w:pPr>
                    <w:keepNext w:val="0"/>
                    <w:keepLines w:val="0"/>
                    <w:suppressLineNumbers w:val="0"/>
                    <w:spacing w:before="0" w:beforeAutospacing="0" w:after="0" w:afterAutospacing="0"/>
                    <w:ind w:left="0" w:right="0"/>
                    <w:rPr>
                      <w:rFonts w:hint="eastAsia" w:ascii="宋体" w:hAnsi="宋体"/>
                      <w:color w:val="000000" w:themeColor="text1"/>
                      <w:kern w:val="0"/>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项目待检区总占地面积9040m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000000" w:themeColor="text1"/>
                      <w:sz w:val="21"/>
                      <w:szCs w:val="21"/>
                      <w:highlight w:val="none"/>
                      <w:vertAlign w:val="baseline"/>
                      <w:lang w:val="en-US" w:eastAsia="zh-CN"/>
                      <w14:textFill>
                        <w14:solidFill>
                          <w14:schemeClr w14:val="tx1"/>
                        </w14:solidFill>
                      </w14:textFill>
                    </w:rPr>
                    <w:t>，总堆存量75000t，可满足8天的改性磷石膏堆存，满足改性连石膏养护要求</w:t>
                  </w:r>
                  <w:r>
                    <w:rPr>
                      <w:rFonts w:hint="eastAsia"/>
                      <w:color w:val="000000" w:themeColor="text1"/>
                      <w:sz w:val="21"/>
                      <w:szCs w:val="21"/>
                      <w:highlight w:val="none"/>
                      <w:lang w:val="en-US" w:eastAsia="zh-CN"/>
                      <w14:textFill>
                        <w14:solidFill>
                          <w14:schemeClr w14:val="tx1"/>
                        </w14:solidFill>
                      </w14:textFill>
                    </w:rPr>
                    <w:t>，中转场面积及容积均可以满足项目要求。</w:t>
                  </w:r>
                </w:p>
              </w:tc>
              <w:tc>
                <w:tcPr>
                  <w:tcW w:w="449" w:type="pct"/>
                  <w:noWrap w:val="0"/>
                  <w:vAlign w:val="center"/>
                </w:tcPr>
                <w:p w14:paraId="6ABB9423">
                  <w:pPr>
                    <w:keepNext w:val="0"/>
                    <w:keepLines w:val="0"/>
                    <w:suppressLineNumbers w:val="0"/>
                    <w:adjustRightInd w:val="0"/>
                    <w:snapToGrid w:val="0"/>
                    <w:spacing w:before="0" w:beforeAutospacing="0" w:after="0" w:afterAutospacing="0"/>
                    <w:ind w:left="0" w:right="0"/>
                    <w:jc w:val="center"/>
                    <w:rPr>
                      <w:rFonts w:hint="eastAsia" w:ascii="宋体" w:hAnsi="宋体"/>
                      <w:color w:val="000000" w:themeColor="text1"/>
                      <w:kern w:val="0"/>
                      <w:sz w:val="21"/>
                      <w:szCs w:val="21"/>
                      <w:highlight w:val="none"/>
                      <w:lang w:val="en-US" w:eastAsia="zh-CN"/>
                      <w14:textFill>
                        <w14:solidFill>
                          <w14:schemeClr w14:val="tx1"/>
                        </w14:solidFill>
                      </w14:textFill>
                    </w:rPr>
                  </w:pPr>
                  <w:r>
                    <w:rPr>
                      <w:rFonts w:hint="eastAsia" w:ascii="宋体" w:hAnsi="宋体"/>
                      <w:color w:val="000000" w:themeColor="text1"/>
                      <w:kern w:val="0"/>
                      <w:sz w:val="21"/>
                      <w:szCs w:val="21"/>
                      <w:highlight w:val="none"/>
                      <w:lang w:val="en-US" w:eastAsia="zh-CN"/>
                      <w14:textFill>
                        <w14:solidFill>
                          <w14:schemeClr w14:val="tx1"/>
                        </w14:solidFill>
                      </w14:textFill>
                    </w:rPr>
                    <w:t>依托闲置仓库，同时新建</w:t>
                  </w:r>
                </w:p>
                <w:p w14:paraId="06AF6DCE">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lang w:val="en-US" w:eastAsia="zh-CN"/>
                      <w14:textFill>
                        <w14:solidFill>
                          <w14:schemeClr w14:val="tx1"/>
                        </w14:solidFill>
                      </w14:textFill>
                    </w:rPr>
                  </w:pPr>
                  <w:r>
                    <w:rPr>
                      <w:rFonts w:hint="eastAsia" w:ascii="宋体" w:hAnsi="宋体"/>
                      <w:color w:val="000000" w:themeColor="text1"/>
                      <w:kern w:val="0"/>
                      <w:sz w:val="21"/>
                      <w:szCs w:val="21"/>
                      <w:highlight w:val="none"/>
                      <w:lang w:val="en-US" w:eastAsia="zh-CN"/>
                      <w14:textFill>
                        <w14:solidFill>
                          <w14:schemeClr w14:val="tx1"/>
                        </w14:solidFill>
                      </w14:textFill>
                    </w:rPr>
                    <w:t>待检区</w:t>
                  </w:r>
                </w:p>
              </w:tc>
            </w:tr>
            <w:tr w14:paraId="6CFD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3" w:type="pct"/>
                  <w:vMerge w:val="restart"/>
                  <w:noWrap w:val="0"/>
                  <w:vAlign w:val="center"/>
                </w:tcPr>
                <w:p w14:paraId="65B4BEBE">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辅助工程</w:t>
                  </w:r>
                </w:p>
              </w:tc>
              <w:tc>
                <w:tcPr>
                  <w:tcW w:w="839" w:type="pct"/>
                  <w:noWrap w:val="0"/>
                  <w:vAlign w:val="center"/>
                </w:tcPr>
                <w:p w14:paraId="66650EDC">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办公及生活区</w:t>
                  </w:r>
                </w:p>
              </w:tc>
              <w:tc>
                <w:tcPr>
                  <w:tcW w:w="3018" w:type="pct"/>
                  <w:noWrap w:val="0"/>
                  <w:vAlign w:val="center"/>
                </w:tcPr>
                <w:p w14:paraId="5E099BB7">
                  <w:pPr>
                    <w:keepNext w:val="0"/>
                    <w:keepLines w:val="0"/>
                    <w:suppressLineNumbers w:val="0"/>
                    <w:adjustRightInd w:val="0"/>
                    <w:snapToGrid w:val="0"/>
                    <w:spacing w:before="0" w:beforeAutospacing="0" w:after="0" w:afterAutospacing="0"/>
                    <w:ind w:left="0" w:right="0"/>
                    <w:rPr>
                      <w:rFonts w:hint="default" w:eastAsia="宋体"/>
                      <w:color w:val="000000" w:themeColor="text1"/>
                      <w:kern w:val="0"/>
                      <w:sz w:val="21"/>
                      <w:szCs w:val="21"/>
                      <w:highlight w:val="none"/>
                      <w:lang w:val="en-US" w:eastAsia="zh-CN"/>
                      <w14:textFill>
                        <w14:solidFill>
                          <w14:schemeClr w14:val="tx1"/>
                        </w14:solidFill>
                      </w14:textFill>
                    </w:rPr>
                  </w:pPr>
                  <w:r>
                    <w:rPr>
                      <w:rFonts w:hint="default"/>
                      <w:color w:val="000000" w:themeColor="text1"/>
                      <w:kern w:val="0"/>
                      <w:sz w:val="21"/>
                      <w:szCs w:val="21"/>
                      <w:highlight w:val="none"/>
                      <w14:textFill>
                        <w14:solidFill>
                          <w14:schemeClr w14:val="tx1"/>
                        </w14:solidFill>
                      </w14:textFill>
                    </w:rPr>
                    <w:t>依托</w:t>
                  </w:r>
                  <w:r>
                    <w:rPr>
                      <w:rFonts w:hint="eastAsia"/>
                      <w:color w:val="000000" w:themeColor="text1"/>
                      <w:kern w:val="0"/>
                      <w:sz w:val="21"/>
                      <w:szCs w:val="21"/>
                      <w:highlight w:val="none"/>
                      <w:lang w:val="en-US" w:eastAsia="zh-CN"/>
                      <w14:textFill>
                        <w14:solidFill>
                          <w14:schemeClr w14:val="tx1"/>
                        </w14:solidFill>
                      </w14:textFill>
                    </w:rPr>
                    <w:t>租赁场地原有</w:t>
                  </w:r>
                  <w:r>
                    <w:rPr>
                      <w:rFonts w:hint="default"/>
                      <w:color w:val="000000" w:themeColor="text1"/>
                      <w:kern w:val="0"/>
                      <w:sz w:val="21"/>
                      <w:szCs w:val="21"/>
                      <w:highlight w:val="none"/>
                      <w14:textFill>
                        <w14:solidFill>
                          <w14:schemeClr w14:val="tx1"/>
                        </w14:solidFill>
                      </w14:textFill>
                    </w:rPr>
                    <w:t>办公</w:t>
                  </w:r>
                  <w:r>
                    <w:rPr>
                      <w:rFonts w:hint="eastAsia"/>
                      <w:color w:val="000000" w:themeColor="text1"/>
                      <w:kern w:val="0"/>
                      <w:sz w:val="21"/>
                      <w:szCs w:val="21"/>
                      <w:highlight w:val="none"/>
                      <w:lang w:val="en-US" w:eastAsia="zh-CN"/>
                      <w14:textFill>
                        <w14:solidFill>
                          <w14:schemeClr w14:val="tx1"/>
                        </w14:solidFill>
                      </w14:textFill>
                    </w:rPr>
                    <w:t>区</w:t>
                  </w:r>
                  <w:r>
                    <w:rPr>
                      <w:rFonts w:hint="default"/>
                      <w:color w:val="000000" w:themeColor="text1"/>
                      <w:kern w:val="0"/>
                      <w:sz w:val="21"/>
                      <w:szCs w:val="21"/>
                      <w:highlight w:val="none"/>
                      <w14:textFill>
                        <w14:solidFill>
                          <w14:schemeClr w14:val="tx1"/>
                        </w14:solidFill>
                      </w14:textFill>
                    </w:rPr>
                    <w:t>使用</w:t>
                  </w:r>
                  <w:r>
                    <w:rPr>
                      <w:rFonts w:hint="eastAsia"/>
                      <w:color w:val="000000" w:themeColor="text1"/>
                      <w:kern w:val="0"/>
                      <w:sz w:val="21"/>
                      <w:szCs w:val="21"/>
                      <w:highlight w:val="none"/>
                      <w:lang w:eastAsia="zh-CN"/>
                      <w14:textFill>
                        <w14:solidFill>
                          <w14:schemeClr w14:val="tx1"/>
                        </w14:solidFill>
                      </w14:textFill>
                    </w:rPr>
                    <w:t>。</w:t>
                  </w:r>
                  <w:r>
                    <w:rPr>
                      <w:rFonts w:hint="eastAsia"/>
                      <w:color w:val="000000" w:themeColor="text1"/>
                      <w:kern w:val="0"/>
                      <w:sz w:val="21"/>
                      <w:szCs w:val="21"/>
                      <w:highlight w:val="none"/>
                      <w:lang w:val="en-US" w:eastAsia="zh-CN"/>
                      <w14:textFill>
                        <w14:solidFill>
                          <w14:schemeClr w14:val="tx1"/>
                        </w14:solidFill>
                      </w14:textFill>
                    </w:rPr>
                    <w:t>只设置办公及休息区，不设置食堂及住宿。</w:t>
                  </w:r>
                </w:p>
              </w:tc>
              <w:tc>
                <w:tcPr>
                  <w:tcW w:w="449" w:type="pct"/>
                  <w:noWrap w:val="0"/>
                  <w:vAlign w:val="center"/>
                </w:tcPr>
                <w:p w14:paraId="08505794">
                  <w:pPr>
                    <w:keepNext w:val="0"/>
                    <w:keepLines w:val="0"/>
                    <w:suppressLineNumbers w:val="0"/>
                    <w:adjustRightInd w:val="0"/>
                    <w:snapToGrid w:val="0"/>
                    <w:spacing w:before="0" w:beforeAutospacing="0" w:after="0" w:afterAutospacing="0"/>
                    <w:ind w:left="0" w:right="0"/>
                    <w:jc w:val="center"/>
                    <w:rPr>
                      <w:rFonts w:hint="eastAsia"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依托</w:t>
                  </w:r>
                </w:p>
              </w:tc>
            </w:tr>
            <w:tr w14:paraId="6107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pct"/>
                  <w:vMerge w:val="continue"/>
                  <w:noWrap w:val="0"/>
                  <w:vAlign w:val="center"/>
                </w:tcPr>
                <w:p w14:paraId="0AF145DE">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p>
              </w:tc>
              <w:tc>
                <w:tcPr>
                  <w:tcW w:w="839" w:type="pct"/>
                  <w:noWrap w:val="0"/>
                  <w:vAlign w:val="center"/>
                </w:tcPr>
                <w:p w14:paraId="574E4ACC">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截排水工程</w:t>
                  </w:r>
                </w:p>
              </w:tc>
              <w:tc>
                <w:tcPr>
                  <w:tcW w:w="3018" w:type="pct"/>
                  <w:noWrap w:val="0"/>
                  <w:vAlign w:val="center"/>
                </w:tcPr>
                <w:p w14:paraId="36ABA744">
                  <w:pPr>
                    <w:keepNext w:val="0"/>
                    <w:keepLines w:val="0"/>
                    <w:suppressLineNumbers w:val="0"/>
                    <w:adjustRightInd w:val="0"/>
                    <w:snapToGrid w:val="0"/>
                    <w:spacing w:before="0" w:beforeAutospacing="0" w:after="0" w:afterAutospacing="0"/>
                    <w:ind w:left="0" w:right="0"/>
                    <w:rPr>
                      <w:rFonts w:hint="eastAsia" w:ascii="宋体" w:hAnsi="宋体" w:eastAsia="宋体"/>
                      <w:color w:val="000000" w:themeColor="text1"/>
                      <w:kern w:val="0"/>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项目改性区雨水</w:t>
                  </w:r>
                  <w:r>
                    <w:rPr>
                      <w:rFonts w:hint="eastAsia"/>
                      <w:color w:val="000000" w:themeColor="text1"/>
                      <w:sz w:val="21"/>
                      <w:szCs w:val="21"/>
                      <w:highlight w:val="none"/>
                      <w:lang w:val="en-US" w:eastAsia="zh-CN"/>
                      <w14:textFill>
                        <w14:solidFill>
                          <w14:schemeClr w14:val="tx1"/>
                        </w14:solidFill>
                      </w14:textFill>
                    </w:rPr>
                    <w:t>收集依托租赁场地已建</w:t>
                  </w:r>
                  <w:r>
                    <w:rPr>
                      <w:rFonts w:hint="default"/>
                      <w:color w:val="000000" w:themeColor="text1"/>
                      <w:sz w:val="21"/>
                      <w:szCs w:val="21"/>
                      <w:highlight w:val="none"/>
                      <w14:textFill>
                        <w14:solidFill>
                          <w14:schemeClr w14:val="tx1"/>
                        </w14:solidFill>
                      </w14:textFill>
                    </w:rPr>
                    <w:t>道路排水沟</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收集</w:t>
                  </w:r>
                  <w:r>
                    <w:rPr>
                      <w:rFonts w:hint="default"/>
                      <w:color w:val="000000" w:themeColor="text1"/>
                      <w:sz w:val="21"/>
                      <w:szCs w:val="21"/>
                      <w:highlight w:val="none"/>
                      <w14:textFill>
                        <w14:solidFill>
                          <w14:schemeClr w14:val="tx1"/>
                        </w14:solidFill>
                      </w14:textFill>
                    </w:rPr>
                    <w:t>排入</w:t>
                  </w:r>
                  <w:r>
                    <w:rPr>
                      <w:rFonts w:hint="eastAsia"/>
                      <w:color w:val="000000" w:themeColor="text1"/>
                      <w:sz w:val="21"/>
                      <w:szCs w:val="21"/>
                      <w:highlight w:val="none"/>
                      <w:lang w:val="en-US" w:eastAsia="zh-CN"/>
                      <w14:textFill>
                        <w14:solidFill>
                          <w14:schemeClr w14:val="tx1"/>
                        </w14:solidFill>
                      </w14:textFill>
                    </w:rPr>
                    <w:t>新建的初期雨水收集池，回用于厂区车间内及道路洒水抑尘</w:t>
                  </w:r>
                  <w:r>
                    <w:rPr>
                      <w:rFonts w:hint="eastAsia"/>
                      <w:color w:val="000000" w:themeColor="text1"/>
                      <w:sz w:val="21"/>
                      <w:szCs w:val="21"/>
                      <w:highlight w:val="none"/>
                      <w14:textFill>
                        <w14:solidFill>
                          <w14:schemeClr w14:val="tx1"/>
                        </w14:solidFill>
                      </w14:textFill>
                    </w:rPr>
                    <w:t>。</w:t>
                  </w:r>
                  <w:r>
                    <w:rPr>
                      <w:rFonts w:hint="default"/>
                      <w:color w:val="000000" w:themeColor="text1"/>
                      <w:sz w:val="21"/>
                      <w:szCs w:val="21"/>
                      <w:highlight w:val="none"/>
                      <w14:textFill>
                        <w14:solidFill>
                          <w14:schemeClr w14:val="tx1"/>
                        </w14:solidFill>
                      </w14:textFill>
                    </w:rPr>
                    <w:t>排水沟采用明沟与盖板沟结合的方式，断面不小于0.4m×0.4m，结构采用</w:t>
                  </w:r>
                  <w:r>
                    <w:rPr>
                      <w:rFonts w:hint="eastAsia"/>
                      <w:color w:val="000000" w:themeColor="text1"/>
                      <w:sz w:val="21"/>
                      <w:szCs w:val="21"/>
                      <w:highlight w:val="none"/>
                      <w:lang w:val="en-US" w:eastAsia="zh-CN"/>
                      <w14:textFill>
                        <w14:solidFill>
                          <w14:schemeClr w14:val="tx1"/>
                        </w14:solidFill>
                      </w14:textFill>
                    </w:rPr>
                    <w:t>砖砌及</w:t>
                  </w:r>
                  <w:r>
                    <w:rPr>
                      <w:rFonts w:hint="default"/>
                      <w:color w:val="000000" w:themeColor="text1"/>
                      <w:sz w:val="21"/>
                      <w:szCs w:val="21"/>
                      <w:highlight w:val="none"/>
                      <w14:textFill>
                        <w14:solidFill>
                          <w14:schemeClr w14:val="tx1"/>
                        </w14:solidFill>
                      </w14:textFill>
                    </w:rPr>
                    <w:t>C20素混凝土沟，一般道路采用排水明沟，穿越道路、车间引道、通行车辆场地等区域铺装重型沟盖板</w:t>
                  </w:r>
                  <w:r>
                    <w:rPr>
                      <w:rFonts w:hint="eastAsia"/>
                      <w:color w:val="000000" w:themeColor="text1"/>
                      <w:sz w:val="21"/>
                      <w:szCs w:val="21"/>
                      <w:highlight w:val="none"/>
                      <w:lang w:eastAsia="zh-CN"/>
                      <w14:textFill>
                        <w14:solidFill>
                          <w14:schemeClr w14:val="tx1"/>
                        </w14:solidFill>
                      </w14:textFill>
                    </w:rPr>
                    <w:t>。</w:t>
                  </w:r>
                </w:p>
              </w:tc>
              <w:tc>
                <w:tcPr>
                  <w:tcW w:w="449" w:type="pct"/>
                  <w:noWrap w:val="0"/>
                  <w:vAlign w:val="center"/>
                </w:tcPr>
                <w:p w14:paraId="1051597A">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新建</w:t>
                  </w:r>
                </w:p>
              </w:tc>
            </w:tr>
            <w:tr w14:paraId="4A28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restart"/>
                  <w:noWrap w:val="0"/>
                  <w:vAlign w:val="center"/>
                </w:tcPr>
                <w:p w14:paraId="1E17FB78">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公用工程</w:t>
                  </w:r>
                </w:p>
              </w:tc>
              <w:tc>
                <w:tcPr>
                  <w:tcW w:w="839" w:type="pct"/>
                  <w:noWrap w:val="0"/>
                  <w:vAlign w:val="center"/>
                </w:tcPr>
                <w:p w14:paraId="778D7244">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供电</w:t>
                  </w:r>
                </w:p>
              </w:tc>
              <w:tc>
                <w:tcPr>
                  <w:tcW w:w="3018" w:type="pct"/>
                  <w:noWrap w:val="0"/>
                  <w:vAlign w:val="center"/>
                </w:tcPr>
                <w:p w14:paraId="287ACA8E">
                  <w:pPr>
                    <w:keepNext w:val="0"/>
                    <w:keepLines w:val="0"/>
                    <w:suppressLineNumbers w:val="0"/>
                    <w:adjustRightInd w:val="0"/>
                    <w:snapToGrid w:val="0"/>
                    <w:spacing w:before="0" w:beforeAutospacing="0" w:after="0" w:afterAutospacing="0"/>
                    <w:ind w:left="0" w:right="0"/>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项目用电主要为</w:t>
                  </w:r>
                  <w:r>
                    <w:rPr>
                      <w:rFonts w:hint="eastAsia" w:ascii="宋体" w:hAnsi="宋体"/>
                      <w:color w:val="000000" w:themeColor="text1"/>
                      <w:kern w:val="0"/>
                      <w:sz w:val="21"/>
                      <w:szCs w:val="21"/>
                      <w:highlight w:val="none"/>
                      <w14:textFill>
                        <w14:solidFill>
                          <w14:schemeClr w14:val="tx1"/>
                        </w14:solidFill>
                      </w14:textFill>
                    </w:rPr>
                    <w:t>生产</w:t>
                  </w:r>
                  <w:r>
                    <w:rPr>
                      <w:rFonts w:hint="default" w:ascii="宋体" w:hAnsi="宋体"/>
                      <w:color w:val="000000" w:themeColor="text1"/>
                      <w:kern w:val="0"/>
                      <w:sz w:val="21"/>
                      <w:szCs w:val="21"/>
                      <w:highlight w:val="none"/>
                      <w14:textFill>
                        <w14:solidFill>
                          <w14:schemeClr w14:val="tx1"/>
                        </w14:solidFill>
                      </w14:textFill>
                    </w:rPr>
                    <w:t>用电，</w:t>
                  </w:r>
                  <w:r>
                    <w:rPr>
                      <w:rFonts w:hint="eastAsia"/>
                      <w:color w:val="000000" w:themeColor="text1"/>
                      <w:sz w:val="21"/>
                      <w:szCs w:val="21"/>
                      <w:highlight w:val="none"/>
                      <w14:textFill>
                        <w14:solidFill>
                          <w14:schemeClr w14:val="tx1"/>
                        </w14:solidFill>
                      </w14:textFill>
                    </w:rPr>
                    <w:t>电源利用现有10kv供电线路，满足改性生产车间供电需求</w:t>
                  </w:r>
                  <w:r>
                    <w:rPr>
                      <w:rFonts w:hint="default"/>
                      <w:color w:val="000000" w:themeColor="text1"/>
                      <w:sz w:val="21"/>
                      <w:szCs w:val="21"/>
                      <w:highlight w:val="none"/>
                      <w14:textFill>
                        <w14:solidFill>
                          <w14:schemeClr w14:val="tx1"/>
                        </w14:solidFill>
                      </w14:textFill>
                    </w:rPr>
                    <w:t>。</w:t>
                  </w:r>
                </w:p>
              </w:tc>
              <w:tc>
                <w:tcPr>
                  <w:tcW w:w="449" w:type="pct"/>
                  <w:noWrap w:val="0"/>
                  <w:vAlign w:val="center"/>
                </w:tcPr>
                <w:p w14:paraId="2C6005B1">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lang w:val="en-US" w:eastAsia="zh-CN"/>
                      <w14:textFill>
                        <w14:solidFill>
                          <w14:schemeClr w14:val="tx1"/>
                        </w14:solidFill>
                      </w14:textFill>
                    </w:rPr>
                    <w:t>现有</w:t>
                  </w:r>
                </w:p>
              </w:tc>
            </w:tr>
            <w:tr w14:paraId="5DB1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continue"/>
                  <w:noWrap w:val="0"/>
                  <w:vAlign w:val="center"/>
                </w:tcPr>
                <w:p w14:paraId="61BDF934">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p>
              </w:tc>
              <w:tc>
                <w:tcPr>
                  <w:tcW w:w="839" w:type="pct"/>
                  <w:noWrap w:val="0"/>
                  <w:vAlign w:val="center"/>
                </w:tcPr>
                <w:p w14:paraId="3222EC97">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供水</w:t>
                  </w:r>
                </w:p>
              </w:tc>
              <w:tc>
                <w:tcPr>
                  <w:tcW w:w="3018" w:type="pct"/>
                  <w:noWrap w:val="0"/>
                  <w:vAlign w:val="center"/>
                </w:tcPr>
                <w:p w14:paraId="6DDF846D">
                  <w:pPr>
                    <w:keepNext w:val="0"/>
                    <w:keepLines w:val="0"/>
                    <w:suppressLineNumbers w:val="0"/>
                    <w:adjustRightInd w:val="0"/>
                    <w:snapToGrid w:val="0"/>
                    <w:spacing w:before="0" w:beforeAutospacing="0" w:after="0" w:afterAutospacing="0"/>
                    <w:ind w:left="0" w:right="0"/>
                    <w:rPr>
                      <w:rFonts w:hint="eastAsia" w:ascii="宋体" w:hAnsi="宋体" w:eastAsia="宋体"/>
                      <w:color w:val="000000" w:themeColor="text1"/>
                      <w:kern w:val="0"/>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供水依托当地自来水管</w:t>
                  </w:r>
                  <w:r>
                    <w:rPr>
                      <w:rFonts w:hint="eastAsia"/>
                      <w:color w:val="000000" w:themeColor="text1"/>
                      <w:sz w:val="21"/>
                      <w:szCs w:val="21"/>
                      <w:highlight w:val="none"/>
                      <w:lang w:eastAsia="zh-CN"/>
                      <w14:textFill>
                        <w14:solidFill>
                          <w14:schemeClr w14:val="tx1"/>
                        </w14:solidFill>
                      </w14:textFill>
                    </w:rPr>
                    <w:t>。</w:t>
                  </w:r>
                </w:p>
              </w:tc>
              <w:tc>
                <w:tcPr>
                  <w:tcW w:w="449" w:type="pct"/>
                  <w:noWrap w:val="0"/>
                  <w:vAlign w:val="center"/>
                </w:tcPr>
                <w:p w14:paraId="45BA3E9B">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1"/>
                      <w:szCs w:val="21"/>
                      <w:highlight w:val="none"/>
                      <w:lang w:val="en-US" w:eastAsia="zh-CN"/>
                      <w14:textFill>
                        <w14:solidFill>
                          <w14:schemeClr w14:val="tx1"/>
                        </w14:solidFill>
                      </w14:textFill>
                    </w:rPr>
                  </w:pPr>
                  <w:r>
                    <w:rPr>
                      <w:rFonts w:hint="eastAsia" w:ascii="宋体" w:hAnsi="宋体"/>
                      <w:color w:val="000000" w:themeColor="text1"/>
                      <w:kern w:val="0"/>
                      <w:sz w:val="21"/>
                      <w:szCs w:val="21"/>
                      <w:highlight w:val="none"/>
                      <w:lang w:val="en-US" w:eastAsia="zh-CN"/>
                      <w14:textFill>
                        <w14:solidFill>
                          <w14:schemeClr w14:val="tx1"/>
                        </w14:solidFill>
                      </w14:textFill>
                    </w:rPr>
                    <w:t>现有</w:t>
                  </w:r>
                </w:p>
              </w:tc>
            </w:tr>
            <w:tr w14:paraId="520C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restart"/>
                  <w:noWrap w:val="0"/>
                  <w:vAlign w:val="center"/>
                </w:tcPr>
                <w:p w14:paraId="02039488">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储运工程</w:t>
                  </w:r>
                </w:p>
              </w:tc>
              <w:tc>
                <w:tcPr>
                  <w:tcW w:w="3857" w:type="pct"/>
                  <w:gridSpan w:val="2"/>
                  <w:noWrap w:val="0"/>
                  <w:vAlign w:val="center"/>
                </w:tcPr>
                <w:p w14:paraId="45AA469E">
                  <w:pPr>
                    <w:keepNext w:val="0"/>
                    <w:keepLines w:val="0"/>
                    <w:suppressLineNumbers w:val="0"/>
                    <w:adjustRightInd w:val="0"/>
                    <w:snapToGrid w:val="0"/>
                    <w:spacing w:before="0" w:beforeAutospacing="0" w:after="0" w:afterAutospacing="0"/>
                    <w:ind w:left="0" w:right="0"/>
                    <w:rPr>
                      <w:rFonts w:hint="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本</w:t>
                  </w: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项目原料</w:t>
                  </w: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磷石膏</w:t>
                  </w: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来源于本次改性工程北侧紧邻的常青树磷石膏渣库，磷石膏使用汽车</w:t>
                  </w: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装车后直接运输至改性</w:t>
                  </w: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车间</w:t>
                  </w:r>
                  <w:r>
                    <w:rPr>
                      <w:rFonts w:hint="eastAsia" w:cs="Times New Roman"/>
                      <w:color w:val="000000" w:themeColor="text1"/>
                      <w:kern w:val="0"/>
                      <w:sz w:val="21"/>
                      <w:szCs w:val="21"/>
                      <w:highlight w:val="none"/>
                      <w:lang w:val="en-US" w:eastAsia="zh-CN"/>
                      <w14:textFill>
                        <w14:solidFill>
                          <w14:schemeClr w14:val="tx1"/>
                        </w14:solidFill>
                      </w14:textFill>
                    </w:rPr>
                    <w:t>，使用装载车</w:t>
                  </w: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进行</w:t>
                  </w:r>
                  <w:r>
                    <w:rPr>
                      <w:rFonts w:hint="eastAsia" w:cs="Times New Roman"/>
                      <w:color w:val="000000" w:themeColor="text1"/>
                      <w:kern w:val="0"/>
                      <w:sz w:val="21"/>
                      <w:szCs w:val="21"/>
                      <w:highlight w:val="none"/>
                      <w:lang w:val="en-US" w:eastAsia="zh-CN"/>
                      <w14:textFill>
                        <w14:solidFill>
                          <w14:schemeClr w14:val="tx1"/>
                        </w14:solidFill>
                      </w14:textFill>
                    </w:rPr>
                    <w:t>上料</w:t>
                  </w: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，不设存储设施。</w:t>
                  </w:r>
                </w:p>
              </w:tc>
              <w:tc>
                <w:tcPr>
                  <w:tcW w:w="449" w:type="pct"/>
                  <w:noWrap w:val="0"/>
                  <w:vAlign w:val="center"/>
                </w:tcPr>
                <w:p w14:paraId="4C69DFD7">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lang w:val="en-US" w:eastAsia="zh-CN"/>
                      <w14:textFill>
                        <w14:solidFill>
                          <w14:schemeClr w14:val="tx1"/>
                        </w14:solidFill>
                      </w14:textFill>
                    </w:rPr>
                  </w:pPr>
                  <w:r>
                    <w:rPr>
                      <w:rFonts w:hint="eastAsia" w:ascii="宋体" w:hAnsi="宋体"/>
                      <w:color w:val="000000" w:themeColor="text1"/>
                      <w:kern w:val="0"/>
                      <w:sz w:val="21"/>
                      <w:szCs w:val="21"/>
                      <w:highlight w:val="none"/>
                      <w:lang w:val="en-US" w:eastAsia="zh-CN"/>
                      <w14:textFill>
                        <w14:solidFill>
                          <w14:schemeClr w14:val="tx1"/>
                        </w14:solidFill>
                      </w14:textFill>
                    </w:rPr>
                    <w:t>/</w:t>
                  </w:r>
                </w:p>
              </w:tc>
            </w:tr>
            <w:tr w14:paraId="64FB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continue"/>
                  <w:noWrap w:val="0"/>
                  <w:vAlign w:val="center"/>
                </w:tcPr>
                <w:p w14:paraId="7EA681CB">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p>
              </w:tc>
              <w:tc>
                <w:tcPr>
                  <w:tcW w:w="839" w:type="pct"/>
                  <w:noWrap w:val="0"/>
                  <w:vAlign w:val="center"/>
                </w:tcPr>
                <w:p w14:paraId="13855FD9">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辅料储运</w:t>
                  </w:r>
                </w:p>
              </w:tc>
              <w:tc>
                <w:tcPr>
                  <w:tcW w:w="3018" w:type="pct"/>
                  <w:noWrap w:val="0"/>
                  <w:vAlign w:val="center"/>
                </w:tcPr>
                <w:p w14:paraId="5253CA42">
                  <w:pPr>
                    <w:keepNext w:val="0"/>
                    <w:keepLines w:val="0"/>
                    <w:suppressLineNumbers w:val="0"/>
                    <w:adjustRightInd w:val="0"/>
                    <w:snapToGrid w:val="0"/>
                    <w:spacing w:before="0" w:beforeAutospacing="0" w:after="0" w:afterAutospacing="0"/>
                    <w:ind w:left="0" w:right="0"/>
                    <w:rPr>
                      <w:rFonts w:hint="default"/>
                      <w:color w:val="000000" w:themeColor="text1"/>
                      <w:kern w:val="0"/>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本项目改性剂为生石灰和固化剂，添加比例为生石灰2%、固化剂4%。按年处理磷石膏161.42万吨计算，年需生石灰约3.23万吨、固化剂约6.46万吨，合计改性剂约9.69万吨。改性剂在改性车间内暂存，设置</w:t>
                  </w:r>
                  <w:r>
                    <w:rPr>
                      <w:rFonts w:hint="eastAsia"/>
                      <w:color w:val="000000" w:themeColor="text1"/>
                      <w:sz w:val="21"/>
                      <w:szCs w:val="21"/>
                      <w:highlight w:val="none"/>
                      <w:lang w:val="en-US" w:eastAsia="zh-CN"/>
                      <w14:textFill>
                        <w14:solidFill>
                          <w14:schemeClr w14:val="tx1"/>
                        </w14:solidFill>
                      </w14:textFill>
                    </w:rPr>
                    <w:t>6</w:t>
                  </w:r>
                  <w:r>
                    <w:rPr>
                      <w:rFonts w:hint="eastAsia"/>
                      <w:color w:val="000000" w:themeColor="text1"/>
                      <w:sz w:val="21"/>
                      <w:szCs w:val="21"/>
                      <w:highlight w:val="none"/>
                      <w14:textFill>
                        <w14:solidFill>
                          <w14:schemeClr w14:val="tx1"/>
                        </w14:solidFill>
                      </w14:textFill>
                    </w:rPr>
                    <w:t>个密闭储罐，其中固化剂储罐</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个、生石灰储罐</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个，</w:t>
                  </w:r>
                  <w:r>
                    <w:rPr>
                      <w:rFonts w:hint="eastAsia"/>
                      <w:color w:val="000000" w:themeColor="text1"/>
                      <w:sz w:val="21"/>
                      <w:szCs w:val="21"/>
                      <w:highlight w:val="none"/>
                      <w:lang w:val="en-US" w:eastAsia="zh-CN"/>
                      <w14:textFill>
                        <w14:solidFill>
                          <w14:schemeClr w14:val="tx1"/>
                        </w14:solidFill>
                      </w14:textFill>
                    </w:rPr>
                    <w:t>4个</w:t>
                  </w:r>
                  <w:r>
                    <w:rPr>
                      <w:rFonts w:hint="eastAsia"/>
                      <w:color w:val="000000" w:themeColor="text1"/>
                      <w:sz w:val="21"/>
                      <w:szCs w:val="21"/>
                      <w:highlight w:val="none"/>
                      <w14:textFill>
                        <w14:solidFill>
                          <w14:schemeClr w14:val="tx1"/>
                        </w14:solidFill>
                      </w14:textFill>
                    </w:rPr>
                    <w:t>容积</w:t>
                  </w:r>
                  <w:r>
                    <w:rPr>
                      <w:rFonts w:hint="eastAsia"/>
                      <w:color w:val="000000" w:themeColor="text1"/>
                      <w:sz w:val="21"/>
                      <w:szCs w:val="21"/>
                      <w:highlight w:val="none"/>
                      <w:lang w:val="en-US" w:eastAsia="zh-CN"/>
                      <w14:textFill>
                        <w14:solidFill>
                          <w14:schemeClr w14:val="tx1"/>
                        </w14:solidFill>
                      </w14:textFill>
                    </w:rPr>
                    <w:t>的60</w:t>
                  </w:r>
                  <w:r>
                    <w:rPr>
                      <w:rFonts w:hint="eastAsia"/>
                      <w:color w:val="000000" w:themeColor="text1"/>
                      <w:sz w:val="21"/>
                      <w:szCs w:val="21"/>
                      <w:highlight w:val="none"/>
                      <w14:textFill>
                        <w14:solidFill>
                          <w14:schemeClr w14:val="tx1"/>
                        </w14:solidFill>
                      </w14:textFill>
                    </w:rPr>
                    <w:t>m³</w:t>
                  </w:r>
                  <w:r>
                    <w:rPr>
                      <w:rFonts w:hint="eastAsia"/>
                      <w:color w:val="000000" w:themeColor="text1"/>
                      <w:sz w:val="21"/>
                      <w:szCs w:val="21"/>
                      <w:highlight w:val="none"/>
                      <w:lang w:val="en-US" w:eastAsia="zh-CN"/>
                      <w14:textFill>
                        <w14:solidFill>
                          <w14:schemeClr w14:val="tx1"/>
                        </w14:solidFill>
                      </w14:textFill>
                    </w:rPr>
                    <w:t>储罐</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2个</w:t>
                  </w:r>
                  <w:r>
                    <w:rPr>
                      <w:rFonts w:hint="eastAsia"/>
                      <w:color w:val="000000" w:themeColor="text1"/>
                      <w:sz w:val="21"/>
                      <w:szCs w:val="21"/>
                      <w:highlight w:val="none"/>
                      <w14:textFill>
                        <w14:solidFill>
                          <w14:schemeClr w14:val="tx1"/>
                        </w14:solidFill>
                      </w14:textFill>
                    </w:rPr>
                    <w:t>容积</w:t>
                  </w:r>
                  <w:r>
                    <w:rPr>
                      <w:rFonts w:hint="eastAsia"/>
                      <w:color w:val="000000" w:themeColor="text1"/>
                      <w:sz w:val="21"/>
                      <w:szCs w:val="21"/>
                      <w:highlight w:val="none"/>
                      <w:lang w:val="en-US" w:eastAsia="zh-CN"/>
                      <w14:textFill>
                        <w14:solidFill>
                          <w14:schemeClr w14:val="tx1"/>
                        </w14:solidFill>
                      </w14:textFill>
                    </w:rPr>
                    <w:t>的80</w:t>
                  </w:r>
                  <w:r>
                    <w:rPr>
                      <w:rFonts w:hint="eastAsia"/>
                      <w:color w:val="000000" w:themeColor="text1"/>
                      <w:sz w:val="21"/>
                      <w:szCs w:val="21"/>
                      <w:highlight w:val="none"/>
                      <w14:textFill>
                        <w14:solidFill>
                          <w14:schemeClr w14:val="tx1"/>
                        </w14:solidFill>
                      </w14:textFill>
                    </w:rPr>
                    <w:t>m³</w:t>
                  </w:r>
                  <w:r>
                    <w:rPr>
                      <w:rFonts w:hint="eastAsia"/>
                      <w:color w:val="000000" w:themeColor="text1"/>
                      <w:sz w:val="21"/>
                      <w:szCs w:val="21"/>
                      <w:highlight w:val="none"/>
                      <w:lang w:val="en-US" w:eastAsia="zh-CN"/>
                      <w14:textFill>
                        <w14:solidFill>
                          <w14:schemeClr w14:val="tx1"/>
                        </w14:solidFill>
                      </w14:textFill>
                    </w:rPr>
                    <w:t>储罐</w:t>
                  </w:r>
                  <w:r>
                    <w:rPr>
                      <w:rFonts w:hint="eastAsia"/>
                      <w:color w:val="000000" w:themeColor="text1"/>
                      <w:sz w:val="21"/>
                      <w:szCs w:val="21"/>
                      <w:highlight w:val="none"/>
                      <w14:textFill>
                        <w14:solidFill>
                          <w14:schemeClr w14:val="tx1"/>
                        </w14:solidFill>
                      </w14:textFill>
                    </w:rPr>
                    <w:t>储量70吨，储罐定期补充，满足生产周转需求。</w:t>
                  </w:r>
                </w:p>
              </w:tc>
              <w:tc>
                <w:tcPr>
                  <w:tcW w:w="449" w:type="pct"/>
                  <w:vMerge w:val="restart"/>
                  <w:noWrap w:val="0"/>
                  <w:vAlign w:val="center"/>
                </w:tcPr>
                <w:p w14:paraId="0D3A9FC7">
                  <w:pPr>
                    <w:keepNext w:val="0"/>
                    <w:keepLines w:val="0"/>
                    <w:suppressLineNumbers w:val="0"/>
                    <w:adjustRightInd w:val="0"/>
                    <w:snapToGrid w:val="0"/>
                    <w:spacing w:before="0" w:beforeAutospacing="0" w:after="0" w:afterAutospacing="0"/>
                    <w:ind w:left="0" w:right="0"/>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运输工程外委运输单位完成</w:t>
                  </w:r>
                </w:p>
              </w:tc>
            </w:tr>
            <w:tr w14:paraId="1DB3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continue"/>
                  <w:noWrap w:val="0"/>
                  <w:vAlign w:val="center"/>
                </w:tcPr>
                <w:p w14:paraId="23AB6B8C">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p>
              </w:tc>
              <w:tc>
                <w:tcPr>
                  <w:tcW w:w="839" w:type="pct"/>
                  <w:noWrap w:val="0"/>
                  <w:vAlign w:val="center"/>
                </w:tcPr>
                <w:p w14:paraId="571C6336">
                  <w:pPr>
                    <w:keepNext w:val="0"/>
                    <w:keepLines w:val="0"/>
                    <w:suppressLineNumbers w:val="0"/>
                    <w:adjustRightInd w:val="0"/>
                    <w:snapToGrid w:val="0"/>
                    <w:spacing w:before="0" w:beforeAutospacing="0" w:after="0" w:afterAutospacing="0"/>
                    <w:ind w:left="0" w:right="0"/>
                    <w:jc w:val="center"/>
                    <w:rPr>
                      <w:rFonts w:hint="eastAsia"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改性后磷石膏运输</w:t>
                  </w:r>
                </w:p>
              </w:tc>
              <w:tc>
                <w:tcPr>
                  <w:tcW w:w="3018" w:type="pct"/>
                  <w:noWrap w:val="0"/>
                  <w:vAlign w:val="center"/>
                </w:tcPr>
                <w:p w14:paraId="259FF68E">
                  <w:pPr>
                    <w:keepNext w:val="0"/>
                    <w:keepLines w:val="0"/>
                    <w:suppressLineNumbers w:val="0"/>
                    <w:adjustRightInd w:val="0"/>
                    <w:snapToGrid w:val="0"/>
                    <w:spacing w:before="0" w:beforeAutospacing="0" w:after="0" w:afterAutospacing="0"/>
                    <w:ind w:left="0" w:right="0"/>
                    <w:rPr>
                      <w:rFonts w:hint="eastAsia" w:eastAsia="宋体"/>
                      <w:color w:val="000000" w:themeColor="text1"/>
                      <w:kern w:val="0"/>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改性后磷石膏在待检区暂存，经检验合格后由自卸汽车运至生态修复回填区</w:t>
                  </w:r>
                  <w:r>
                    <w:rPr>
                      <w:rFonts w:hint="eastAsia"/>
                      <w:color w:val="000000" w:themeColor="text1"/>
                      <w:sz w:val="21"/>
                      <w:szCs w:val="21"/>
                      <w:highlight w:val="none"/>
                      <w:lang w:val="en-US" w:eastAsia="zh-CN"/>
                      <w14:textFill>
                        <w14:solidFill>
                          <w14:schemeClr w14:val="tx1"/>
                        </w14:solidFill>
                      </w14:textFill>
                    </w:rPr>
                    <w:t>令友采石场</w:t>
                  </w:r>
                  <w:r>
                    <w:rPr>
                      <w:rFonts w:hint="eastAsia"/>
                      <w:color w:val="000000" w:themeColor="text1"/>
                      <w:sz w:val="21"/>
                      <w:szCs w:val="21"/>
                      <w:highlight w:val="none"/>
                      <w14:textFill>
                        <w14:solidFill>
                          <w14:schemeClr w14:val="tx1"/>
                        </w14:solidFill>
                      </w14:textFill>
                    </w:rPr>
                    <w:t>进行回填，总运输量约171.11万吨/年（磷石膏原料161.42万吨+改性剂9.69万吨，改性剂添加比例6%，其中生石灰2%、固化剂4%），运距约12.2km。</w:t>
                  </w:r>
                </w:p>
              </w:tc>
              <w:tc>
                <w:tcPr>
                  <w:tcW w:w="449" w:type="pct"/>
                  <w:vMerge w:val="continue"/>
                  <w:noWrap w:val="0"/>
                  <w:vAlign w:val="center"/>
                </w:tcPr>
                <w:p w14:paraId="7F1A2DFA">
                  <w:pPr>
                    <w:keepNext w:val="0"/>
                    <w:keepLines w:val="0"/>
                    <w:suppressLineNumbers w:val="0"/>
                    <w:adjustRightInd w:val="0"/>
                    <w:snapToGrid w:val="0"/>
                    <w:spacing w:before="0" w:beforeAutospacing="0" w:after="0" w:afterAutospacing="0"/>
                    <w:ind w:left="0" w:right="0"/>
                    <w:rPr>
                      <w:rFonts w:hint="default" w:ascii="宋体" w:hAnsi="宋体"/>
                      <w:color w:val="000000" w:themeColor="text1"/>
                      <w:kern w:val="0"/>
                      <w:sz w:val="21"/>
                      <w:szCs w:val="21"/>
                      <w:highlight w:val="none"/>
                      <w14:textFill>
                        <w14:solidFill>
                          <w14:schemeClr w14:val="tx1"/>
                        </w14:solidFill>
                      </w14:textFill>
                    </w:rPr>
                  </w:pPr>
                </w:p>
              </w:tc>
            </w:tr>
            <w:tr w14:paraId="39C4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restart"/>
                  <w:noWrap w:val="0"/>
                  <w:vAlign w:val="center"/>
                </w:tcPr>
                <w:p w14:paraId="0AAE5C68">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环保工程</w:t>
                  </w:r>
                </w:p>
              </w:tc>
              <w:tc>
                <w:tcPr>
                  <w:tcW w:w="839" w:type="pct"/>
                  <w:noWrap w:val="0"/>
                  <w:vAlign w:val="center"/>
                </w:tcPr>
                <w:p w14:paraId="3AE6D908">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废气</w:t>
                  </w:r>
                </w:p>
              </w:tc>
              <w:tc>
                <w:tcPr>
                  <w:tcW w:w="3018" w:type="pct"/>
                  <w:noWrap w:val="0"/>
                  <w:vAlign w:val="center"/>
                </w:tcPr>
                <w:p w14:paraId="06ABD207">
                  <w:pPr>
                    <w:keepNext w:val="0"/>
                    <w:keepLines w:val="0"/>
                    <w:suppressLineNumbers w:val="0"/>
                    <w:adjustRightInd w:val="0"/>
                    <w:snapToGrid w:val="0"/>
                    <w:spacing w:before="0" w:beforeAutospacing="0" w:after="0" w:afterAutospacing="0"/>
                    <w:ind w:left="0" w:right="0"/>
                    <w:rPr>
                      <w:rFonts w:hint="eastAsia" w:eastAsia="宋体"/>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待检区均为全封闭式车间；</w:t>
                  </w:r>
                  <w:r>
                    <w:rPr>
                      <w:rFonts w:hint="default" w:ascii="Times New Roman" w:hAnsi="Times New Roman" w:cs="Times New Roman"/>
                      <w:color w:val="000000" w:themeColor="text1"/>
                      <w:sz w:val="21"/>
                      <w:szCs w:val="21"/>
                      <w:highlight w:val="none"/>
                      <w14:textFill>
                        <w14:solidFill>
                          <w14:schemeClr w14:val="tx1"/>
                        </w14:solidFill>
                      </w14:textFill>
                    </w:rPr>
                    <w:t>改性车间全封闭</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并安装自动喷雾装置</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筒仓经仓顶自带除尘器处理后，以无组织形式排放；混料搅拌工段搅拌器粉尘经搅拌器自带除尘器处理后以无组织形式排放；车间内</w:t>
                  </w:r>
                  <w:r>
                    <w:rPr>
                      <w:rFonts w:hint="default" w:ascii="Times New Roman" w:hAnsi="Times New Roman" w:cs="Times New Roman"/>
                      <w:color w:val="000000" w:themeColor="text1"/>
                      <w:sz w:val="21"/>
                      <w:szCs w:val="21"/>
                      <w:highlight w:val="none"/>
                      <w14:textFill>
                        <w14:solidFill>
                          <w14:schemeClr w14:val="tx1"/>
                        </w14:solidFill>
                      </w14:textFill>
                    </w:rPr>
                    <w:t>破碎、投料出料口设喷淋</w:t>
                  </w:r>
                  <w:r>
                    <w:rPr>
                      <w:rFonts w:hint="eastAsia" w:cs="Times New Roman"/>
                      <w:color w:val="000000" w:themeColor="text1"/>
                      <w:sz w:val="21"/>
                      <w:szCs w:val="21"/>
                      <w:highlight w:val="none"/>
                      <w:lang w:val="en-US" w:eastAsia="zh-CN"/>
                      <w14:textFill>
                        <w14:solidFill>
                          <w14:schemeClr w14:val="tx1"/>
                        </w14:solidFill>
                      </w14:textFill>
                    </w:rPr>
                    <w:t>装置</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厂区</w:t>
                  </w:r>
                  <w:r>
                    <w:rPr>
                      <w:rFonts w:hint="default" w:ascii="Times New Roman" w:hAnsi="Times New Roman" w:cs="Times New Roman"/>
                      <w:color w:val="000000" w:themeColor="text1"/>
                      <w:sz w:val="21"/>
                      <w:szCs w:val="21"/>
                      <w:highlight w:val="none"/>
                      <w14:textFill>
                        <w14:solidFill>
                          <w14:schemeClr w14:val="tx1"/>
                        </w14:solidFill>
                      </w14:textFill>
                    </w:rPr>
                    <w:t>配置4台雾炮</w:t>
                  </w:r>
                  <w:r>
                    <w:rPr>
                      <w:rFonts w:hint="eastAsia" w:cs="Times New Roman"/>
                      <w:color w:val="000000" w:themeColor="text1"/>
                      <w:sz w:val="21"/>
                      <w:szCs w:val="21"/>
                      <w:highlight w:val="none"/>
                      <w:lang w:val="en-US" w:eastAsia="zh-CN"/>
                      <w14:textFill>
                        <w14:solidFill>
                          <w14:schemeClr w14:val="tx1"/>
                        </w14:solidFill>
                      </w14:textFill>
                    </w:rPr>
                    <w:t>进行降尘</w:t>
                  </w: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449" w:type="pct"/>
                  <w:noWrap w:val="0"/>
                  <w:vAlign w:val="center"/>
                </w:tcPr>
                <w:p w14:paraId="2906734A">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新建</w:t>
                  </w:r>
                </w:p>
              </w:tc>
            </w:tr>
            <w:tr w14:paraId="093E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continue"/>
                  <w:noWrap w:val="0"/>
                  <w:vAlign w:val="center"/>
                </w:tcPr>
                <w:p w14:paraId="6B0C5868">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p>
              </w:tc>
              <w:tc>
                <w:tcPr>
                  <w:tcW w:w="839" w:type="pct"/>
                  <w:noWrap w:val="0"/>
                  <w:vAlign w:val="center"/>
                </w:tcPr>
                <w:p w14:paraId="5F9FFF8A">
                  <w:pPr>
                    <w:keepNext w:val="0"/>
                    <w:keepLines w:val="0"/>
                    <w:suppressLineNumbers w:val="0"/>
                    <w:adjustRightInd w:val="0"/>
                    <w:snapToGrid w:val="0"/>
                    <w:spacing w:before="0" w:beforeAutospacing="0" w:after="0" w:afterAutospacing="0"/>
                    <w:ind w:left="0" w:right="0"/>
                    <w:jc w:val="center"/>
                    <w:rPr>
                      <w:rFonts w:hint="default"/>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废水</w:t>
                  </w:r>
                </w:p>
              </w:tc>
              <w:tc>
                <w:tcPr>
                  <w:tcW w:w="3018" w:type="pct"/>
                  <w:noWrap w:val="0"/>
                  <w:vAlign w:val="center"/>
                </w:tcPr>
                <w:p w14:paraId="0FB17D6E">
                  <w:pPr>
                    <w:keepNext w:val="0"/>
                    <w:keepLines w:val="0"/>
                    <w:suppressLineNumbers w:val="0"/>
                    <w:adjustRightInd w:val="0"/>
                    <w:snapToGrid w:val="0"/>
                    <w:spacing w:before="0" w:beforeAutospacing="0" w:after="0" w:afterAutospacing="0"/>
                    <w:ind w:left="0" w:right="0"/>
                    <w:rPr>
                      <w:rFonts w:hint="eastAsia" w:eastAsia="宋体"/>
                      <w:color w:val="000000" w:themeColor="text1"/>
                      <w:kern w:val="0"/>
                      <w:sz w:val="21"/>
                      <w:szCs w:val="21"/>
                      <w:highlight w:val="none"/>
                      <w:vertAlign w:val="superscript"/>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员工盥洗废水及如厕废水均依托租赁场地原有化粪池处理后，定期由周边居民清掏肥田。</w:t>
                  </w:r>
                  <w:r>
                    <w:rPr>
                      <w:rFonts w:hint="default" w:ascii="Times New Roman" w:hAnsi="Times New Roman" w:cs="Times New Roman"/>
                      <w:color w:val="000000" w:themeColor="text1"/>
                      <w:kern w:val="0"/>
                      <w:sz w:val="21"/>
                      <w:szCs w:val="21"/>
                      <w:highlight w:val="none"/>
                      <w14:textFill>
                        <w14:solidFill>
                          <w14:schemeClr w14:val="tx1"/>
                        </w14:solidFill>
                      </w14:textFill>
                    </w:rPr>
                    <w:t>生产过程无工艺废水产生，抑尘洒水自然蒸发</w:t>
                  </w:r>
                  <w:r>
                    <w:rPr>
                      <w:rFonts w:hint="eastAsia" w:ascii="Times New Roman" w:hAnsi="Times New Roman" w:cs="Times New Roman"/>
                      <w:color w:val="000000" w:themeColor="text1"/>
                      <w:kern w:val="0"/>
                      <w:sz w:val="21"/>
                      <w:szCs w:val="21"/>
                      <w:highlight w:val="none"/>
                      <w:lang w:eastAsia="zh-CN"/>
                      <w14:textFill>
                        <w14:solidFill>
                          <w14:schemeClr w14:val="tx1"/>
                        </w14:solidFill>
                      </w14:textFill>
                    </w:rPr>
                    <w:t>。</w:t>
                  </w:r>
                </w:p>
              </w:tc>
              <w:tc>
                <w:tcPr>
                  <w:tcW w:w="449" w:type="pct"/>
                  <w:noWrap w:val="0"/>
                  <w:vAlign w:val="center"/>
                </w:tcPr>
                <w:p w14:paraId="57F7C54B">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1"/>
                      <w:szCs w:val="21"/>
                      <w:highlight w:val="none"/>
                      <w:lang w:eastAsia="zh-CN"/>
                      <w14:textFill>
                        <w14:solidFill>
                          <w14:schemeClr w14:val="tx1"/>
                        </w14:solidFill>
                      </w14:textFill>
                    </w:rPr>
                  </w:pPr>
                  <w:r>
                    <w:rPr>
                      <w:rFonts w:hint="eastAsia" w:ascii="宋体" w:hAnsi="宋体"/>
                      <w:color w:val="000000" w:themeColor="text1"/>
                      <w:kern w:val="0"/>
                      <w:sz w:val="21"/>
                      <w:szCs w:val="21"/>
                      <w:highlight w:val="none"/>
                      <w:lang w:val="en-US" w:eastAsia="zh-CN"/>
                      <w14:textFill>
                        <w14:solidFill>
                          <w14:schemeClr w14:val="tx1"/>
                        </w14:solidFill>
                      </w14:textFill>
                    </w:rPr>
                    <w:t>依托现有</w:t>
                  </w:r>
                </w:p>
              </w:tc>
            </w:tr>
            <w:tr w14:paraId="4C16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continue"/>
                  <w:noWrap w:val="0"/>
                  <w:vAlign w:val="center"/>
                </w:tcPr>
                <w:p w14:paraId="6492DA1B">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p>
              </w:tc>
              <w:tc>
                <w:tcPr>
                  <w:tcW w:w="839" w:type="pct"/>
                  <w:noWrap w:val="0"/>
                  <w:vAlign w:val="center"/>
                </w:tcPr>
                <w:p w14:paraId="4B80A1C2">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噪声</w:t>
                  </w:r>
                </w:p>
              </w:tc>
              <w:tc>
                <w:tcPr>
                  <w:tcW w:w="3018" w:type="pct"/>
                  <w:noWrap w:val="0"/>
                  <w:vAlign w:val="center"/>
                </w:tcPr>
                <w:p w14:paraId="54A22913">
                  <w:pPr>
                    <w:keepNext w:val="0"/>
                    <w:keepLines w:val="0"/>
                    <w:suppressLineNumbers w:val="0"/>
                    <w:adjustRightInd w:val="0"/>
                    <w:snapToGrid w:val="0"/>
                    <w:spacing w:before="0" w:beforeAutospacing="0" w:after="0" w:afterAutospacing="0"/>
                    <w:ind w:left="0" w:right="0"/>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选取噪声低、振动小、能耗小的设备</w:t>
                  </w:r>
                </w:p>
              </w:tc>
              <w:tc>
                <w:tcPr>
                  <w:tcW w:w="449" w:type="pct"/>
                  <w:noWrap w:val="0"/>
                  <w:vAlign w:val="center"/>
                </w:tcPr>
                <w:p w14:paraId="2B0A283F">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新建</w:t>
                  </w:r>
                </w:p>
              </w:tc>
            </w:tr>
            <w:tr w14:paraId="12BF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continue"/>
                  <w:noWrap w:val="0"/>
                  <w:vAlign w:val="center"/>
                </w:tcPr>
                <w:p w14:paraId="6AECCD3C">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p>
              </w:tc>
              <w:tc>
                <w:tcPr>
                  <w:tcW w:w="839" w:type="pct"/>
                  <w:noWrap w:val="0"/>
                  <w:vAlign w:val="center"/>
                </w:tcPr>
                <w:p w14:paraId="49E5548C">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固废</w:t>
                  </w:r>
                </w:p>
              </w:tc>
              <w:tc>
                <w:tcPr>
                  <w:tcW w:w="3018" w:type="pct"/>
                  <w:noWrap w:val="0"/>
                  <w:vAlign w:val="center"/>
                </w:tcPr>
                <w:p w14:paraId="4580746C">
                  <w:pPr>
                    <w:keepNext w:val="0"/>
                    <w:keepLines w:val="0"/>
                    <w:suppressLineNumbers w:val="0"/>
                    <w:adjustRightInd w:val="0"/>
                    <w:snapToGrid w:val="0"/>
                    <w:spacing w:before="0" w:beforeAutospacing="0" w:after="0" w:afterAutospacing="0"/>
                    <w:ind w:left="0" w:right="0"/>
                    <w:rPr>
                      <w:rFonts w:hint="eastAsia"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生活垃圾集中收集后送至生活垃圾收集点堆存，定期清运至环卫部门指定地点，交由环卫部门处置。</w:t>
                  </w:r>
                </w:p>
              </w:tc>
              <w:tc>
                <w:tcPr>
                  <w:tcW w:w="449" w:type="pct"/>
                  <w:noWrap w:val="0"/>
                  <w:vAlign w:val="center"/>
                </w:tcPr>
                <w:p w14:paraId="4AAA4D36">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r>
                    <w:rPr>
                      <w:rFonts w:hint="default" w:ascii="宋体" w:hAnsi="宋体"/>
                      <w:color w:val="000000" w:themeColor="text1"/>
                      <w:kern w:val="0"/>
                      <w:sz w:val="21"/>
                      <w:szCs w:val="21"/>
                      <w:highlight w:val="none"/>
                      <w14:textFill>
                        <w14:solidFill>
                          <w14:schemeClr w14:val="tx1"/>
                        </w14:solidFill>
                      </w14:textFill>
                    </w:rPr>
                    <w:t>新建</w:t>
                  </w:r>
                </w:p>
              </w:tc>
            </w:tr>
            <w:tr w14:paraId="1809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continue"/>
                  <w:noWrap w:val="0"/>
                  <w:vAlign w:val="center"/>
                </w:tcPr>
                <w:p w14:paraId="2B7AAA8D">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p>
              </w:tc>
              <w:tc>
                <w:tcPr>
                  <w:tcW w:w="839" w:type="pct"/>
                  <w:noWrap w:val="0"/>
                  <w:vAlign w:val="center"/>
                </w:tcPr>
                <w:p w14:paraId="2A006EC2">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olor w:val="000000" w:themeColor="text1"/>
                      <w:kern w:val="0"/>
                      <w:sz w:val="21"/>
                      <w:szCs w:val="21"/>
                      <w:highlight w:val="none"/>
                      <w:lang w:val="en-US" w:eastAsia="zh-CN"/>
                      <w14:textFill>
                        <w14:solidFill>
                          <w14:schemeClr w14:val="tx1"/>
                        </w14:solidFill>
                      </w14:textFill>
                    </w:rPr>
                    <w:t xml:space="preserve">危险废物 </w:t>
                  </w:r>
                </w:p>
              </w:tc>
              <w:tc>
                <w:tcPr>
                  <w:tcW w:w="3018" w:type="pct"/>
                  <w:noWrap w:val="0"/>
                  <w:vAlign w:val="center"/>
                </w:tcPr>
                <w:p w14:paraId="6F913D8F">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机械维修产生的废机油（HW08）</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新建危废</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贮存库</w:t>
                  </w:r>
                  <w:r>
                    <w:rPr>
                      <w:rFonts w:hint="default" w:ascii="Times New Roman" w:hAnsi="Times New Roman" w:cs="Times New Roman"/>
                      <w:color w:val="000000" w:themeColor="text1"/>
                      <w:sz w:val="21"/>
                      <w:szCs w:val="21"/>
                      <w:highlight w:val="none"/>
                      <w14:textFill>
                        <w14:solidFill>
                          <w14:schemeClr w14:val="tx1"/>
                        </w14:solidFill>
                      </w14:textFill>
                    </w:rPr>
                    <w:t>，分类收集后暂存，定期委托有资质单位处置</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满足《危险废物贮存污染控制标准》（GB 18597-2023）要求</w:t>
                  </w:r>
                </w:p>
              </w:tc>
              <w:tc>
                <w:tcPr>
                  <w:tcW w:w="449" w:type="pct"/>
                  <w:noWrap w:val="0"/>
                  <w:vAlign w:val="center"/>
                </w:tcPr>
                <w:p w14:paraId="6E159244">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themeColor="text1"/>
                      <w:kern w:val="0"/>
                      <w:sz w:val="21"/>
                      <w:szCs w:val="21"/>
                      <w:highlight w:val="none"/>
                      <w:lang w:val="en-US" w:eastAsia="zh-CN"/>
                      <w14:textFill>
                        <w14:solidFill>
                          <w14:schemeClr w14:val="tx1"/>
                        </w14:solidFill>
                      </w14:textFill>
                    </w:rPr>
                  </w:pPr>
                  <w:r>
                    <w:rPr>
                      <w:rFonts w:hint="eastAsia" w:ascii="宋体" w:hAnsi="宋体"/>
                      <w:color w:val="000000" w:themeColor="text1"/>
                      <w:kern w:val="0"/>
                      <w:sz w:val="21"/>
                      <w:szCs w:val="21"/>
                      <w:highlight w:val="none"/>
                      <w:lang w:val="en-US" w:eastAsia="zh-CN"/>
                      <w14:textFill>
                        <w14:solidFill>
                          <w14:schemeClr w14:val="tx1"/>
                        </w14:solidFill>
                      </w14:textFill>
                    </w:rPr>
                    <w:t>新建</w:t>
                  </w:r>
                </w:p>
              </w:tc>
            </w:tr>
            <w:tr w14:paraId="46E8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pct"/>
                  <w:vMerge w:val="continue"/>
                  <w:noWrap w:val="0"/>
                  <w:vAlign w:val="center"/>
                </w:tcPr>
                <w:p w14:paraId="6DA66FCF">
                  <w:pPr>
                    <w:keepNext w:val="0"/>
                    <w:keepLines w:val="0"/>
                    <w:suppressLineNumbers w:val="0"/>
                    <w:adjustRightInd w:val="0"/>
                    <w:snapToGrid w:val="0"/>
                    <w:spacing w:before="0" w:beforeAutospacing="0" w:after="0" w:afterAutospacing="0"/>
                    <w:ind w:left="0" w:right="0"/>
                    <w:jc w:val="center"/>
                    <w:rPr>
                      <w:rFonts w:hint="default" w:ascii="宋体" w:hAnsi="宋体"/>
                      <w:color w:val="000000" w:themeColor="text1"/>
                      <w:kern w:val="0"/>
                      <w:sz w:val="21"/>
                      <w:szCs w:val="21"/>
                      <w:highlight w:val="none"/>
                      <w14:textFill>
                        <w14:solidFill>
                          <w14:schemeClr w14:val="tx1"/>
                        </w14:solidFill>
                      </w14:textFill>
                    </w:rPr>
                  </w:pPr>
                </w:p>
              </w:tc>
              <w:tc>
                <w:tcPr>
                  <w:tcW w:w="839" w:type="pct"/>
                  <w:noWrap w:val="0"/>
                  <w:vAlign w:val="center"/>
                </w:tcPr>
                <w:p w14:paraId="12D66355">
                  <w:pPr>
                    <w:keepNext w:val="0"/>
                    <w:keepLines w:val="0"/>
                    <w:suppressLineNumbers w:val="0"/>
                    <w:spacing w:before="0" w:beforeAutospacing="0" w:after="0" w:afterAutospacing="0"/>
                    <w:ind w:left="102" w:right="0"/>
                    <w:jc w:val="center"/>
                    <w:rPr>
                      <w:rFonts w:hint="default"/>
                      <w:color w:val="000000" w:themeColor="text1"/>
                      <w:kern w:val="0"/>
                      <w:sz w:val="21"/>
                      <w:szCs w:val="21"/>
                      <w:highlight w:val="none"/>
                      <w14:textFill>
                        <w14:solidFill>
                          <w14:schemeClr w14:val="tx1"/>
                        </w14:solidFill>
                      </w14:textFill>
                    </w:rPr>
                  </w:pPr>
                  <w:r>
                    <w:rPr>
                      <w:rFonts w:hint="default"/>
                      <w:color w:val="000000" w:themeColor="text1"/>
                      <w:kern w:val="0"/>
                      <w:sz w:val="21"/>
                      <w:szCs w:val="21"/>
                      <w:highlight w:val="none"/>
                      <w14:textFill>
                        <w14:solidFill>
                          <w14:schemeClr w14:val="tx1"/>
                        </w14:solidFill>
                      </w14:textFill>
                    </w:rPr>
                    <w:t>厂区防渗</w:t>
                  </w:r>
                </w:p>
              </w:tc>
              <w:tc>
                <w:tcPr>
                  <w:tcW w:w="3018" w:type="pct"/>
                  <w:noWrap w:val="0"/>
                  <w:vAlign w:val="center"/>
                </w:tcPr>
                <w:p w14:paraId="06999017">
                  <w:pPr>
                    <w:pStyle w:val="15"/>
                    <w:keepNext w:val="0"/>
                    <w:keepLines w:val="0"/>
                    <w:suppressLineNumbers w:val="0"/>
                    <w:spacing w:before="0" w:beforeAutospacing="0" w:after="0" w:afterAutospacing="0"/>
                    <w:ind w:left="0" w:right="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磷石膏改性</w:t>
                  </w:r>
                  <w:r>
                    <w:rPr>
                      <w:rFonts w:hint="eastAsia" w:cs="Times New Roman"/>
                      <w:color w:val="000000" w:themeColor="text1"/>
                      <w:sz w:val="21"/>
                      <w:szCs w:val="21"/>
                      <w:highlight w:val="none"/>
                      <w:lang w:val="en-US" w:eastAsia="zh-CN"/>
                      <w14:textFill>
                        <w14:solidFill>
                          <w14:schemeClr w14:val="tx1"/>
                        </w14:solidFill>
                      </w14:textFill>
                    </w:rPr>
                    <w:t>车间、待检区</w:t>
                  </w:r>
                  <w:r>
                    <w:rPr>
                      <w:rFonts w:hint="default" w:ascii="Times New Roman" w:hAnsi="Times New Roman" w:cs="Times New Roman"/>
                      <w:color w:val="000000" w:themeColor="text1"/>
                      <w:sz w:val="21"/>
                      <w:szCs w:val="21"/>
                      <w:highlight w:val="none"/>
                      <w14:textFill>
                        <w14:solidFill>
                          <w14:schemeClr w14:val="tx1"/>
                        </w14:solidFill>
                      </w14:textFill>
                    </w:rPr>
                    <w:t>按照重点防渗区进行防渗、</w:t>
                  </w:r>
                  <w:r>
                    <w:rPr>
                      <w:rFonts w:hint="eastAsia" w:cs="Times New Roman"/>
                      <w:color w:val="000000" w:themeColor="text1"/>
                      <w:sz w:val="21"/>
                      <w:szCs w:val="21"/>
                      <w:highlight w:val="none"/>
                      <w:lang w:val="en-US" w:eastAsia="zh-CN"/>
                      <w14:textFill>
                        <w14:solidFill>
                          <w14:schemeClr w14:val="tx1"/>
                        </w14:solidFill>
                      </w14:textFill>
                    </w:rPr>
                    <w:t>其他区域</w:t>
                  </w:r>
                  <w:r>
                    <w:rPr>
                      <w:rFonts w:hint="default" w:ascii="Times New Roman" w:hAnsi="Times New Roman" w:cs="Times New Roman"/>
                      <w:color w:val="000000" w:themeColor="text1"/>
                      <w:sz w:val="21"/>
                      <w:szCs w:val="21"/>
                      <w:highlight w:val="none"/>
                      <w14:textFill>
                        <w14:solidFill>
                          <w14:schemeClr w14:val="tx1"/>
                        </w14:solidFill>
                      </w14:textFill>
                    </w:rPr>
                    <w:t>按照一般防渗区进行防渗</w:t>
                  </w:r>
                  <w:r>
                    <w:rPr>
                      <w:rFonts w:hint="eastAsia" w:cs="Times New Roman"/>
                      <w:color w:val="000000" w:themeColor="text1"/>
                      <w:sz w:val="21"/>
                      <w:szCs w:val="21"/>
                      <w:highlight w:val="none"/>
                      <w:lang w:eastAsia="zh-CN"/>
                      <w14:textFill>
                        <w14:solidFill>
                          <w14:schemeClr w14:val="tx1"/>
                        </w14:solidFill>
                      </w14:textFill>
                    </w:rPr>
                    <w:t>。</w:t>
                  </w:r>
                </w:p>
              </w:tc>
              <w:tc>
                <w:tcPr>
                  <w:tcW w:w="449" w:type="pct"/>
                  <w:noWrap w:val="0"/>
                  <w:vAlign w:val="center"/>
                </w:tcPr>
                <w:p w14:paraId="33F9C729">
                  <w:pPr>
                    <w:keepNext w:val="0"/>
                    <w:keepLines w:val="0"/>
                    <w:suppressLineNumbers w:val="0"/>
                    <w:adjustRightInd w:val="0"/>
                    <w:snapToGrid w:val="0"/>
                    <w:spacing w:before="0" w:beforeAutospacing="0" w:after="0" w:afterAutospacing="0"/>
                    <w:ind w:left="0" w:right="0"/>
                    <w:jc w:val="center"/>
                    <w:rPr>
                      <w:rFonts w:hint="eastAsia"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新建</w:t>
                  </w:r>
                </w:p>
              </w:tc>
            </w:tr>
          </w:tbl>
          <w:p w14:paraId="62A9314C">
            <w:pPr>
              <w:keepNext w:val="0"/>
              <w:keepLines w:val="0"/>
              <w:suppressLineNumbers w:val="0"/>
              <w:autoSpaceDE w:val="0"/>
              <w:autoSpaceDN w:val="0"/>
              <w:adjustRightInd w:val="0"/>
              <w:spacing w:before="0" w:beforeAutospacing="0" w:after="0" w:afterAutospacing="0" w:line="360" w:lineRule="auto"/>
              <w:ind w:left="0" w:right="0" w:firstLine="723" w:firstLineChars="300"/>
              <w:rPr>
                <w:rFonts w:hint="default"/>
                <w:b/>
                <w:color w:val="000000" w:themeColor="text1"/>
                <w:sz w:val="24"/>
                <w:szCs w:val="20"/>
                <w:highlight w:val="none"/>
                <w14:textFill>
                  <w14:solidFill>
                    <w14:schemeClr w14:val="tx1"/>
                  </w14:solidFill>
                </w14:textFill>
              </w:rPr>
            </w:pPr>
            <w:r>
              <w:rPr>
                <w:rFonts w:hint="eastAsia"/>
                <w:b/>
                <w:color w:val="000000" w:themeColor="text1"/>
                <w:sz w:val="24"/>
                <w:szCs w:val="20"/>
                <w:highlight w:val="none"/>
                <w:lang w:val="en-US" w:eastAsia="zh-CN"/>
                <w14:textFill>
                  <w14:solidFill>
                    <w14:schemeClr w14:val="tx1"/>
                  </w14:solidFill>
                </w14:textFill>
              </w:rPr>
              <w:t>2.3.1</w:t>
            </w:r>
            <w:r>
              <w:rPr>
                <w:rFonts w:hint="default"/>
                <w:b/>
                <w:color w:val="000000" w:themeColor="text1"/>
                <w:sz w:val="24"/>
                <w:szCs w:val="20"/>
                <w:highlight w:val="none"/>
                <w14:textFill>
                  <w14:solidFill>
                    <w14:schemeClr w14:val="tx1"/>
                  </w14:solidFill>
                </w14:textFill>
              </w:rPr>
              <w:t>公用工程</w:t>
            </w:r>
          </w:p>
          <w:p w14:paraId="05AB6FA6">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（1）给排水系统</w:t>
            </w:r>
          </w:p>
          <w:p w14:paraId="01E6EE50">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给水：</w:t>
            </w:r>
            <w:r>
              <w:rPr>
                <w:rFonts w:hint="eastAsia"/>
                <w:color w:val="000000" w:themeColor="text1"/>
                <w:sz w:val="24"/>
                <w:szCs w:val="24"/>
                <w:highlight w:val="none"/>
                <w14:textFill>
                  <w14:solidFill>
                    <w14:schemeClr w14:val="tx1"/>
                  </w14:solidFill>
                </w14:textFill>
              </w:rPr>
              <w:t>本次</w:t>
            </w:r>
            <w:r>
              <w:rPr>
                <w:rFonts w:hint="eastAsia"/>
                <w:color w:val="000000" w:themeColor="text1"/>
                <w:sz w:val="24"/>
                <w:szCs w:val="24"/>
                <w:highlight w:val="none"/>
                <w:lang w:val="en-US" w:eastAsia="zh-CN"/>
                <w14:textFill>
                  <w14:solidFill>
                    <w14:schemeClr w14:val="tx1"/>
                  </w14:solidFill>
                </w14:textFill>
              </w:rPr>
              <w:t>改性</w:t>
            </w:r>
            <w:r>
              <w:rPr>
                <w:rFonts w:hint="eastAsia"/>
                <w:color w:val="000000" w:themeColor="text1"/>
                <w:sz w:val="24"/>
                <w:szCs w:val="24"/>
                <w:highlight w:val="none"/>
                <w14:textFill>
                  <w14:solidFill>
                    <w14:schemeClr w14:val="tx1"/>
                  </w14:solidFill>
                </w14:textFill>
              </w:rPr>
              <w:t>工程供水依托</w:t>
            </w:r>
            <w:r>
              <w:rPr>
                <w:rFonts w:hint="eastAsia"/>
                <w:color w:val="000000" w:themeColor="text1"/>
                <w:sz w:val="24"/>
                <w:szCs w:val="24"/>
                <w:highlight w:val="none"/>
                <w:lang w:val="en-US" w:eastAsia="zh-CN"/>
                <w14:textFill>
                  <w14:solidFill>
                    <w14:schemeClr w14:val="tx1"/>
                  </w14:solidFill>
                </w14:textFill>
              </w:rPr>
              <w:t>租赁场地</w:t>
            </w:r>
            <w:r>
              <w:rPr>
                <w:rFonts w:hint="eastAsia"/>
                <w:color w:val="000000" w:themeColor="text1"/>
                <w:sz w:val="24"/>
                <w:szCs w:val="24"/>
                <w:highlight w:val="none"/>
                <w14:textFill>
                  <w14:solidFill>
                    <w14:schemeClr w14:val="tx1"/>
                  </w14:solidFill>
                </w14:textFill>
              </w:rPr>
              <w:t>现有给水系统</w:t>
            </w:r>
            <w:r>
              <w:rPr>
                <w:rFonts w:hint="eastAsia"/>
                <w:color w:val="000000" w:themeColor="text1"/>
                <w:sz w:val="24"/>
                <w:szCs w:val="24"/>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满足</w:t>
            </w:r>
            <w:r>
              <w:rPr>
                <w:rFonts w:hint="eastAsia"/>
                <w:color w:val="000000" w:themeColor="text1"/>
                <w:sz w:val="24"/>
                <w:szCs w:val="20"/>
                <w:highlight w:val="none"/>
                <w:lang w:val="en-US" w:eastAsia="zh-CN"/>
                <w14:textFill>
                  <w14:solidFill>
                    <w14:schemeClr w14:val="tx1"/>
                  </w14:solidFill>
                </w14:textFill>
              </w:rPr>
              <w:t>日常生产</w:t>
            </w:r>
            <w:r>
              <w:rPr>
                <w:rFonts w:hint="default"/>
                <w:color w:val="000000" w:themeColor="text1"/>
                <w:sz w:val="24"/>
                <w:szCs w:val="20"/>
                <w:highlight w:val="none"/>
                <w14:textFill>
                  <w14:solidFill>
                    <w14:schemeClr w14:val="tx1"/>
                  </w14:solidFill>
                </w14:textFill>
              </w:rPr>
              <w:t>用水的需求。</w:t>
            </w:r>
          </w:p>
          <w:p w14:paraId="24C53439">
            <w:pPr>
              <w:keepNext w:val="0"/>
              <w:keepLines w:val="0"/>
              <w:suppressLineNumbers w:val="0"/>
              <w:autoSpaceDE w:val="0"/>
              <w:autoSpaceDN w:val="0"/>
              <w:spacing w:before="0" w:beforeAutospacing="0" w:after="0" w:afterAutospacing="0" w:line="360" w:lineRule="auto"/>
              <w:ind w:left="0" w:right="0" w:firstLine="480" w:firstLineChars="200"/>
              <w:rPr>
                <w:rFonts w:hint="default" w:eastAsia="宋体"/>
                <w:color w:val="000000" w:themeColor="text1"/>
                <w:sz w:val="24"/>
                <w:szCs w:val="24"/>
                <w:highlight w:val="none"/>
                <w:lang w:val="en-US" w:eastAsia="zh-CN"/>
                <w14:textFill>
                  <w14:solidFill>
                    <w14:schemeClr w14:val="tx1"/>
                  </w14:solidFill>
                </w14:textFill>
              </w:rPr>
            </w:pPr>
            <w:r>
              <w:rPr>
                <w:rFonts w:hint="default"/>
                <w:color w:val="000000" w:themeColor="text1"/>
                <w:sz w:val="24"/>
                <w:szCs w:val="20"/>
                <w:highlight w:val="none"/>
                <w14:textFill>
                  <w14:solidFill>
                    <w14:schemeClr w14:val="tx1"/>
                  </w14:solidFill>
                </w14:textFill>
              </w:rPr>
              <w:t>排水</w:t>
            </w:r>
            <w:r>
              <w:rPr>
                <w:rFonts w:hint="default"/>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本项目</w:t>
            </w:r>
            <w:r>
              <w:rPr>
                <w:rFonts w:hint="eastAsia"/>
                <w:color w:val="000000" w:themeColor="text1"/>
                <w:sz w:val="24"/>
                <w:szCs w:val="24"/>
                <w:highlight w:val="none"/>
                <w:lang w:val="en-US" w:eastAsia="zh-CN"/>
                <w14:textFill>
                  <w14:solidFill>
                    <w14:schemeClr w14:val="tx1"/>
                  </w14:solidFill>
                </w14:textFill>
              </w:rPr>
              <w:t>厂区</w:t>
            </w:r>
            <w:r>
              <w:rPr>
                <w:rFonts w:hint="eastAsia"/>
                <w:color w:val="000000" w:themeColor="text1"/>
                <w:sz w:val="24"/>
                <w:szCs w:val="24"/>
                <w:highlight w:val="none"/>
                <w14:textFill>
                  <w14:solidFill>
                    <w14:schemeClr w14:val="tx1"/>
                  </w14:solidFill>
                </w14:textFill>
              </w:rPr>
              <w:t>雨水依托厂区内现有雨水</w:t>
            </w:r>
            <w:r>
              <w:rPr>
                <w:rFonts w:hint="eastAsia"/>
                <w:color w:val="000000" w:themeColor="text1"/>
                <w:sz w:val="24"/>
                <w:szCs w:val="24"/>
                <w:highlight w:val="none"/>
                <w:lang w:val="en-US" w:eastAsia="zh-CN"/>
                <w14:textFill>
                  <w14:solidFill>
                    <w14:schemeClr w14:val="tx1"/>
                  </w14:solidFill>
                </w14:textFill>
              </w:rPr>
              <w:t>收集</w:t>
            </w:r>
            <w:r>
              <w:rPr>
                <w:rFonts w:hint="eastAsia"/>
                <w:color w:val="000000" w:themeColor="text1"/>
                <w:sz w:val="24"/>
                <w:szCs w:val="24"/>
                <w:highlight w:val="none"/>
                <w14:textFill>
                  <w14:solidFill>
                    <w14:schemeClr w14:val="tx1"/>
                  </w14:solidFill>
                </w14:textFill>
              </w:rPr>
              <w:t>系统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生产区内的初期雨水通过雨水收集沟排往</w:t>
            </w:r>
            <w:r>
              <w:rPr>
                <w:rFonts w:hint="eastAsia"/>
                <w:color w:val="000000" w:themeColor="text1"/>
                <w:sz w:val="24"/>
                <w:szCs w:val="24"/>
                <w:highlight w:val="none"/>
                <w:lang w:val="en-US" w:eastAsia="zh-CN"/>
                <w14:textFill>
                  <w14:solidFill>
                    <w14:schemeClr w14:val="tx1"/>
                  </w14:solidFill>
                </w14:textFill>
              </w:rPr>
              <w:t>新建的初期</w:t>
            </w:r>
            <w:r>
              <w:rPr>
                <w:rFonts w:hint="eastAsia"/>
                <w:color w:val="000000" w:themeColor="text1"/>
                <w:sz w:val="24"/>
                <w:szCs w:val="24"/>
                <w:highlight w:val="none"/>
                <w14:textFill>
                  <w14:solidFill>
                    <w14:schemeClr w14:val="tx1"/>
                  </w14:solidFill>
                </w14:textFill>
              </w:rPr>
              <w:t>雨水收集池</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沉淀后回用于厂区洒水抑尘，不外排。</w:t>
            </w:r>
          </w:p>
          <w:p w14:paraId="618F7C01">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（2）供电系统</w:t>
            </w:r>
          </w:p>
          <w:p w14:paraId="09B15E73">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依托租赁场地现有供电系统</w:t>
            </w:r>
            <w:r>
              <w:rPr>
                <w:rFonts w:hint="default"/>
                <w:color w:val="000000" w:themeColor="text1"/>
                <w:sz w:val="24"/>
                <w:szCs w:val="20"/>
                <w:highlight w:val="none"/>
                <w14:textFill>
                  <w14:solidFill>
                    <w14:schemeClr w14:val="tx1"/>
                  </w14:solidFill>
                </w14:textFill>
              </w:rPr>
              <w:t>，供电符合项目所需，供电有保障。</w:t>
            </w:r>
          </w:p>
          <w:p w14:paraId="7AEF8E65">
            <w:pPr>
              <w:keepNext w:val="0"/>
              <w:keepLines w:val="0"/>
              <w:suppressLineNumbers w:val="0"/>
              <w:spacing w:before="0" w:beforeAutospacing="0" w:after="0" w:afterAutospacing="0" w:line="360" w:lineRule="auto"/>
              <w:ind w:left="0" w:right="0" w:firstLine="562" w:firstLineChars="200"/>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2.4</w:t>
            </w:r>
            <w:r>
              <w:rPr>
                <w:rFonts w:hint="default"/>
                <w:b/>
                <w:color w:val="000000" w:themeColor="text1"/>
                <w:sz w:val="28"/>
                <w:szCs w:val="28"/>
                <w:highlight w:val="none"/>
                <w14:textFill>
                  <w14:solidFill>
                    <w14:schemeClr w14:val="tx1"/>
                  </w14:solidFill>
                </w14:textFill>
              </w:rPr>
              <w:t>主要生产设备</w:t>
            </w:r>
          </w:p>
          <w:p w14:paraId="5203D02E">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主要生产设备如表2-2所示。</w:t>
            </w:r>
          </w:p>
          <w:p w14:paraId="77DE8926">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 w:val="24"/>
                <w:szCs w:val="20"/>
                <w:highlight w:val="none"/>
                <w14:textFill>
                  <w14:solidFill>
                    <w14:schemeClr w14:val="tx1"/>
                  </w14:solidFill>
                </w14:textFill>
              </w:rPr>
            </w:pPr>
            <w:r>
              <w:rPr>
                <w:rFonts w:hint="default"/>
                <w:b/>
                <w:color w:val="000000" w:themeColor="text1"/>
                <w:sz w:val="24"/>
                <w:szCs w:val="20"/>
                <w:highlight w:val="none"/>
                <w14:textFill>
                  <w14:solidFill>
                    <w14:schemeClr w14:val="tx1"/>
                  </w14:solidFill>
                </w14:textFill>
              </w:rPr>
              <w:t>表2-</w:t>
            </w:r>
            <w:r>
              <w:rPr>
                <w:rFonts w:hint="eastAsia"/>
                <w:b/>
                <w:color w:val="000000" w:themeColor="text1"/>
                <w:sz w:val="24"/>
                <w:szCs w:val="20"/>
                <w:highlight w:val="none"/>
                <w14:textFill>
                  <w14:solidFill>
                    <w14:schemeClr w14:val="tx1"/>
                  </w14:solidFill>
                </w14:textFill>
              </w:rPr>
              <w:t>2</w:t>
            </w:r>
            <w:r>
              <w:rPr>
                <w:rFonts w:hint="default"/>
                <w:b/>
                <w:color w:val="000000" w:themeColor="text1"/>
                <w:sz w:val="24"/>
                <w:szCs w:val="20"/>
                <w:highlight w:val="none"/>
                <w14:textFill>
                  <w14:solidFill>
                    <w14:schemeClr w14:val="tx1"/>
                  </w14:solidFill>
                </w14:textFill>
              </w:rPr>
              <w:t xml:space="preserve">  </w:t>
            </w:r>
            <w:r>
              <w:rPr>
                <w:rFonts w:hint="eastAsia"/>
                <w:b/>
                <w:bCs/>
                <w:color w:val="000000" w:themeColor="text1"/>
                <w:sz w:val="24"/>
                <w:szCs w:val="20"/>
                <w:highlight w:val="none"/>
                <w14:textFill>
                  <w14:solidFill>
                    <w14:schemeClr w14:val="tx1"/>
                  </w14:solidFill>
                </w14:textFill>
              </w:rPr>
              <w:t>主要生产设备一览表</w:t>
            </w:r>
          </w:p>
          <w:tbl>
            <w:tblPr>
              <w:tblStyle w:val="2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657"/>
              <w:gridCol w:w="1512"/>
              <w:gridCol w:w="510"/>
              <w:gridCol w:w="758"/>
              <w:gridCol w:w="846"/>
              <w:gridCol w:w="2569"/>
            </w:tblGrid>
            <w:tr w14:paraId="2FF8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34" w:type="pct"/>
                  <w:vAlign w:val="center"/>
                </w:tcPr>
                <w:p w14:paraId="7AA5BC7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color w:val="000000" w:themeColor="text1"/>
                      <w:kern w:val="0"/>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序号</w:t>
                  </w:r>
                </w:p>
              </w:tc>
              <w:tc>
                <w:tcPr>
                  <w:tcW w:w="1006" w:type="pct"/>
                  <w:vAlign w:val="center"/>
                </w:tcPr>
                <w:p w14:paraId="5D3C2FF5">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color w:val="000000" w:themeColor="text1"/>
                      <w:kern w:val="0"/>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设备名称</w:t>
                  </w:r>
                </w:p>
              </w:tc>
              <w:tc>
                <w:tcPr>
                  <w:tcW w:w="793" w:type="pct"/>
                  <w:vAlign w:val="center"/>
                </w:tcPr>
                <w:p w14:paraId="0440EC00">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color w:val="000000" w:themeColor="text1"/>
                      <w:kern w:val="0"/>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规格型号</w:t>
                  </w:r>
                </w:p>
              </w:tc>
              <w:tc>
                <w:tcPr>
                  <w:tcW w:w="322" w:type="pct"/>
                  <w:vAlign w:val="center"/>
                </w:tcPr>
                <w:p w14:paraId="222A2120">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color w:val="000000" w:themeColor="text1"/>
                      <w:kern w:val="0"/>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数量</w:t>
                  </w:r>
                </w:p>
              </w:tc>
              <w:tc>
                <w:tcPr>
                  <w:tcW w:w="470" w:type="pct"/>
                  <w:vAlign w:val="center"/>
                </w:tcPr>
                <w:p w14:paraId="1C720CC6">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color w:val="000000" w:themeColor="text1"/>
                      <w:kern w:val="0"/>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额定功率kW</w:t>
                  </w:r>
                </w:p>
              </w:tc>
              <w:tc>
                <w:tcPr>
                  <w:tcW w:w="522" w:type="pct"/>
                  <w:vAlign w:val="center"/>
                </w:tcPr>
                <w:p w14:paraId="593F6474">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color w:val="000000" w:themeColor="text1"/>
                      <w:kern w:val="0"/>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生产能力</w:t>
                  </w:r>
                </w:p>
              </w:tc>
              <w:tc>
                <w:tcPr>
                  <w:tcW w:w="1549" w:type="pct"/>
                  <w:vAlign w:val="center"/>
                </w:tcPr>
                <w:p w14:paraId="1D28D409">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color w:val="000000" w:themeColor="text1"/>
                      <w:kern w:val="0"/>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用于施工部位</w:t>
                  </w:r>
                </w:p>
              </w:tc>
            </w:tr>
            <w:tr w14:paraId="2836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vAlign w:val="center"/>
                </w:tcPr>
                <w:p w14:paraId="566BEA62">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1</w:t>
                  </w:r>
                </w:p>
              </w:tc>
              <w:tc>
                <w:tcPr>
                  <w:tcW w:w="1006" w:type="pct"/>
                  <w:vAlign w:val="center"/>
                </w:tcPr>
                <w:p w14:paraId="2B9047F3">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挖掘机</w:t>
                  </w:r>
                </w:p>
              </w:tc>
              <w:tc>
                <w:tcPr>
                  <w:tcW w:w="793" w:type="pct"/>
                  <w:vAlign w:val="center"/>
                </w:tcPr>
                <w:p w14:paraId="2A7A7999">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CAT360</w:t>
                  </w:r>
                </w:p>
              </w:tc>
              <w:tc>
                <w:tcPr>
                  <w:tcW w:w="322" w:type="pct"/>
                  <w:vAlign w:val="center"/>
                </w:tcPr>
                <w:p w14:paraId="3DE8BFB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3</w:t>
                  </w:r>
                </w:p>
              </w:tc>
              <w:tc>
                <w:tcPr>
                  <w:tcW w:w="470" w:type="pct"/>
                  <w:vAlign w:val="center"/>
                </w:tcPr>
                <w:p w14:paraId="11188E96">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522" w:type="pct"/>
                  <w:vAlign w:val="center"/>
                </w:tcPr>
                <w:p w14:paraId="1513E277">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549" w:type="pct"/>
                  <w:vAlign w:val="center"/>
                </w:tcPr>
                <w:p w14:paraId="32849FB9">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 xml:space="preserve">临建、清挖 </w:t>
                  </w:r>
                </w:p>
              </w:tc>
            </w:tr>
            <w:tr w14:paraId="2A36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vAlign w:val="center"/>
                </w:tcPr>
                <w:p w14:paraId="26729489">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2</w:t>
                  </w:r>
                </w:p>
              </w:tc>
              <w:tc>
                <w:tcPr>
                  <w:tcW w:w="1006" w:type="pct"/>
                  <w:vAlign w:val="center"/>
                </w:tcPr>
                <w:p w14:paraId="3C6A913B">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装载机</w:t>
                  </w:r>
                </w:p>
              </w:tc>
              <w:tc>
                <w:tcPr>
                  <w:tcW w:w="793" w:type="pct"/>
                  <w:vAlign w:val="center"/>
                </w:tcPr>
                <w:p w14:paraId="5E5FDB51">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柳工856</w:t>
                  </w:r>
                </w:p>
              </w:tc>
              <w:tc>
                <w:tcPr>
                  <w:tcW w:w="322" w:type="pct"/>
                  <w:vAlign w:val="center"/>
                </w:tcPr>
                <w:p w14:paraId="5870E523">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4</w:t>
                  </w:r>
                </w:p>
              </w:tc>
              <w:tc>
                <w:tcPr>
                  <w:tcW w:w="470" w:type="pct"/>
                  <w:vAlign w:val="center"/>
                </w:tcPr>
                <w:p w14:paraId="353ED41C">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522" w:type="pct"/>
                  <w:vAlign w:val="center"/>
                </w:tcPr>
                <w:p w14:paraId="580100E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549" w:type="pct"/>
                  <w:vAlign w:val="center"/>
                </w:tcPr>
                <w:p w14:paraId="2B100810">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场内装载</w:t>
                  </w:r>
                </w:p>
              </w:tc>
            </w:tr>
            <w:tr w14:paraId="159D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vAlign w:val="center"/>
                </w:tcPr>
                <w:p w14:paraId="308A58E2">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3</w:t>
                  </w:r>
                </w:p>
              </w:tc>
              <w:tc>
                <w:tcPr>
                  <w:tcW w:w="1006" w:type="pct"/>
                  <w:vAlign w:val="center"/>
                </w:tcPr>
                <w:p w14:paraId="7787EE69">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自卸车</w:t>
                  </w:r>
                </w:p>
              </w:tc>
              <w:tc>
                <w:tcPr>
                  <w:tcW w:w="793" w:type="pct"/>
                  <w:vAlign w:val="center"/>
                </w:tcPr>
                <w:p w14:paraId="21E80E68">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重汽</w:t>
                  </w:r>
                </w:p>
              </w:tc>
              <w:tc>
                <w:tcPr>
                  <w:tcW w:w="322" w:type="pct"/>
                  <w:vAlign w:val="center"/>
                </w:tcPr>
                <w:p w14:paraId="377F697C">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8</w:t>
                  </w:r>
                </w:p>
              </w:tc>
              <w:tc>
                <w:tcPr>
                  <w:tcW w:w="470" w:type="pct"/>
                  <w:vAlign w:val="center"/>
                </w:tcPr>
                <w:p w14:paraId="50DCE825">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522" w:type="pct"/>
                  <w:vAlign w:val="center"/>
                </w:tcPr>
                <w:p w14:paraId="76AD8191">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18m</w:t>
                  </w:r>
                  <w:r>
                    <w:rPr>
                      <w:rFonts w:hint="default" w:ascii="Times New Roman" w:hAnsi="Times New Roman" w:cs="Times New Roman"/>
                      <w:color w:val="000000" w:themeColor="text1"/>
                      <w:kern w:val="0"/>
                      <w:sz w:val="21"/>
                      <w:szCs w:val="21"/>
                      <w:highlight w:val="none"/>
                      <w:vertAlign w:val="superscript"/>
                      <w14:textFill>
                        <w14:solidFill>
                          <w14:schemeClr w14:val="tx1"/>
                        </w14:solidFill>
                      </w14:textFill>
                    </w:rPr>
                    <w:t>3</w:t>
                  </w:r>
                </w:p>
              </w:tc>
              <w:tc>
                <w:tcPr>
                  <w:tcW w:w="1549" w:type="pct"/>
                  <w:vAlign w:val="center"/>
                </w:tcPr>
                <w:p w14:paraId="05C37257">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磷石膏驳运</w:t>
                  </w:r>
                </w:p>
              </w:tc>
            </w:tr>
            <w:tr w14:paraId="75C1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vAlign w:val="center"/>
                </w:tcPr>
                <w:p w14:paraId="06708052">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4</w:t>
                  </w:r>
                </w:p>
              </w:tc>
              <w:tc>
                <w:tcPr>
                  <w:tcW w:w="1006" w:type="pct"/>
                  <w:vAlign w:val="center"/>
                </w:tcPr>
                <w:p w14:paraId="24D97528">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雾炮</w:t>
                  </w:r>
                </w:p>
              </w:tc>
              <w:tc>
                <w:tcPr>
                  <w:tcW w:w="793" w:type="pct"/>
                  <w:vAlign w:val="center"/>
                </w:tcPr>
                <w:p w14:paraId="378C6802">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LHW70</w:t>
                  </w:r>
                </w:p>
              </w:tc>
              <w:tc>
                <w:tcPr>
                  <w:tcW w:w="322" w:type="pct"/>
                  <w:vAlign w:val="center"/>
                </w:tcPr>
                <w:p w14:paraId="623E7E13">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4</w:t>
                  </w:r>
                </w:p>
              </w:tc>
              <w:tc>
                <w:tcPr>
                  <w:tcW w:w="470" w:type="pct"/>
                  <w:vAlign w:val="center"/>
                </w:tcPr>
                <w:p w14:paraId="70DB687B">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11</w:t>
                  </w:r>
                </w:p>
              </w:tc>
              <w:tc>
                <w:tcPr>
                  <w:tcW w:w="522" w:type="pct"/>
                  <w:vAlign w:val="center"/>
                </w:tcPr>
                <w:p w14:paraId="6377B06B">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549" w:type="pct"/>
                  <w:vAlign w:val="center"/>
                </w:tcPr>
                <w:p w14:paraId="31A0795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降尘</w:t>
                  </w:r>
                </w:p>
              </w:tc>
            </w:tr>
            <w:tr w14:paraId="149D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vAlign w:val="center"/>
                </w:tcPr>
                <w:p w14:paraId="4D378621">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5</w:t>
                  </w:r>
                </w:p>
              </w:tc>
              <w:tc>
                <w:tcPr>
                  <w:tcW w:w="1006" w:type="pct"/>
                  <w:vAlign w:val="center"/>
                </w:tcPr>
                <w:p w14:paraId="629F5E0E">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洒水车</w:t>
                  </w:r>
                </w:p>
              </w:tc>
              <w:tc>
                <w:tcPr>
                  <w:tcW w:w="793" w:type="pct"/>
                  <w:vAlign w:val="center"/>
                </w:tcPr>
                <w:p w14:paraId="13989454">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SLS5090GSSE</w:t>
                  </w:r>
                </w:p>
              </w:tc>
              <w:tc>
                <w:tcPr>
                  <w:tcW w:w="322" w:type="pct"/>
                  <w:vAlign w:val="center"/>
                </w:tcPr>
                <w:p w14:paraId="7B43FFBD">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1</w:t>
                  </w:r>
                </w:p>
              </w:tc>
              <w:tc>
                <w:tcPr>
                  <w:tcW w:w="470" w:type="pct"/>
                  <w:vAlign w:val="center"/>
                </w:tcPr>
                <w:p w14:paraId="482E2115">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522" w:type="pct"/>
                  <w:vAlign w:val="center"/>
                </w:tcPr>
                <w:p w14:paraId="310A26AE">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6 t</w:t>
                  </w:r>
                </w:p>
              </w:tc>
              <w:tc>
                <w:tcPr>
                  <w:tcW w:w="1549" w:type="pct"/>
                  <w:vAlign w:val="center"/>
                </w:tcPr>
                <w:p w14:paraId="069DBEA4">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现场及道路降尘</w:t>
                  </w:r>
                </w:p>
              </w:tc>
            </w:tr>
            <w:tr w14:paraId="7CF0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vAlign w:val="center"/>
                </w:tcPr>
                <w:p w14:paraId="0B9E41FD">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6</w:t>
                  </w:r>
                </w:p>
              </w:tc>
              <w:tc>
                <w:tcPr>
                  <w:tcW w:w="1006" w:type="pct"/>
                  <w:vAlign w:val="center"/>
                </w:tcPr>
                <w:p w14:paraId="1F45BF2A">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洗车机</w:t>
                  </w:r>
                </w:p>
              </w:tc>
              <w:tc>
                <w:tcPr>
                  <w:tcW w:w="793" w:type="pct"/>
                  <w:vAlign w:val="center"/>
                </w:tcPr>
                <w:p w14:paraId="4874C465">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322" w:type="pct"/>
                  <w:vAlign w:val="center"/>
                </w:tcPr>
                <w:p w14:paraId="41FD599D">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1</w:t>
                  </w:r>
                </w:p>
              </w:tc>
              <w:tc>
                <w:tcPr>
                  <w:tcW w:w="470" w:type="pct"/>
                  <w:vAlign w:val="center"/>
                </w:tcPr>
                <w:p w14:paraId="7CAF1156">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522" w:type="pct"/>
                  <w:vAlign w:val="center"/>
                </w:tcPr>
                <w:p w14:paraId="3C48CCE4">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549" w:type="pct"/>
                  <w:vAlign w:val="center"/>
                </w:tcPr>
                <w:p w14:paraId="416F46B5">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出场车辆清洗</w:t>
                  </w:r>
                </w:p>
              </w:tc>
            </w:tr>
            <w:tr w14:paraId="5376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vAlign w:val="center"/>
                </w:tcPr>
                <w:p w14:paraId="3A2D00B9">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7</w:t>
                  </w:r>
                </w:p>
              </w:tc>
              <w:tc>
                <w:tcPr>
                  <w:tcW w:w="1006" w:type="pct"/>
                  <w:vAlign w:val="center"/>
                </w:tcPr>
                <w:p w14:paraId="1EB14A38">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药剂罐</w:t>
                  </w:r>
                </w:p>
              </w:tc>
              <w:tc>
                <w:tcPr>
                  <w:tcW w:w="793" w:type="pct"/>
                  <w:vAlign w:val="center"/>
                </w:tcPr>
                <w:p w14:paraId="768BD039">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药剂罐</w:t>
                  </w:r>
                </w:p>
              </w:tc>
              <w:tc>
                <w:tcPr>
                  <w:tcW w:w="322" w:type="pct"/>
                  <w:vAlign w:val="center"/>
                </w:tcPr>
                <w:p w14:paraId="6D806F9D">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4</w:t>
                  </w:r>
                </w:p>
              </w:tc>
              <w:tc>
                <w:tcPr>
                  <w:tcW w:w="470" w:type="pct"/>
                  <w:vAlign w:val="center"/>
                </w:tcPr>
                <w:p w14:paraId="1518D5EA">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522" w:type="pct"/>
                  <w:vAlign w:val="center"/>
                </w:tcPr>
                <w:p w14:paraId="7ABE9DED">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60 m</w:t>
                  </w:r>
                  <w:r>
                    <w:rPr>
                      <w:rFonts w:hint="default" w:ascii="Times New Roman" w:hAnsi="Times New Roman" w:cs="Times New Roman"/>
                      <w:color w:val="000000" w:themeColor="text1"/>
                      <w:kern w:val="0"/>
                      <w:sz w:val="21"/>
                      <w:szCs w:val="21"/>
                      <w:highlight w:val="none"/>
                      <w:vertAlign w:val="superscript"/>
                      <w14:textFill>
                        <w14:solidFill>
                          <w14:schemeClr w14:val="tx1"/>
                        </w14:solidFill>
                      </w14:textFill>
                    </w:rPr>
                    <w:t>3</w:t>
                  </w:r>
                </w:p>
              </w:tc>
              <w:tc>
                <w:tcPr>
                  <w:tcW w:w="1549" w:type="pct"/>
                  <w:vMerge w:val="restart"/>
                  <w:vAlign w:val="center"/>
                </w:tcPr>
                <w:p w14:paraId="376DD54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药剂储存，防腐处理</w:t>
                  </w:r>
                </w:p>
              </w:tc>
            </w:tr>
            <w:tr w14:paraId="00BB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shd w:val="clear" w:color="auto" w:fill="auto"/>
                  <w:vAlign w:val="center"/>
                </w:tcPr>
                <w:p w14:paraId="2D38F611">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8</w:t>
                  </w:r>
                </w:p>
              </w:tc>
              <w:tc>
                <w:tcPr>
                  <w:tcW w:w="1006" w:type="pct"/>
                  <w:vAlign w:val="center"/>
                </w:tcPr>
                <w:p w14:paraId="30C36CDA">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val="0"/>
                      <w:color w:val="000000" w:themeColor="text1"/>
                      <w:kern w:val="0"/>
                      <w:sz w:val="21"/>
                      <w:szCs w:val="21"/>
                      <w:highlight w:val="none"/>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14:textFill>
                        <w14:solidFill>
                          <w14:schemeClr w14:val="tx1"/>
                        </w14:solidFill>
                      </w14:textFill>
                    </w:rPr>
                    <w:t>药剂罐</w:t>
                  </w:r>
                </w:p>
              </w:tc>
              <w:tc>
                <w:tcPr>
                  <w:tcW w:w="793" w:type="pct"/>
                  <w:vAlign w:val="center"/>
                </w:tcPr>
                <w:p w14:paraId="74FB1A52">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val="0"/>
                      <w:color w:val="000000" w:themeColor="text1"/>
                      <w:kern w:val="0"/>
                      <w:sz w:val="21"/>
                      <w:szCs w:val="21"/>
                      <w:highlight w:val="none"/>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14:textFill>
                        <w14:solidFill>
                          <w14:schemeClr w14:val="tx1"/>
                        </w14:solidFill>
                      </w14:textFill>
                    </w:rPr>
                    <w:t>药剂罐</w:t>
                  </w:r>
                </w:p>
              </w:tc>
              <w:tc>
                <w:tcPr>
                  <w:tcW w:w="322" w:type="pct"/>
                  <w:vAlign w:val="center"/>
                </w:tcPr>
                <w:p w14:paraId="297E3632">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eastAsia" w:cs="Times New Roman"/>
                      <w:b w:val="0"/>
                      <w:bCs w:val="0"/>
                      <w:color w:val="000000" w:themeColor="text1"/>
                      <w:kern w:val="0"/>
                      <w:sz w:val="21"/>
                      <w:szCs w:val="21"/>
                      <w:highlight w:val="none"/>
                      <w:lang w:val="en-US" w:eastAsia="zh-CN"/>
                      <w14:textFill>
                        <w14:solidFill>
                          <w14:schemeClr w14:val="tx1"/>
                        </w14:solidFill>
                      </w14:textFill>
                    </w:rPr>
                    <w:t>2</w:t>
                  </w:r>
                </w:p>
              </w:tc>
              <w:tc>
                <w:tcPr>
                  <w:tcW w:w="470" w:type="pct"/>
                  <w:vAlign w:val="center"/>
                </w:tcPr>
                <w:p w14:paraId="7BDB57B7">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b w:val="0"/>
                      <w:bCs w:val="0"/>
                      <w:color w:val="000000" w:themeColor="text1"/>
                      <w:kern w:val="0"/>
                      <w:sz w:val="21"/>
                      <w:szCs w:val="21"/>
                      <w:highlight w:val="none"/>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14:textFill>
                        <w14:solidFill>
                          <w14:schemeClr w14:val="tx1"/>
                        </w14:solidFill>
                      </w14:textFill>
                    </w:rPr>
                    <w:t>/</w:t>
                  </w:r>
                </w:p>
              </w:tc>
              <w:tc>
                <w:tcPr>
                  <w:tcW w:w="522" w:type="pct"/>
                  <w:vAlign w:val="center"/>
                </w:tcPr>
                <w:p w14:paraId="27A4EFEA">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eastAsia" w:cs="Times New Roman"/>
                      <w:b w:val="0"/>
                      <w:bCs w:val="0"/>
                      <w:color w:val="000000" w:themeColor="text1"/>
                      <w:kern w:val="0"/>
                      <w:sz w:val="21"/>
                      <w:szCs w:val="21"/>
                      <w:highlight w:val="none"/>
                      <w:lang w:val="en-US" w:eastAsia="zh-CN"/>
                      <w14:textFill>
                        <w14:solidFill>
                          <w14:schemeClr w14:val="tx1"/>
                        </w14:solidFill>
                      </w14:textFill>
                    </w:rPr>
                    <w:t>80</w:t>
                  </w:r>
                  <w:r>
                    <w:rPr>
                      <w:rFonts w:hint="default" w:ascii="Times New Roman" w:hAnsi="Times New Roman" w:cs="Times New Roman"/>
                      <w:color w:val="000000" w:themeColor="text1"/>
                      <w:kern w:val="0"/>
                      <w:sz w:val="21"/>
                      <w:szCs w:val="21"/>
                      <w:highlight w:val="none"/>
                      <w14:textFill>
                        <w14:solidFill>
                          <w14:schemeClr w14:val="tx1"/>
                        </w14:solidFill>
                      </w14:textFill>
                    </w:rPr>
                    <w:t>m</w:t>
                  </w:r>
                  <w:r>
                    <w:rPr>
                      <w:rFonts w:hint="default" w:ascii="Times New Roman" w:hAnsi="Times New Roman" w:cs="Times New Roman"/>
                      <w:color w:val="000000" w:themeColor="text1"/>
                      <w:kern w:val="0"/>
                      <w:sz w:val="21"/>
                      <w:szCs w:val="21"/>
                      <w:highlight w:val="none"/>
                      <w:vertAlign w:val="superscript"/>
                      <w14:textFill>
                        <w14:solidFill>
                          <w14:schemeClr w14:val="tx1"/>
                        </w14:solidFill>
                      </w14:textFill>
                    </w:rPr>
                    <w:t>3</w:t>
                  </w:r>
                </w:p>
              </w:tc>
              <w:tc>
                <w:tcPr>
                  <w:tcW w:w="1549" w:type="pct"/>
                  <w:vMerge w:val="continue"/>
                  <w:vAlign w:val="center"/>
                </w:tcPr>
                <w:p w14:paraId="23A8B26A">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p>
              </w:tc>
            </w:tr>
            <w:tr w14:paraId="7986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shd w:val="clear" w:color="auto" w:fill="auto"/>
                  <w:vAlign w:val="center"/>
                </w:tcPr>
                <w:p w14:paraId="3ED4541B">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9</w:t>
                  </w:r>
                </w:p>
              </w:tc>
              <w:tc>
                <w:tcPr>
                  <w:tcW w:w="1006" w:type="pct"/>
                  <w:vAlign w:val="center"/>
                </w:tcPr>
                <w:p w14:paraId="7B544B1A">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改性搅拌机</w:t>
                  </w:r>
                </w:p>
              </w:tc>
              <w:tc>
                <w:tcPr>
                  <w:tcW w:w="793" w:type="pct"/>
                  <w:vAlign w:val="center"/>
                </w:tcPr>
                <w:p w14:paraId="38692A79">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定制</w:t>
                  </w:r>
                </w:p>
              </w:tc>
              <w:tc>
                <w:tcPr>
                  <w:tcW w:w="322" w:type="pct"/>
                  <w:vAlign w:val="center"/>
                </w:tcPr>
                <w:p w14:paraId="51609DD3">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3</w:t>
                  </w:r>
                </w:p>
              </w:tc>
              <w:tc>
                <w:tcPr>
                  <w:tcW w:w="470" w:type="pct"/>
                  <w:vAlign w:val="center"/>
                </w:tcPr>
                <w:p w14:paraId="6FBAC11E">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522" w:type="pct"/>
                  <w:vAlign w:val="center"/>
                </w:tcPr>
                <w:p w14:paraId="76081AD0">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cs="Times New Roman"/>
                      <w:color w:val="000000" w:themeColor="text1"/>
                      <w:kern w:val="0"/>
                      <w:sz w:val="21"/>
                      <w:szCs w:val="21"/>
                      <w:highlight w:val="none"/>
                      <w:lang w:eastAsia="zh-CN"/>
                      <w14:textFill>
                        <w14:solidFill>
                          <w14:schemeClr w14:val="tx1"/>
                        </w14:solidFill>
                      </w14:textFill>
                    </w:rPr>
                    <w:t>900t/</w:t>
                  </w:r>
                  <w:r>
                    <w:rPr>
                      <w:rFonts w:hint="eastAsia" w:cs="Times New Roman"/>
                      <w:color w:val="000000" w:themeColor="text1"/>
                      <w:kern w:val="0"/>
                      <w:sz w:val="21"/>
                      <w:szCs w:val="21"/>
                      <w:highlight w:val="none"/>
                      <w:lang w:val="en-US" w:eastAsia="zh-CN"/>
                      <w14:textFill>
                        <w14:solidFill>
                          <w14:schemeClr w14:val="tx1"/>
                        </w14:solidFill>
                      </w14:textFill>
                    </w:rPr>
                    <w:t>h</w:t>
                  </w:r>
                </w:p>
              </w:tc>
              <w:tc>
                <w:tcPr>
                  <w:tcW w:w="1549" w:type="pct"/>
                  <w:vAlign w:val="center"/>
                </w:tcPr>
                <w:p w14:paraId="423BC4C4">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药剂混合</w:t>
                  </w:r>
                </w:p>
              </w:tc>
            </w:tr>
            <w:tr w14:paraId="7044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shd w:val="clear" w:color="auto" w:fill="auto"/>
                  <w:vAlign w:val="center"/>
                </w:tcPr>
                <w:p w14:paraId="49E01314">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10</w:t>
                  </w:r>
                </w:p>
              </w:tc>
              <w:tc>
                <w:tcPr>
                  <w:tcW w:w="1006" w:type="pct"/>
                  <w:vAlign w:val="center"/>
                </w:tcPr>
                <w:p w14:paraId="4C894DB6">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GPS-RTK</w:t>
                  </w:r>
                </w:p>
              </w:tc>
              <w:tc>
                <w:tcPr>
                  <w:tcW w:w="793" w:type="pct"/>
                  <w:vAlign w:val="center"/>
                </w:tcPr>
                <w:p w14:paraId="5CB2738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中海达</w:t>
                  </w:r>
                </w:p>
              </w:tc>
              <w:tc>
                <w:tcPr>
                  <w:tcW w:w="322" w:type="pct"/>
                  <w:vAlign w:val="center"/>
                </w:tcPr>
                <w:p w14:paraId="57BD62CC">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1</w:t>
                  </w:r>
                </w:p>
              </w:tc>
              <w:tc>
                <w:tcPr>
                  <w:tcW w:w="470" w:type="pct"/>
                  <w:vAlign w:val="center"/>
                </w:tcPr>
                <w:p w14:paraId="7D6CE500">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522" w:type="pct"/>
                  <w:vAlign w:val="center"/>
                </w:tcPr>
                <w:p w14:paraId="46CF8221">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w:t>
                  </w:r>
                </w:p>
              </w:tc>
              <w:tc>
                <w:tcPr>
                  <w:tcW w:w="1549" w:type="pct"/>
                  <w:vAlign w:val="center"/>
                </w:tcPr>
                <w:p w14:paraId="4FEB654A">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测量</w:t>
                  </w:r>
                </w:p>
              </w:tc>
            </w:tr>
            <w:tr w14:paraId="3439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shd w:val="clear" w:color="auto" w:fill="auto"/>
                  <w:vAlign w:val="center"/>
                </w:tcPr>
                <w:p w14:paraId="7B440504">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11</w:t>
                  </w:r>
                </w:p>
              </w:tc>
              <w:tc>
                <w:tcPr>
                  <w:tcW w:w="1006" w:type="pct"/>
                  <w:vAlign w:val="center"/>
                </w:tcPr>
                <w:p w14:paraId="226CFD1C">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粉碎机</w:t>
                  </w:r>
                </w:p>
              </w:tc>
              <w:tc>
                <w:tcPr>
                  <w:tcW w:w="793" w:type="pct"/>
                  <w:vAlign w:val="center"/>
                </w:tcPr>
                <w:p w14:paraId="1DB4E7C0">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w:t>
                  </w:r>
                </w:p>
              </w:tc>
              <w:tc>
                <w:tcPr>
                  <w:tcW w:w="322" w:type="pct"/>
                  <w:vAlign w:val="center"/>
                </w:tcPr>
                <w:p w14:paraId="08DF653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3</w:t>
                  </w:r>
                </w:p>
              </w:tc>
              <w:tc>
                <w:tcPr>
                  <w:tcW w:w="470" w:type="pct"/>
                  <w:vAlign w:val="center"/>
                </w:tcPr>
                <w:p w14:paraId="47BF71C4">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w:t>
                  </w:r>
                </w:p>
              </w:tc>
              <w:tc>
                <w:tcPr>
                  <w:tcW w:w="522" w:type="pct"/>
                  <w:vAlign w:val="center"/>
                </w:tcPr>
                <w:p w14:paraId="1B97E4E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w:t>
                  </w:r>
                </w:p>
              </w:tc>
              <w:tc>
                <w:tcPr>
                  <w:tcW w:w="1549" w:type="pct"/>
                  <w:vAlign w:val="center"/>
                </w:tcPr>
                <w:p w14:paraId="77CC70D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破碎</w:t>
                  </w:r>
                </w:p>
              </w:tc>
            </w:tr>
            <w:tr w14:paraId="0C32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pct"/>
                  <w:vAlign w:val="center"/>
                </w:tcPr>
                <w:p w14:paraId="3A488E3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12</w:t>
                  </w:r>
                </w:p>
              </w:tc>
              <w:tc>
                <w:tcPr>
                  <w:tcW w:w="1006" w:type="pct"/>
                  <w:vAlign w:val="center"/>
                </w:tcPr>
                <w:p w14:paraId="48FDC755">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给料机</w:t>
                  </w:r>
                </w:p>
              </w:tc>
              <w:tc>
                <w:tcPr>
                  <w:tcW w:w="793" w:type="pct"/>
                  <w:vAlign w:val="center"/>
                </w:tcPr>
                <w:p w14:paraId="77F93431">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w:t>
                  </w:r>
                </w:p>
              </w:tc>
              <w:tc>
                <w:tcPr>
                  <w:tcW w:w="322" w:type="pct"/>
                  <w:vAlign w:val="center"/>
                </w:tcPr>
                <w:p w14:paraId="63A02E2D">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2</w:t>
                  </w:r>
                </w:p>
              </w:tc>
              <w:tc>
                <w:tcPr>
                  <w:tcW w:w="470" w:type="pct"/>
                  <w:vAlign w:val="center"/>
                </w:tcPr>
                <w:p w14:paraId="16AB7D47">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w:t>
                  </w:r>
                </w:p>
              </w:tc>
              <w:tc>
                <w:tcPr>
                  <w:tcW w:w="522" w:type="pct"/>
                  <w:vAlign w:val="center"/>
                </w:tcPr>
                <w:p w14:paraId="7C423D1F">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w:t>
                  </w:r>
                </w:p>
              </w:tc>
              <w:tc>
                <w:tcPr>
                  <w:tcW w:w="1549" w:type="pct"/>
                  <w:vAlign w:val="center"/>
                </w:tcPr>
                <w:p w14:paraId="24A9C3BC">
                  <w:pPr>
                    <w:pStyle w:val="2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给料</w:t>
                  </w:r>
                </w:p>
              </w:tc>
            </w:tr>
          </w:tbl>
          <w:p w14:paraId="612490ED">
            <w:pPr>
              <w:keepNext w:val="0"/>
              <w:keepLines w:val="0"/>
              <w:suppressLineNumbers w:val="0"/>
              <w:autoSpaceDE w:val="0"/>
              <w:autoSpaceDN w:val="0"/>
              <w:spacing w:before="0" w:beforeAutospacing="0" w:after="0" w:afterAutospacing="0" w:line="360" w:lineRule="auto"/>
              <w:ind w:left="0" w:right="0" w:firstLine="562" w:firstLineChars="200"/>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2.5</w:t>
            </w:r>
            <w:r>
              <w:rPr>
                <w:rFonts w:hint="default"/>
                <w:b/>
                <w:color w:val="000000" w:themeColor="text1"/>
                <w:sz w:val="28"/>
                <w:szCs w:val="28"/>
                <w:highlight w:val="none"/>
                <w14:textFill>
                  <w14:solidFill>
                    <w14:schemeClr w14:val="tx1"/>
                  </w14:solidFill>
                </w14:textFill>
              </w:rPr>
              <w:t>产品方案</w:t>
            </w:r>
          </w:p>
          <w:p w14:paraId="196DFE80">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（1）产品方案</w:t>
            </w:r>
          </w:p>
          <w:p w14:paraId="113A7163">
            <w:pPr>
              <w:keepNext w:val="0"/>
              <w:keepLines w:val="0"/>
              <w:suppressLineNumbers w:val="0"/>
              <w:spacing w:before="0" w:beforeAutospacing="0" w:after="0" w:afterAutospacing="0" w:line="360" w:lineRule="auto"/>
              <w:ind w:left="0" w:right="0" w:firstLine="482"/>
              <w:jc w:val="left"/>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本项目为磷石膏</w:t>
            </w:r>
            <w:r>
              <w:rPr>
                <w:rFonts w:hint="eastAsia"/>
                <w:color w:val="000000" w:themeColor="text1"/>
                <w:sz w:val="24"/>
                <w:szCs w:val="20"/>
                <w:highlight w:val="none"/>
                <w:lang w:val="en-US" w:eastAsia="zh-CN"/>
                <w14:textFill>
                  <w14:solidFill>
                    <w14:schemeClr w14:val="tx1"/>
                  </w14:solidFill>
                </w14:textFill>
              </w:rPr>
              <w:t>改性</w:t>
            </w:r>
            <w:r>
              <w:rPr>
                <w:rFonts w:hint="eastAsia"/>
                <w:color w:val="000000" w:themeColor="text1"/>
                <w:sz w:val="24"/>
                <w:szCs w:val="20"/>
                <w:highlight w:val="none"/>
                <w14:textFill>
                  <w14:solidFill>
                    <w14:schemeClr w14:val="tx1"/>
                  </w14:solidFill>
                </w14:textFill>
              </w:rPr>
              <w:t>工程，通过对存量161.42万吨磷石膏进行无害化改性处理后用于矿山生态修复回填。根据《固体废物鉴别标准 通则》（GB 34330-2023）第8.4条d</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款规定：</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经加工后符合性能、污染控制等相关管理要求，作为复垦、生态修复、土地平整、采空区回填、填埋场覆土等工程填充物料使用后的物质</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，不属于固体废物。本项目改性磷石膏经破碎→配料（添加生石灰2%、固化剂4%）→双轴搅拌混合→养护</w:t>
            </w:r>
            <w:r>
              <w:rPr>
                <w:rFonts w:hint="eastAsia"/>
                <w:color w:val="000000" w:themeColor="text1"/>
                <w:sz w:val="24"/>
                <w:szCs w:val="20"/>
                <w:highlight w:val="none"/>
                <w:lang w:eastAsia="zh-CN"/>
                <w14:textFill>
                  <w14:solidFill>
                    <w14:schemeClr w14:val="tx1"/>
                  </w14:solidFill>
                </w14:textFill>
              </w:rPr>
              <w:t>3</w:t>
            </w:r>
            <w:r>
              <w:rPr>
                <w:rFonts w:hint="eastAsia"/>
                <w:color w:val="000000" w:themeColor="text1"/>
                <w:sz w:val="24"/>
                <w:szCs w:val="20"/>
                <w:highlight w:val="none"/>
                <w14:textFill>
                  <w14:solidFill>
                    <w14:schemeClr w14:val="tx1"/>
                  </w14:solidFill>
                </w14:textFill>
              </w:rPr>
              <w:t>天等工艺处理后，按《改性磷石膏用于矿山废弃地生态修复回填技术规范》（DB53/T 1269-2024）要求每3万吨或每批次进行检测，浸出毒性指标（氟化物、总磷等）满足《污水综合排放标准》（GB 8978-1996）一级标准且符合GB 18599-2020第I类一般工业固体废物要求，放射性指标满足《建筑材料放射性核素限量》（GB 6566-2010）要求，产品全部用于矿山废弃矿坑生态修复回填，符合GB 34330-2023第8.4条d</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款规定的豁免条件，不再属于固体废物范畴，可作为生态修复工程填充物料合法利用。</w:t>
            </w:r>
          </w:p>
          <w:p w14:paraId="4FEB0013">
            <w:pPr>
              <w:keepNext w:val="0"/>
              <w:keepLines w:val="0"/>
              <w:suppressLineNumbers w:val="0"/>
              <w:spacing w:before="0" w:beforeAutospacing="0" w:after="0" w:afterAutospacing="0" w:line="360" w:lineRule="auto"/>
              <w:ind w:left="0" w:right="0" w:firstLine="482"/>
              <w:jc w:val="left"/>
              <w:rPr>
                <w:rFonts w:hint="default"/>
                <w:b/>
                <w:bCs/>
                <w:color w:val="000000" w:themeColor="text1"/>
                <w:sz w:val="20"/>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项目设计改性能力为</w:t>
            </w:r>
            <w:r>
              <w:rPr>
                <w:rFonts w:hint="eastAsia"/>
                <w:color w:val="000000" w:themeColor="text1"/>
                <w:sz w:val="24"/>
                <w:szCs w:val="20"/>
                <w:highlight w:val="none"/>
                <w:lang w:val="en-US" w:eastAsia="zh-CN"/>
                <w14:textFill>
                  <w14:solidFill>
                    <w14:schemeClr w14:val="tx1"/>
                  </w14:solidFill>
                </w14:textFill>
              </w:rPr>
              <w:t>9000</w:t>
            </w:r>
            <w:r>
              <w:rPr>
                <w:rFonts w:hint="eastAsia"/>
                <w:color w:val="000000" w:themeColor="text1"/>
                <w:sz w:val="24"/>
                <w:szCs w:val="20"/>
                <w:highlight w:val="none"/>
                <w14:textFill>
                  <w14:solidFill>
                    <w14:schemeClr w14:val="tx1"/>
                  </w14:solidFill>
                </w14:textFill>
              </w:rPr>
              <w:t xml:space="preserve"> t/d，年工作300天（08:00–18:00，雨天、夜间停止作业）</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改性工艺采用生石灰和固化剂（添加比例生石灰2%、固化剂4%，合计6%，约9.69万吨/年），通过破碎→配料→双轴搅拌混合→养护→检测合格后外运。为了方便运输与使用，本项目所有产品均采用散装。具体产品方案见表2-3。</w:t>
            </w:r>
          </w:p>
          <w:p w14:paraId="6BDF54B4">
            <w:pPr>
              <w:keepNext w:val="0"/>
              <w:keepLines w:val="0"/>
              <w:suppressLineNumbers w:val="0"/>
              <w:autoSpaceDE w:val="0"/>
              <w:autoSpaceDN w:val="0"/>
              <w:spacing w:before="0" w:beforeAutospacing="0" w:after="0" w:afterAutospacing="0"/>
              <w:ind w:left="0" w:right="0"/>
              <w:jc w:val="center"/>
              <w:rPr>
                <w:rFonts w:hint="default"/>
                <w:b/>
                <w:color w:val="000000" w:themeColor="text1"/>
                <w:sz w:val="24"/>
                <w:szCs w:val="20"/>
                <w:highlight w:val="none"/>
                <w14:textFill>
                  <w14:solidFill>
                    <w14:schemeClr w14:val="tx1"/>
                  </w14:solidFill>
                </w14:textFill>
              </w:rPr>
            </w:pPr>
            <w:r>
              <w:rPr>
                <w:rFonts w:hint="default"/>
                <w:b/>
                <w:color w:val="000000" w:themeColor="text1"/>
                <w:sz w:val="24"/>
                <w:szCs w:val="20"/>
                <w:highlight w:val="none"/>
                <w14:textFill>
                  <w14:solidFill>
                    <w14:schemeClr w14:val="tx1"/>
                  </w14:solidFill>
                </w14:textFill>
              </w:rPr>
              <w:t>表2-</w:t>
            </w:r>
            <w:r>
              <w:rPr>
                <w:rFonts w:hint="eastAsia"/>
                <w:b/>
                <w:color w:val="000000" w:themeColor="text1"/>
                <w:sz w:val="24"/>
                <w:szCs w:val="20"/>
                <w:highlight w:val="none"/>
                <w14:textFill>
                  <w14:solidFill>
                    <w14:schemeClr w14:val="tx1"/>
                  </w14:solidFill>
                </w14:textFill>
              </w:rPr>
              <w:t>3</w:t>
            </w:r>
            <w:r>
              <w:rPr>
                <w:rFonts w:hint="default"/>
                <w:b/>
                <w:color w:val="000000" w:themeColor="text1"/>
                <w:sz w:val="24"/>
                <w:szCs w:val="20"/>
                <w:highlight w:val="none"/>
                <w14:textFill>
                  <w14:solidFill>
                    <w14:schemeClr w14:val="tx1"/>
                  </w14:solidFill>
                </w14:textFill>
              </w:rPr>
              <w:t xml:space="preserve">  </w:t>
            </w:r>
            <w:r>
              <w:rPr>
                <w:rFonts w:hint="eastAsia"/>
                <w:b/>
                <w:color w:val="000000" w:themeColor="text1"/>
                <w:sz w:val="24"/>
                <w:szCs w:val="20"/>
                <w:highlight w:val="none"/>
                <w14:textFill>
                  <w14:solidFill>
                    <w14:schemeClr w14:val="tx1"/>
                  </w14:solidFill>
                </w14:textFill>
              </w:rPr>
              <w:t>本</w:t>
            </w:r>
            <w:r>
              <w:rPr>
                <w:rFonts w:hint="default"/>
                <w:b/>
                <w:color w:val="000000" w:themeColor="text1"/>
                <w:sz w:val="24"/>
                <w:szCs w:val="20"/>
                <w:highlight w:val="none"/>
                <w14:textFill>
                  <w14:solidFill>
                    <w14:schemeClr w14:val="tx1"/>
                  </w14:solidFill>
                </w14:textFill>
              </w:rPr>
              <w:t>项目产品方案一览表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289"/>
              <w:gridCol w:w="1516"/>
              <w:gridCol w:w="4792"/>
            </w:tblGrid>
            <w:tr w14:paraId="220F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6E292C8">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序号</w:t>
                  </w:r>
                </w:p>
              </w:tc>
              <w:tc>
                <w:tcPr>
                  <w:tcW w:w="1289" w:type="dxa"/>
                  <w:tcBorders>
                    <w:top w:val="single" w:color="auto" w:sz="4" w:space="0"/>
                    <w:left w:val="single" w:color="auto" w:sz="4" w:space="0"/>
                    <w:bottom w:val="single" w:color="auto" w:sz="4" w:space="0"/>
                    <w:right w:val="single" w:color="auto" w:sz="4" w:space="0"/>
                  </w:tcBorders>
                  <w:vAlign w:val="center"/>
                </w:tcPr>
                <w:p w14:paraId="25C44A6F">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产品名称</w:t>
                  </w:r>
                </w:p>
              </w:tc>
              <w:tc>
                <w:tcPr>
                  <w:tcW w:w="1515" w:type="dxa"/>
                  <w:tcBorders>
                    <w:top w:val="single" w:color="auto" w:sz="4" w:space="0"/>
                    <w:left w:val="single" w:color="auto" w:sz="4" w:space="0"/>
                    <w:bottom w:val="single" w:color="auto" w:sz="4" w:space="0"/>
                    <w:right w:val="single" w:color="auto" w:sz="4" w:space="0"/>
                  </w:tcBorders>
                  <w:vAlign w:val="center"/>
                </w:tcPr>
                <w:p w14:paraId="39E6D600">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项目年产量</w:t>
                  </w:r>
                </w:p>
              </w:tc>
              <w:tc>
                <w:tcPr>
                  <w:tcW w:w="4790" w:type="dxa"/>
                  <w:tcBorders>
                    <w:top w:val="single" w:color="auto" w:sz="4" w:space="0"/>
                    <w:left w:val="single" w:color="auto" w:sz="4" w:space="0"/>
                    <w:bottom w:val="single" w:color="auto" w:sz="4" w:space="0"/>
                    <w:right w:val="single" w:color="auto" w:sz="4" w:space="0"/>
                  </w:tcBorders>
                  <w:vAlign w:val="center"/>
                </w:tcPr>
                <w:p w14:paraId="1A393197">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备注</w:t>
                  </w:r>
                </w:p>
              </w:tc>
            </w:tr>
            <w:tr w14:paraId="026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180390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1289" w:type="dxa"/>
                  <w:tcBorders>
                    <w:top w:val="single" w:color="auto" w:sz="4" w:space="0"/>
                    <w:left w:val="single" w:color="auto" w:sz="4" w:space="0"/>
                    <w:bottom w:val="single" w:color="auto" w:sz="4" w:space="0"/>
                    <w:right w:val="single" w:color="auto" w:sz="4" w:space="0"/>
                  </w:tcBorders>
                  <w:vAlign w:val="center"/>
                </w:tcPr>
                <w:p w14:paraId="1FF0E9D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生态修复材料</w:t>
                  </w:r>
                </w:p>
              </w:tc>
              <w:tc>
                <w:tcPr>
                  <w:tcW w:w="1515" w:type="dxa"/>
                  <w:tcBorders>
                    <w:top w:val="single" w:color="auto" w:sz="4" w:space="0"/>
                    <w:left w:val="single" w:color="auto" w:sz="4" w:space="0"/>
                    <w:bottom w:val="single" w:color="auto" w:sz="4" w:space="0"/>
                    <w:right w:val="single" w:color="auto" w:sz="4" w:space="0"/>
                  </w:tcBorders>
                  <w:vAlign w:val="center"/>
                </w:tcPr>
                <w:p w14:paraId="5673FFA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171.11万吨</w:t>
                  </w:r>
                </w:p>
              </w:tc>
              <w:tc>
                <w:tcPr>
                  <w:tcW w:w="4790" w:type="dxa"/>
                  <w:tcBorders>
                    <w:top w:val="single" w:color="auto" w:sz="4" w:space="0"/>
                    <w:left w:val="single" w:color="auto" w:sz="4" w:space="0"/>
                    <w:bottom w:val="single" w:color="auto" w:sz="4" w:space="0"/>
                    <w:right w:val="single" w:color="auto" w:sz="4" w:space="0"/>
                  </w:tcBorders>
                  <w:vAlign w:val="center"/>
                </w:tcPr>
                <w:p w14:paraId="6ADAB7D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原料161.42万吨 + 改性剂9.69万吨（生石灰3.23万吨+固化剂6.46万吨），外运至令友采石场废弃矿坑进行生态修复回填</w:t>
                  </w:r>
                </w:p>
              </w:tc>
            </w:tr>
          </w:tbl>
          <w:p w14:paraId="3A1DAA07">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w:t>
            </w:r>
            <w:r>
              <w:rPr>
                <w:rFonts w:hint="eastAsia"/>
                <w:color w:val="000000" w:themeColor="text1"/>
                <w:sz w:val="24"/>
                <w:szCs w:val="20"/>
                <w:highlight w:val="none"/>
                <w14:textFill>
                  <w14:solidFill>
                    <w14:schemeClr w14:val="tx1"/>
                  </w14:solidFill>
                </w14:textFill>
              </w:rPr>
              <w:t>2</w:t>
            </w:r>
            <w:r>
              <w:rPr>
                <w:rFonts w:hint="default"/>
                <w:color w:val="000000" w:themeColor="text1"/>
                <w:sz w:val="24"/>
                <w:szCs w:val="20"/>
                <w:highlight w:val="none"/>
                <w14:textFill>
                  <w14:solidFill>
                    <w14:schemeClr w14:val="tx1"/>
                  </w14:solidFill>
                </w14:textFill>
              </w:rPr>
              <w:t>）产品</w:t>
            </w:r>
            <w:r>
              <w:rPr>
                <w:rFonts w:hint="eastAsia"/>
                <w:color w:val="000000" w:themeColor="text1"/>
                <w:sz w:val="24"/>
                <w:szCs w:val="20"/>
                <w:highlight w:val="none"/>
                <w14:textFill>
                  <w14:solidFill>
                    <w14:schemeClr w14:val="tx1"/>
                  </w14:solidFill>
                </w14:textFill>
              </w:rPr>
              <w:t>用途</w:t>
            </w:r>
          </w:p>
          <w:p w14:paraId="11ECE8D8">
            <w:pPr>
              <w:keepNext w:val="0"/>
              <w:keepLines w:val="0"/>
              <w:suppressLineNumbers w:val="0"/>
              <w:spacing w:before="0" w:beforeAutospacing="0" w:after="0" w:afterAutospacing="0" w:line="360" w:lineRule="auto"/>
              <w:ind w:left="0" w:right="0" w:firstLine="482" w:firstLineChars="200"/>
              <w:rPr>
                <w:rFonts w:hint="default"/>
                <w:color w:val="000000" w:themeColor="text1"/>
                <w:sz w:val="24"/>
                <w:szCs w:val="20"/>
                <w:highlight w:val="none"/>
                <w14:textFill>
                  <w14:solidFill>
                    <w14:schemeClr w14:val="tx1"/>
                  </w14:solidFill>
                </w14:textFill>
              </w:rPr>
            </w:pPr>
            <w:r>
              <w:rPr>
                <w:rFonts w:hint="default"/>
                <w:b/>
                <w:color w:val="000000" w:themeColor="text1"/>
                <w:sz w:val="24"/>
                <w:szCs w:val="20"/>
                <w:highlight w:val="none"/>
                <w14:textFill>
                  <w14:solidFill>
                    <w14:schemeClr w14:val="tx1"/>
                  </w14:solidFill>
                </w14:textFill>
              </w:rPr>
              <w:t>生态修复材料：</w:t>
            </w:r>
            <w:r>
              <w:rPr>
                <w:rFonts w:hint="default"/>
                <w:color w:val="000000" w:themeColor="text1"/>
                <w:sz w:val="24"/>
                <w:szCs w:val="20"/>
                <w:highlight w:val="none"/>
                <w14:textFill>
                  <w14:solidFill>
                    <w14:schemeClr w14:val="tx1"/>
                  </w14:solidFill>
                </w14:textFill>
              </w:rPr>
              <w:t>是指依靠生态系统的自我调节能力使其向有序的方向进行演化，辅以人工措施，使遭到破坏的生态系统逐步恢复。生态修复致力于那些在自然突变和人类活动影响下受到破坏的生态系统恢复生态系统原本的面貌，使生态系统得到更好</w:t>
            </w:r>
            <w:r>
              <w:rPr>
                <w:rFonts w:hint="eastAsia"/>
                <w:color w:val="000000" w:themeColor="text1"/>
                <w:sz w:val="24"/>
                <w:szCs w:val="20"/>
                <w:highlight w:val="none"/>
                <w:lang w:eastAsia="zh-CN"/>
                <w14:textFill>
                  <w14:solidFill>
                    <w14:schemeClr w14:val="tx1"/>
                  </w14:solidFill>
                </w14:textFill>
              </w:rPr>
              <w:t>地</w:t>
            </w:r>
            <w:r>
              <w:rPr>
                <w:rFonts w:hint="default"/>
                <w:color w:val="000000" w:themeColor="text1"/>
                <w:sz w:val="24"/>
                <w:szCs w:val="20"/>
                <w:highlight w:val="none"/>
                <w14:textFill>
                  <w14:solidFill>
                    <w14:schemeClr w14:val="tx1"/>
                  </w14:solidFill>
                </w14:textFill>
              </w:rPr>
              <w:t>改善。磷石膏生态修复材料是将磷石膏通过改性后作为矿坑修复的回填材料，用磷石膏基生态修复材料为回填材料，对矿坑的环境污染小，同时可以解决磷化工区域磷石膏处理的问题。</w:t>
            </w:r>
          </w:p>
          <w:p w14:paraId="03CDC9C7">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w:t>
            </w:r>
            <w:r>
              <w:rPr>
                <w:rFonts w:hint="eastAsia"/>
                <w:color w:val="000000" w:themeColor="text1"/>
                <w:sz w:val="24"/>
                <w:szCs w:val="20"/>
                <w:highlight w:val="none"/>
                <w14:textFill>
                  <w14:solidFill>
                    <w14:schemeClr w14:val="tx1"/>
                  </w14:solidFill>
                </w14:textFill>
              </w:rPr>
              <w:t>3</w:t>
            </w:r>
            <w:r>
              <w:rPr>
                <w:rFonts w:hint="default"/>
                <w:color w:val="000000" w:themeColor="text1"/>
                <w:sz w:val="24"/>
                <w:szCs w:val="20"/>
                <w:highlight w:val="none"/>
                <w14:textFill>
                  <w14:solidFill>
                    <w14:schemeClr w14:val="tx1"/>
                  </w14:solidFill>
                </w14:textFill>
              </w:rPr>
              <w:t>）产品质量要求</w:t>
            </w:r>
          </w:p>
          <w:p w14:paraId="5390499C">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宋体" w:hAnsi="宋体" w:cs="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szCs w:val="20"/>
                <w:highlight w:val="none"/>
                <w14:textFill>
                  <w14:solidFill>
                    <w14:schemeClr w14:val="tx1"/>
                  </w14:solidFill>
                </w14:textFill>
              </w:rPr>
              <w:t>生态修复材料</w:t>
            </w:r>
          </w:p>
          <w:p w14:paraId="6B102A52">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b/>
                <w:bCs/>
                <w:color w:val="000000" w:themeColor="text1"/>
                <w:sz w:val="24"/>
                <w:szCs w:val="20"/>
                <w:highlight w:val="none"/>
                <w14:textFill>
                  <w14:solidFill>
                    <w14:schemeClr w14:val="tx1"/>
                  </w14:solidFill>
                </w14:textFill>
              </w:rPr>
            </w:pPr>
            <w:r>
              <w:rPr>
                <w:rFonts w:hint="eastAsia"/>
                <w:bCs/>
                <w:color w:val="000000" w:themeColor="text1"/>
                <w:sz w:val="24"/>
                <w:szCs w:val="20"/>
                <w:highlight w:val="none"/>
                <w14:textFill>
                  <w14:solidFill>
                    <w14:schemeClr w14:val="tx1"/>
                  </w14:solidFill>
                </w14:textFill>
              </w:rPr>
              <w:t>改性磷石膏浸出液中任何一种特征污染物浓度均未超过《污水综合排放标准》（GB 8978-1996）最高允许排放浓度，且pH值在6~9范围内，满足《改性磷石膏用于矿山废弃地生态修复回填技术规范》（DB53/T 1269-2024）要求；其他要求：回填前须逐批检测，达标后方可入场。严禁掺加工艺外固废，禁止混入危险废物、放射性废物、高有机质（&gt;5%）或易发酵产气废物（如污泥、废纺织物等），以及可能与药剂反应产生有毒气体的物质。</w:t>
            </w:r>
            <w:r>
              <w:rPr>
                <w:rFonts w:hint="default"/>
                <w:bCs/>
                <w:color w:val="000000" w:themeColor="text1"/>
                <w:sz w:val="24"/>
                <w:szCs w:val="20"/>
                <w:highlight w:val="none"/>
                <w14:textFill>
                  <w14:solidFill>
                    <w14:schemeClr w14:val="tx1"/>
                  </w14:solidFill>
                </w14:textFill>
              </w:rPr>
              <w:t>详细质量指标见表2-</w:t>
            </w:r>
            <w:r>
              <w:rPr>
                <w:rFonts w:hint="eastAsia"/>
                <w:bCs/>
                <w:color w:val="000000" w:themeColor="text1"/>
                <w:sz w:val="24"/>
                <w:szCs w:val="20"/>
                <w:highlight w:val="none"/>
                <w:lang w:val="en-US" w:eastAsia="zh-CN"/>
                <w14:textFill>
                  <w14:solidFill>
                    <w14:schemeClr w14:val="tx1"/>
                  </w14:solidFill>
                </w14:textFill>
              </w:rPr>
              <w:t>4</w:t>
            </w:r>
            <w:r>
              <w:rPr>
                <w:rFonts w:hint="default"/>
                <w:bCs/>
                <w:color w:val="000000" w:themeColor="text1"/>
                <w:sz w:val="24"/>
                <w:szCs w:val="20"/>
                <w:highlight w:val="none"/>
                <w14:textFill>
                  <w14:solidFill>
                    <w14:schemeClr w14:val="tx1"/>
                  </w14:solidFill>
                </w14:textFill>
              </w:rPr>
              <w:t>所示。</w:t>
            </w:r>
          </w:p>
          <w:p w14:paraId="0806C717">
            <w:pPr>
              <w:keepNext w:val="0"/>
              <w:keepLines w:val="0"/>
              <w:suppressLineNumbers w:val="0"/>
              <w:autoSpaceDE w:val="0"/>
              <w:autoSpaceDN w:val="0"/>
              <w:spacing w:before="0" w:beforeAutospacing="0" w:after="0" w:afterAutospacing="0"/>
              <w:ind w:left="0" w:right="0"/>
              <w:jc w:val="center"/>
              <w:rPr>
                <w:rFonts w:hint="default"/>
                <w:b/>
                <w:color w:val="000000" w:themeColor="text1"/>
                <w:sz w:val="24"/>
                <w:szCs w:val="20"/>
                <w:highlight w:val="none"/>
                <w14:textFill>
                  <w14:solidFill>
                    <w14:schemeClr w14:val="tx1"/>
                  </w14:solidFill>
                </w14:textFill>
              </w:rPr>
            </w:pPr>
            <w:r>
              <w:rPr>
                <w:rFonts w:hint="default"/>
                <w:b/>
                <w:color w:val="000000" w:themeColor="text1"/>
                <w:sz w:val="24"/>
                <w:szCs w:val="20"/>
                <w:highlight w:val="none"/>
                <w14:textFill>
                  <w14:solidFill>
                    <w14:schemeClr w14:val="tx1"/>
                  </w14:solidFill>
                </w14:textFill>
              </w:rPr>
              <w:t>表2-</w:t>
            </w:r>
            <w:r>
              <w:rPr>
                <w:rFonts w:hint="eastAsia"/>
                <w:b/>
                <w:color w:val="000000" w:themeColor="text1"/>
                <w:sz w:val="24"/>
                <w:szCs w:val="20"/>
                <w:highlight w:val="none"/>
                <w:lang w:val="en-US" w:eastAsia="zh-CN"/>
                <w14:textFill>
                  <w14:solidFill>
                    <w14:schemeClr w14:val="tx1"/>
                  </w14:solidFill>
                </w14:textFill>
              </w:rPr>
              <w:t>4</w:t>
            </w:r>
            <w:r>
              <w:rPr>
                <w:rFonts w:hint="default"/>
                <w:b/>
                <w:color w:val="000000" w:themeColor="text1"/>
                <w:sz w:val="24"/>
                <w:szCs w:val="20"/>
                <w:highlight w:val="none"/>
                <w14:textFill>
                  <w14:solidFill>
                    <w14:schemeClr w14:val="tx1"/>
                  </w14:solidFill>
                </w14:textFill>
              </w:rPr>
              <w:t xml:space="preserve">  生态修复材料产品质量指标</w:t>
            </w:r>
          </w:p>
          <w:tbl>
            <w:tblPr>
              <w:tblStyle w:val="4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2"/>
              <w:gridCol w:w="2374"/>
              <w:gridCol w:w="1069"/>
              <w:gridCol w:w="1615"/>
            </w:tblGrid>
            <w:tr w14:paraId="3F34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20" w:type="dxa"/>
                  <w:gridSpan w:val="4"/>
                  <w:tcBorders>
                    <w:top w:val="single" w:color="auto" w:sz="4" w:space="0"/>
                    <w:left w:val="single" w:color="auto" w:sz="4" w:space="0"/>
                    <w:bottom w:val="single" w:color="auto" w:sz="4" w:space="0"/>
                    <w:right w:val="single" w:color="auto" w:sz="4" w:space="0"/>
                  </w:tcBorders>
                  <w:vAlign w:val="center"/>
                </w:tcPr>
                <w:p w14:paraId="15EC545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污染物特征指标</w:t>
                  </w:r>
                </w:p>
              </w:tc>
            </w:tr>
            <w:tr w14:paraId="2CC0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20" w:type="dxa"/>
                  <w:gridSpan w:val="4"/>
                  <w:tcBorders>
                    <w:top w:val="single" w:color="auto" w:sz="4" w:space="0"/>
                    <w:left w:val="single" w:color="auto" w:sz="4" w:space="0"/>
                    <w:bottom w:val="single" w:color="auto" w:sz="4" w:space="0"/>
                    <w:right w:val="single" w:color="auto" w:sz="4" w:space="0"/>
                  </w:tcBorders>
                </w:tcPr>
                <w:p w14:paraId="28F5BE04">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1）重金属技术指标：参照GB 36600</w:t>
                  </w:r>
                  <w:r>
                    <w:rPr>
                      <w:rFonts w:hint="default" w:ascii="Times New Roman" w:hAnsi="Times New Roman" w:cs="Times New Roman"/>
                      <w:bCs/>
                      <w:color w:val="000000" w:themeColor="text1"/>
                      <w:sz w:val="21"/>
                      <w:szCs w:val="21"/>
                      <w:highlight w:val="none"/>
                      <w14:textFill>
                        <w14:solidFill>
                          <w14:schemeClr w14:val="tx1"/>
                        </w14:solidFill>
                      </w14:textFill>
                    </w:rPr>
                    <w:t>-2018</w:t>
                  </w:r>
                  <w:r>
                    <w:rPr>
                      <w:rFonts w:hint="default" w:ascii="Times New Roman" w:hAnsi="Times New Roman" w:cs="Times New Roman"/>
                      <w:color w:val="000000" w:themeColor="text1"/>
                      <w:sz w:val="21"/>
                      <w:szCs w:val="21"/>
                      <w:highlight w:val="none"/>
                      <w14:textFill>
                        <w14:solidFill>
                          <w14:schemeClr w14:val="tx1"/>
                        </w14:solidFill>
                      </w14:textFill>
                    </w:rPr>
                    <w:t>的要求测定，并符合下述表格要求。</w:t>
                  </w:r>
                </w:p>
              </w:tc>
            </w:tr>
            <w:tr w14:paraId="1E96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6B3E19A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302C988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w:t>
                  </w:r>
                </w:p>
              </w:tc>
              <w:tc>
                <w:tcPr>
                  <w:tcW w:w="1615" w:type="dxa"/>
                  <w:tcBorders>
                    <w:top w:val="single" w:color="auto" w:sz="4" w:space="0"/>
                    <w:left w:val="single" w:color="auto" w:sz="4" w:space="0"/>
                    <w:bottom w:val="single" w:color="auto" w:sz="4" w:space="0"/>
                    <w:right w:val="single" w:color="auto" w:sz="4" w:space="0"/>
                  </w:tcBorders>
                </w:tcPr>
                <w:p w14:paraId="09B4B78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指标</w:t>
                  </w:r>
                </w:p>
              </w:tc>
            </w:tr>
            <w:tr w14:paraId="17FB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3A3CF68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5D8F8AD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砷，mg/kg＜</w:t>
                  </w:r>
                </w:p>
              </w:tc>
              <w:tc>
                <w:tcPr>
                  <w:tcW w:w="1615" w:type="dxa"/>
                  <w:tcBorders>
                    <w:top w:val="single" w:color="auto" w:sz="4" w:space="0"/>
                    <w:left w:val="single" w:color="auto" w:sz="4" w:space="0"/>
                    <w:bottom w:val="single" w:color="auto" w:sz="4" w:space="0"/>
                    <w:right w:val="single" w:color="auto" w:sz="4" w:space="0"/>
                  </w:tcBorders>
                </w:tcPr>
                <w:p w14:paraId="38169BA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60</w:t>
                  </w:r>
                </w:p>
              </w:tc>
            </w:tr>
            <w:tr w14:paraId="1FF1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4184323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6C16289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镉，mg/kg＜</w:t>
                  </w:r>
                </w:p>
              </w:tc>
              <w:tc>
                <w:tcPr>
                  <w:tcW w:w="1615" w:type="dxa"/>
                  <w:tcBorders>
                    <w:top w:val="single" w:color="auto" w:sz="4" w:space="0"/>
                    <w:left w:val="single" w:color="auto" w:sz="4" w:space="0"/>
                    <w:bottom w:val="single" w:color="auto" w:sz="4" w:space="0"/>
                    <w:right w:val="single" w:color="auto" w:sz="4" w:space="0"/>
                  </w:tcBorders>
                </w:tcPr>
                <w:p w14:paraId="0B3C13B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65</w:t>
                  </w:r>
                </w:p>
              </w:tc>
            </w:tr>
            <w:tr w14:paraId="66C7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6D91A46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621C3CD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铬（六价），mg/kg＜</w:t>
                  </w:r>
                </w:p>
              </w:tc>
              <w:tc>
                <w:tcPr>
                  <w:tcW w:w="1615" w:type="dxa"/>
                  <w:tcBorders>
                    <w:top w:val="single" w:color="auto" w:sz="4" w:space="0"/>
                    <w:left w:val="single" w:color="auto" w:sz="4" w:space="0"/>
                    <w:bottom w:val="single" w:color="auto" w:sz="4" w:space="0"/>
                    <w:right w:val="single" w:color="auto" w:sz="4" w:space="0"/>
                  </w:tcBorders>
                </w:tcPr>
                <w:p w14:paraId="1385D02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5.7</w:t>
                  </w:r>
                </w:p>
              </w:tc>
            </w:tr>
            <w:tr w14:paraId="0012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5D14D9D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05476E8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铜，mg/kg＜</w:t>
                  </w:r>
                </w:p>
              </w:tc>
              <w:tc>
                <w:tcPr>
                  <w:tcW w:w="1615" w:type="dxa"/>
                  <w:tcBorders>
                    <w:top w:val="single" w:color="auto" w:sz="4" w:space="0"/>
                    <w:left w:val="single" w:color="auto" w:sz="4" w:space="0"/>
                    <w:bottom w:val="single" w:color="auto" w:sz="4" w:space="0"/>
                    <w:right w:val="single" w:color="auto" w:sz="4" w:space="0"/>
                  </w:tcBorders>
                </w:tcPr>
                <w:p w14:paraId="3A758FD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18000</w:t>
                  </w:r>
                </w:p>
              </w:tc>
            </w:tr>
            <w:tr w14:paraId="00D1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462F6A5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43645F7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铅，mg/kg＜</w:t>
                  </w:r>
                </w:p>
              </w:tc>
              <w:tc>
                <w:tcPr>
                  <w:tcW w:w="1615" w:type="dxa"/>
                  <w:tcBorders>
                    <w:top w:val="single" w:color="auto" w:sz="4" w:space="0"/>
                    <w:left w:val="single" w:color="auto" w:sz="4" w:space="0"/>
                    <w:bottom w:val="single" w:color="auto" w:sz="4" w:space="0"/>
                    <w:right w:val="single" w:color="auto" w:sz="4" w:space="0"/>
                  </w:tcBorders>
                </w:tcPr>
                <w:p w14:paraId="33A8F62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800</w:t>
                  </w:r>
                </w:p>
              </w:tc>
            </w:tr>
            <w:tr w14:paraId="76A4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520685C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1AFE518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汞，mg/kg＜</w:t>
                  </w:r>
                </w:p>
              </w:tc>
              <w:tc>
                <w:tcPr>
                  <w:tcW w:w="1615" w:type="dxa"/>
                  <w:tcBorders>
                    <w:top w:val="single" w:color="auto" w:sz="4" w:space="0"/>
                    <w:left w:val="single" w:color="auto" w:sz="4" w:space="0"/>
                    <w:bottom w:val="single" w:color="auto" w:sz="4" w:space="0"/>
                    <w:right w:val="single" w:color="auto" w:sz="4" w:space="0"/>
                  </w:tcBorders>
                </w:tcPr>
                <w:p w14:paraId="34D22BE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38</w:t>
                  </w:r>
                </w:p>
              </w:tc>
            </w:tr>
            <w:tr w14:paraId="6A8E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20" w:type="dxa"/>
                  <w:gridSpan w:val="4"/>
                  <w:tcBorders>
                    <w:top w:val="single" w:color="auto" w:sz="4" w:space="0"/>
                    <w:left w:val="single" w:color="auto" w:sz="4" w:space="0"/>
                    <w:bottom w:val="single" w:color="auto" w:sz="4" w:space="0"/>
                    <w:right w:val="single" w:color="auto" w:sz="4" w:space="0"/>
                  </w:tcBorders>
                  <w:vAlign w:val="center"/>
                </w:tcPr>
                <w:p w14:paraId="7F200D54">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2）总氟化物指标：参照</w:t>
                  </w:r>
                  <w:r>
                    <w:rPr>
                      <w:rFonts w:hint="default" w:ascii="Times New Roman" w:hAnsi="Times New Roman" w:cs="Times New Roman"/>
                      <w:bCs/>
                      <w:color w:val="000000" w:themeColor="text1"/>
                      <w:sz w:val="21"/>
                      <w:szCs w:val="21"/>
                      <w:highlight w:val="none"/>
                      <w14:textFill>
                        <w14:solidFill>
                          <w14:schemeClr w14:val="tx1"/>
                        </w14:solidFill>
                      </w14:textFill>
                    </w:rPr>
                    <w:t>DB4403/T 67-2020</w:t>
                  </w:r>
                  <w:r>
                    <w:rPr>
                      <w:rFonts w:hint="default" w:ascii="Times New Roman" w:hAnsi="Times New Roman" w:cs="Times New Roman"/>
                      <w:color w:val="000000" w:themeColor="text1"/>
                      <w:sz w:val="21"/>
                      <w:szCs w:val="21"/>
                      <w:highlight w:val="none"/>
                      <w14:textFill>
                        <w14:solidFill>
                          <w14:schemeClr w14:val="tx1"/>
                        </w14:solidFill>
                      </w14:textFill>
                    </w:rPr>
                    <w:t>的要求测定，并符合下述表格要求。</w:t>
                  </w:r>
                </w:p>
              </w:tc>
            </w:tr>
            <w:tr w14:paraId="3A4A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1D0BDD8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2374" w:type="dxa"/>
                  <w:tcBorders>
                    <w:left w:val="single" w:color="auto" w:sz="4" w:space="0"/>
                    <w:bottom w:val="single" w:color="auto" w:sz="4" w:space="0"/>
                    <w:right w:val="single" w:color="auto" w:sz="4" w:space="0"/>
                  </w:tcBorders>
                  <w:vAlign w:val="center"/>
                </w:tcPr>
                <w:p w14:paraId="62853E9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w:t>
                  </w:r>
                </w:p>
              </w:tc>
              <w:tc>
                <w:tcPr>
                  <w:tcW w:w="1069" w:type="dxa"/>
                  <w:tcBorders>
                    <w:top w:val="single" w:color="auto" w:sz="4" w:space="0"/>
                    <w:left w:val="single" w:color="auto" w:sz="4" w:space="0"/>
                    <w:bottom w:val="single" w:color="auto" w:sz="4" w:space="0"/>
                    <w:right w:val="single" w:color="auto" w:sz="4" w:space="0"/>
                  </w:tcBorders>
                  <w:vAlign w:val="center"/>
                </w:tcPr>
                <w:p w14:paraId="54FD9CA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筛选值</w:t>
                  </w:r>
                </w:p>
              </w:tc>
              <w:tc>
                <w:tcPr>
                  <w:tcW w:w="1615" w:type="dxa"/>
                  <w:tcBorders>
                    <w:top w:val="single" w:color="auto" w:sz="4" w:space="0"/>
                    <w:left w:val="single" w:color="auto" w:sz="4" w:space="0"/>
                    <w:bottom w:val="single" w:color="auto" w:sz="4" w:space="0"/>
                    <w:right w:val="single" w:color="auto" w:sz="4" w:space="0"/>
                  </w:tcBorders>
                  <w:vAlign w:val="center"/>
                </w:tcPr>
                <w:p w14:paraId="0A51B6C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管制值</w:t>
                  </w:r>
                </w:p>
              </w:tc>
            </w:tr>
            <w:tr w14:paraId="1A00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1411E6F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2374" w:type="dxa"/>
                  <w:tcBorders>
                    <w:left w:val="single" w:color="auto" w:sz="4" w:space="0"/>
                    <w:bottom w:val="single" w:color="auto" w:sz="4" w:space="0"/>
                    <w:right w:val="single" w:color="auto" w:sz="4" w:space="0"/>
                  </w:tcBorders>
                  <w:vAlign w:val="center"/>
                </w:tcPr>
                <w:p w14:paraId="52A7370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总氟化物，mg/kg</w:t>
                  </w:r>
                </w:p>
              </w:tc>
              <w:tc>
                <w:tcPr>
                  <w:tcW w:w="1069" w:type="dxa"/>
                  <w:tcBorders>
                    <w:top w:val="single" w:color="auto" w:sz="4" w:space="0"/>
                    <w:left w:val="single" w:color="auto" w:sz="4" w:space="0"/>
                    <w:bottom w:val="single" w:color="auto" w:sz="4" w:space="0"/>
                    <w:right w:val="single" w:color="auto" w:sz="4" w:space="0"/>
                  </w:tcBorders>
                  <w:vAlign w:val="center"/>
                </w:tcPr>
                <w:p w14:paraId="7EA36B9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10000</w:t>
                  </w:r>
                </w:p>
              </w:tc>
              <w:tc>
                <w:tcPr>
                  <w:tcW w:w="1615" w:type="dxa"/>
                  <w:tcBorders>
                    <w:top w:val="single" w:color="auto" w:sz="4" w:space="0"/>
                    <w:left w:val="single" w:color="auto" w:sz="4" w:space="0"/>
                    <w:bottom w:val="single" w:color="auto" w:sz="4" w:space="0"/>
                    <w:right w:val="single" w:color="auto" w:sz="4" w:space="0"/>
                  </w:tcBorders>
                  <w:vAlign w:val="center"/>
                </w:tcPr>
                <w:p w14:paraId="7AFD7605">
                  <w:pPr>
                    <w:keepNext w:val="0"/>
                    <w:keepLines w:val="0"/>
                    <w:suppressLineNumbers w:val="0"/>
                    <w:spacing w:before="0" w:beforeAutospacing="0" w:after="0" w:afterAutospacing="0"/>
                    <w:ind w:left="0" w:right="0"/>
                    <w:jc w:val="center"/>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10000</w:t>
                  </w:r>
                </w:p>
              </w:tc>
            </w:tr>
            <w:tr w14:paraId="4362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20" w:type="dxa"/>
                  <w:gridSpan w:val="4"/>
                  <w:tcBorders>
                    <w:top w:val="single" w:color="auto" w:sz="4" w:space="0"/>
                    <w:left w:val="single" w:color="auto" w:sz="4" w:space="0"/>
                    <w:bottom w:val="single" w:color="auto" w:sz="4" w:space="0"/>
                    <w:right w:val="single" w:color="auto" w:sz="4" w:space="0"/>
                  </w:tcBorders>
                  <w:vAlign w:val="center"/>
                </w:tcPr>
                <w:p w14:paraId="5B33A6D9">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3）生态修复回填材料浸出液技术指标：按HJ 557-2010固体废物浸出毒性浸出方法水平振荡法制备，性能应符合下述表格要求。</w:t>
                  </w:r>
                </w:p>
              </w:tc>
            </w:tr>
            <w:tr w14:paraId="0DD1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7D43A3D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2374" w:type="dxa"/>
                  <w:tcBorders>
                    <w:top w:val="single" w:color="auto" w:sz="4" w:space="0"/>
                    <w:left w:val="single" w:color="auto" w:sz="4" w:space="0"/>
                    <w:bottom w:val="single" w:color="auto" w:sz="4" w:space="0"/>
                    <w:right w:val="single" w:color="auto" w:sz="4" w:space="0"/>
                  </w:tcBorders>
                  <w:vAlign w:val="center"/>
                </w:tcPr>
                <w:p w14:paraId="307AED3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指标名称</w:t>
                  </w:r>
                </w:p>
              </w:tc>
              <w:tc>
                <w:tcPr>
                  <w:tcW w:w="1069" w:type="dxa"/>
                  <w:tcBorders>
                    <w:top w:val="single" w:color="auto" w:sz="4" w:space="0"/>
                    <w:left w:val="single" w:color="auto" w:sz="4" w:space="0"/>
                    <w:bottom w:val="single" w:color="auto" w:sz="4" w:space="0"/>
                    <w:right w:val="single" w:color="auto" w:sz="4" w:space="0"/>
                  </w:tcBorders>
                  <w:vAlign w:val="center"/>
                </w:tcPr>
                <w:p w14:paraId="4040DBE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单位</w:t>
                  </w:r>
                </w:p>
              </w:tc>
              <w:tc>
                <w:tcPr>
                  <w:tcW w:w="1615" w:type="dxa"/>
                  <w:tcBorders>
                    <w:top w:val="single" w:color="auto" w:sz="4" w:space="0"/>
                    <w:left w:val="single" w:color="auto" w:sz="4" w:space="0"/>
                    <w:bottom w:val="single" w:color="auto" w:sz="4" w:space="0"/>
                    <w:right w:val="single" w:color="auto" w:sz="4" w:space="0"/>
                  </w:tcBorders>
                </w:tcPr>
                <w:p w14:paraId="4D2B4AD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限值</w:t>
                  </w:r>
                </w:p>
              </w:tc>
            </w:tr>
            <w:tr w14:paraId="41F7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2E08E66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2374" w:type="dxa"/>
                  <w:tcBorders>
                    <w:top w:val="single" w:color="auto" w:sz="4" w:space="0"/>
                    <w:left w:val="single" w:color="auto" w:sz="4" w:space="0"/>
                    <w:bottom w:val="single" w:color="auto" w:sz="4" w:space="0"/>
                    <w:right w:val="single" w:color="auto" w:sz="4" w:space="0"/>
                  </w:tcBorders>
                  <w:vAlign w:val="center"/>
                </w:tcPr>
                <w:p w14:paraId="3D60F8E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铜</w:t>
                  </w:r>
                </w:p>
              </w:tc>
              <w:tc>
                <w:tcPr>
                  <w:tcW w:w="1069" w:type="dxa"/>
                  <w:tcBorders>
                    <w:top w:val="single" w:color="auto" w:sz="4" w:space="0"/>
                    <w:left w:val="single" w:color="auto" w:sz="4" w:space="0"/>
                    <w:bottom w:val="single" w:color="auto" w:sz="4" w:space="0"/>
                    <w:right w:val="single" w:color="auto" w:sz="4" w:space="0"/>
                  </w:tcBorders>
                  <w:vAlign w:val="center"/>
                </w:tcPr>
                <w:p w14:paraId="352CC0E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2532CCB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0.5</w:t>
                  </w:r>
                </w:p>
              </w:tc>
            </w:tr>
            <w:tr w14:paraId="0E55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4A3A83F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p>
              </w:tc>
              <w:tc>
                <w:tcPr>
                  <w:tcW w:w="2374" w:type="dxa"/>
                  <w:tcBorders>
                    <w:top w:val="single" w:color="auto" w:sz="4" w:space="0"/>
                    <w:left w:val="single" w:color="auto" w:sz="4" w:space="0"/>
                    <w:bottom w:val="single" w:color="auto" w:sz="4" w:space="0"/>
                    <w:right w:val="single" w:color="auto" w:sz="4" w:space="0"/>
                  </w:tcBorders>
                  <w:vAlign w:val="center"/>
                </w:tcPr>
                <w:p w14:paraId="17E125F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锌</w:t>
                  </w:r>
                </w:p>
              </w:tc>
              <w:tc>
                <w:tcPr>
                  <w:tcW w:w="1069" w:type="dxa"/>
                  <w:tcBorders>
                    <w:top w:val="single" w:color="auto" w:sz="4" w:space="0"/>
                    <w:left w:val="single" w:color="auto" w:sz="4" w:space="0"/>
                    <w:bottom w:val="single" w:color="auto" w:sz="4" w:space="0"/>
                    <w:right w:val="single" w:color="auto" w:sz="4" w:space="0"/>
                  </w:tcBorders>
                  <w:vAlign w:val="center"/>
                </w:tcPr>
                <w:p w14:paraId="5EBA0D6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13034D1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2.0</w:t>
                  </w:r>
                </w:p>
              </w:tc>
            </w:tr>
            <w:tr w14:paraId="6F48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5EAA1DD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w:t>
                  </w:r>
                </w:p>
              </w:tc>
              <w:tc>
                <w:tcPr>
                  <w:tcW w:w="2374" w:type="dxa"/>
                  <w:tcBorders>
                    <w:top w:val="single" w:color="auto" w:sz="4" w:space="0"/>
                    <w:left w:val="single" w:color="auto" w:sz="4" w:space="0"/>
                    <w:bottom w:val="single" w:color="auto" w:sz="4" w:space="0"/>
                    <w:right w:val="single" w:color="auto" w:sz="4" w:space="0"/>
                  </w:tcBorders>
                  <w:vAlign w:val="center"/>
                </w:tcPr>
                <w:p w14:paraId="5029899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镉</w:t>
                  </w:r>
                </w:p>
              </w:tc>
              <w:tc>
                <w:tcPr>
                  <w:tcW w:w="1069" w:type="dxa"/>
                  <w:tcBorders>
                    <w:top w:val="single" w:color="auto" w:sz="4" w:space="0"/>
                    <w:left w:val="single" w:color="auto" w:sz="4" w:space="0"/>
                    <w:bottom w:val="single" w:color="auto" w:sz="4" w:space="0"/>
                    <w:right w:val="single" w:color="auto" w:sz="4" w:space="0"/>
                  </w:tcBorders>
                  <w:vAlign w:val="center"/>
                </w:tcPr>
                <w:p w14:paraId="23D965F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2A9E426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0.1</w:t>
                  </w:r>
                </w:p>
              </w:tc>
            </w:tr>
            <w:tr w14:paraId="3173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552B59F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w:t>
                  </w:r>
                </w:p>
              </w:tc>
              <w:tc>
                <w:tcPr>
                  <w:tcW w:w="2374" w:type="dxa"/>
                  <w:tcBorders>
                    <w:top w:val="single" w:color="auto" w:sz="4" w:space="0"/>
                    <w:left w:val="single" w:color="auto" w:sz="4" w:space="0"/>
                    <w:bottom w:val="single" w:color="auto" w:sz="4" w:space="0"/>
                    <w:right w:val="single" w:color="auto" w:sz="4" w:space="0"/>
                  </w:tcBorders>
                  <w:vAlign w:val="center"/>
                </w:tcPr>
                <w:p w14:paraId="20339C9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铅</w:t>
                  </w:r>
                </w:p>
              </w:tc>
              <w:tc>
                <w:tcPr>
                  <w:tcW w:w="1069" w:type="dxa"/>
                  <w:tcBorders>
                    <w:top w:val="single" w:color="auto" w:sz="4" w:space="0"/>
                    <w:left w:val="single" w:color="auto" w:sz="4" w:space="0"/>
                    <w:bottom w:val="single" w:color="auto" w:sz="4" w:space="0"/>
                    <w:right w:val="single" w:color="auto" w:sz="4" w:space="0"/>
                  </w:tcBorders>
                  <w:vAlign w:val="center"/>
                </w:tcPr>
                <w:p w14:paraId="3D8AF92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559BC72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1.0</w:t>
                  </w:r>
                </w:p>
              </w:tc>
            </w:tr>
            <w:tr w14:paraId="7F79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1C46908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p>
              </w:tc>
              <w:tc>
                <w:tcPr>
                  <w:tcW w:w="2374" w:type="dxa"/>
                  <w:tcBorders>
                    <w:top w:val="single" w:color="auto" w:sz="4" w:space="0"/>
                    <w:left w:val="single" w:color="auto" w:sz="4" w:space="0"/>
                    <w:bottom w:val="single" w:color="auto" w:sz="4" w:space="0"/>
                    <w:right w:val="single" w:color="auto" w:sz="4" w:space="0"/>
                  </w:tcBorders>
                  <w:vAlign w:val="center"/>
                </w:tcPr>
                <w:p w14:paraId="60A096F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总铬</w:t>
                  </w:r>
                </w:p>
              </w:tc>
              <w:tc>
                <w:tcPr>
                  <w:tcW w:w="1069" w:type="dxa"/>
                  <w:tcBorders>
                    <w:top w:val="single" w:color="auto" w:sz="4" w:space="0"/>
                    <w:left w:val="single" w:color="auto" w:sz="4" w:space="0"/>
                    <w:bottom w:val="single" w:color="auto" w:sz="4" w:space="0"/>
                    <w:right w:val="single" w:color="auto" w:sz="4" w:space="0"/>
                  </w:tcBorders>
                  <w:vAlign w:val="center"/>
                </w:tcPr>
                <w:p w14:paraId="043F24F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1271260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1.5</w:t>
                  </w:r>
                </w:p>
              </w:tc>
            </w:tr>
            <w:tr w14:paraId="0226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27FC418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p>
              </w:tc>
              <w:tc>
                <w:tcPr>
                  <w:tcW w:w="2374" w:type="dxa"/>
                  <w:tcBorders>
                    <w:top w:val="single" w:color="auto" w:sz="4" w:space="0"/>
                    <w:left w:val="single" w:color="auto" w:sz="4" w:space="0"/>
                    <w:bottom w:val="single" w:color="auto" w:sz="4" w:space="0"/>
                    <w:right w:val="single" w:color="auto" w:sz="4" w:space="0"/>
                  </w:tcBorders>
                  <w:vAlign w:val="center"/>
                </w:tcPr>
                <w:p w14:paraId="5405113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六价铬</w:t>
                  </w:r>
                </w:p>
              </w:tc>
              <w:tc>
                <w:tcPr>
                  <w:tcW w:w="1069" w:type="dxa"/>
                  <w:tcBorders>
                    <w:top w:val="single" w:color="auto" w:sz="4" w:space="0"/>
                    <w:left w:val="single" w:color="auto" w:sz="4" w:space="0"/>
                    <w:bottom w:val="single" w:color="auto" w:sz="4" w:space="0"/>
                    <w:right w:val="single" w:color="auto" w:sz="4" w:space="0"/>
                  </w:tcBorders>
                  <w:vAlign w:val="center"/>
                </w:tcPr>
                <w:p w14:paraId="6AAF45B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7164C30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0.5</w:t>
                  </w:r>
                </w:p>
              </w:tc>
            </w:tr>
            <w:tr w14:paraId="4358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21EB724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7</w:t>
                  </w:r>
                </w:p>
              </w:tc>
              <w:tc>
                <w:tcPr>
                  <w:tcW w:w="2374" w:type="dxa"/>
                  <w:tcBorders>
                    <w:top w:val="single" w:color="auto" w:sz="4" w:space="0"/>
                    <w:left w:val="single" w:color="auto" w:sz="4" w:space="0"/>
                    <w:bottom w:val="single" w:color="auto" w:sz="4" w:space="0"/>
                    <w:right w:val="single" w:color="auto" w:sz="4" w:space="0"/>
                  </w:tcBorders>
                  <w:vAlign w:val="center"/>
                </w:tcPr>
                <w:p w14:paraId="7D1042D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总汞</w:t>
                  </w:r>
                </w:p>
              </w:tc>
              <w:tc>
                <w:tcPr>
                  <w:tcW w:w="1069" w:type="dxa"/>
                  <w:tcBorders>
                    <w:top w:val="single" w:color="auto" w:sz="4" w:space="0"/>
                    <w:left w:val="single" w:color="auto" w:sz="4" w:space="0"/>
                    <w:bottom w:val="single" w:color="auto" w:sz="4" w:space="0"/>
                    <w:right w:val="single" w:color="auto" w:sz="4" w:space="0"/>
                  </w:tcBorders>
                  <w:vAlign w:val="center"/>
                </w:tcPr>
                <w:p w14:paraId="7741F68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67AD5F9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0.05</w:t>
                  </w:r>
                </w:p>
              </w:tc>
            </w:tr>
            <w:tr w14:paraId="2729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3BE03A4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w:t>
                  </w:r>
                </w:p>
              </w:tc>
              <w:tc>
                <w:tcPr>
                  <w:tcW w:w="2374" w:type="dxa"/>
                  <w:tcBorders>
                    <w:top w:val="single" w:color="auto" w:sz="4" w:space="0"/>
                    <w:left w:val="single" w:color="auto" w:sz="4" w:space="0"/>
                    <w:bottom w:val="single" w:color="auto" w:sz="4" w:space="0"/>
                    <w:right w:val="single" w:color="auto" w:sz="4" w:space="0"/>
                  </w:tcBorders>
                  <w:vAlign w:val="center"/>
                </w:tcPr>
                <w:p w14:paraId="260A577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铍</w:t>
                  </w:r>
                </w:p>
              </w:tc>
              <w:tc>
                <w:tcPr>
                  <w:tcW w:w="1069" w:type="dxa"/>
                  <w:tcBorders>
                    <w:top w:val="single" w:color="auto" w:sz="4" w:space="0"/>
                    <w:left w:val="single" w:color="auto" w:sz="4" w:space="0"/>
                    <w:bottom w:val="single" w:color="auto" w:sz="4" w:space="0"/>
                    <w:right w:val="single" w:color="auto" w:sz="4" w:space="0"/>
                  </w:tcBorders>
                  <w:vAlign w:val="center"/>
                </w:tcPr>
                <w:p w14:paraId="446EF66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22E56C0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0.005</w:t>
                  </w:r>
                </w:p>
              </w:tc>
            </w:tr>
            <w:tr w14:paraId="2C1E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5B85597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w:t>
                  </w:r>
                </w:p>
              </w:tc>
              <w:tc>
                <w:tcPr>
                  <w:tcW w:w="2374" w:type="dxa"/>
                  <w:tcBorders>
                    <w:top w:val="single" w:color="auto" w:sz="4" w:space="0"/>
                    <w:left w:val="single" w:color="auto" w:sz="4" w:space="0"/>
                    <w:bottom w:val="single" w:color="auto" w:sz="4" w:space="0"/>
                    <w:right w:val="single" w:color="auto" w:sz="4" w:space="0"/>
                  </w:tcBorders>
                  <w:vAlign w:val="center"/>
                </w:tcPr>
                <w:p w14:paraId="00101D2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镍</w:t>
                  </w:r>
                </w:p>
              </w:tc>
              <w:tc>
                <w:tcPr>
                  <w:tcW w:w="1069" w:type="dxa"/>
                  <w:tcBorders>
                    <w:top w:val="single" w:color="auto" w:sz="4" w:space="0"/>
                    <w:left w:val="single" w:color="auto" w:sz="4" w:space="0"/>
                    <w:bottom w:val="single" w:color="auto" w:sz="4" w:space="0"/>
                    <w:right w:val="single" w:color="auto" w:sz="4" w:space="0"/>
                  </w:tcBorders>
                  <w:vAlign w:val="center"/>
                </w:tcPr>
                <w:p w14:paraId="696F6BE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56F283D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1.0</w:t>
                  </w:r>
                </w:p>
              </w:tc>
            </w:tr>
            <w:tr w14:paraId="22DD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2" w:type="dxa"/>
                  <w:tcBorders>
                    <w:top w:val="single" w:color="auto" w:sz="4" w:space="0"/>
                    <w:left w:val="single" w:color="auto" w:sz="4" w:space="0"/>
                    <w:bottom w:val="single" w:color="auto" w:sz="4" w:space="0"/>
                    <w:right w:val="single" w:color="auto" w:sz="4" w:space="0"/>
                  </w:tcBorders>
                  <w:vAlign w:val="center"/>
                </w:tcPr>
                <w:p w14:paraId="42DA8F4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10</w:t>
                  </w:r>
                </w:p>
              </w:tc>
              <w:tc>
                <w:tcPr>
                  <w:tcW w:w="2374" w:type="dxa"/>
                  <w:tcBorders>
                    <w:top w:val="single" w:color="auto" w:sz="4" w:space="0"/>
                    <w:left w:val="single" w:color="auto" w:sz="4" w:space="0"/>
                    <w:bottom w:val="single" w:color="auto" w:sz="4" w:space="0"/>
                    <w:right w:val="single" w:color="auto" w:sz="4" w:space="0"/>
                  </w:tcBorders>
                  <w:vAlign w:val="center"/>
                </w:tcPr>
                <w:p w14:paraId="3D07DE3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总银</w:t>
                  </w:r>
                </w:p>
              </w:tc>
              <w:tc>
                <w:tcPr>
                  <w:tcW w:w="1069" w:type="dxa"/>
                  <w:tcBorders>
                    <w:top w:val="single" w:color="auto" w:sz="4" w:space="0"/>
                    <w:left w:val="single" w:color="auto" w:sz="4" w:space="0"/>
                    <w:bottom w:val="single" w:color="auto" w:sz="4" w:space="0"/>
                    <w:right w:val="single" w:color="auto" w:sz="4" w:space="0"/>
                  </w:tcBorders>
                  <w:vAlign w:val="center"/>
                </w:tcPr>
                <w:p w14:paraId="1775D35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c>
                <w:tcPr>
                  <w:tcW w:w="1615" w:type="dxa"/>
                  <w:tcBorders>
                    <w:top w:val="single" w:color="auto" w:sz="4" w:space="0"/>
                    <w:left w:val="single" w:color="auto" w:sz="4" w:space="0"/>
                    <w:bottom w:val="single" w:color="auto" w:sz="4" w:space="0"/>
                    <w:right w:val="single" w:color="auto" w:sz="4" w:space="0"/>
                  </w:tcBorders>
                </w:tcPr>
                <w:p w14:paraId="56AE792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0.5</w:t>
                  </w:r>
                </w:p>
              </w:tc>
            </w:tr>
          </w:tbl>
          <w:p w14:paraId="6974A803">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2026年</w:t>
            </w:r>
            <w:r>
              <w:rPr>
                <w:rFonts w:hint="eastAsia"/>
                <w:color w:val="000000" w:themeColor="text1"/>
                <w:sz w:val="24"/>
                <w:szCs w:val="20"/>
                <w:highlight w:val="none"/>
                <w:lang w:val="en-US" w:eastAsia="zh-CN"/>
                <w14:textFill>
                  <w14:solidFill>
                    <w14:schemeClr w14:val="tx1"/>
                  </w14:solidFill>
                </w14:textFill>
              </w:rPr>
              <w:t>2</w:t>
            </w:r>
            <w:r>
              <w:rPr>
                <w:rFonts w:hint="eastAsia"/>
                <w:color w:val="000000" w:themeColor="text1"/>
                <w:sz w:val="24"/>
                <w:szCs w:val="20"/>
                <w:highlight w:val="none"/>
                <w14:textFill>
                  <w14:solidFill>
                    <w14:schemeClr w14:val="tx1"/>
                  </w14:solidFill>
                </w14:textFill>
              </w:rPr>
              <w:t>月</w:t>
            </w:r>
            <w:r>
              <w:rPr>
                <w:rFonts w:hint="eastAsia"/>
                <w:color w:val="000000" w:themeColor="text1"/>
                <w:sz w:val="24"/>
                <w:szCs w:val="20"/>
                <w:highlight w:val="none"/>
                <w:lang w:val="en-US" w:eastAsia="zh-CN"/>
                <w14:textFill>
                  <w14:solidFill>
                    <w14:schemeClr w14:val="tx1"/>
                  </w14:solidFill>
                </w14:textFill>
              </w:rPr>
              <w:t>-3月</w:t>
            </w:r>
            <w:r>
              <w:rPr>
                <w:rFonts w:hint="eastAsia"/>
                <w:color w:val="000000" w:themeColor="text1"/>
                <w:sz w:val="24"/>
                <w:szCs w:val="20"/>
                <w:highlight w:val="none"/>
                <w14:textFill>
                  <w14:solidFill>
                    <w14:schemeClr w14:val="tx1"/>
                  </w14:solidFill>
                </w14:textFill>
              </w:rPr>
              <w:t>，寻甸回族彝族自治县科学技术和工业信息化局委托云南方源科技有限公司，对常青树磷石膏库改性处理后的生态修复材料</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小试实验获得少量样品，用于检测</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开展系统性环境安全性检测。样品浸出液依据《固体废物 浸出毒性浸出方法 水平振荡法》（HJ 557-2010）制备，并参照多项国家及地方标准进行综合评价，并参照多项国家及地方标准进行综合评价。检测结果如下：</w:t>
            </w:r>
          </w:p>
          <w:p w14:paraId="43B6DAB1">
            <w:pPr>
              <w:keepNext w:val="0"/>
              <w:keepLines w:val="0"/>
              <w:suppressLineNumbers w:val="0"/>
              <w:spacing w:before="0" w:beforeAutospacing="0" w:after="0" w:afterAutospacing="0"/>
              <w:ind w:left="0" w:right="0"/>
              <w:jc w:val="center"/>
              <w:rPr>
                <w:rFonts w:hint="default"/>
                <w:b/>
                <w:color w:val="000000" w:themeColor="text1"/>
                <w:sz w:val="24"/>
                <w:szCs w:val="20"/>
                <w:highlight w:val="none"/>
                <w14:textFill>
                  <w14:solidFill>
                    <w14:schemeClr w14:val="tx1"/>
                  </w14:solidFill>
                </w14:textFill>
              </w:rPr>
            </w:pPr>
            <w:r>
              <w:rPr>
                <w:rFonts w:hint="default"/>
                <w:b/>
                <w:color w:val="000000" w:themeColor="text1"/>
                <w:sz w:val="24"/>
                <w:szCs w:val="20"/>
                <w:highlight w:val="none"/>
                <w14:textFill>
                  <w14:solidFill>
                    <w14:schemeClr w14:val="tx1"/>
                  </w14:solidFill>
                </w14:textFill>
              </w:rPr>
              <w:t>表2-</w:t>
            </w:r>
            <w:r>
              <w:rPr>
                <w:rFonts w:hint="eastAsia"/>
                <w:b/>
                <w:color w:val="000000" w:themeColor="text1"/>
                <w:sz w:val="24"/>
                <w:szCs w:val="20"/>
                <w:highlight w:val="none"/>
                <w:lang w:val="en-US" w:eastAsia="zh-CN"/>
                <w14:textFill>
                  <w14:solidFill>
                    <w14:schemeClr w14:val="tx1"/>
                  </w14:solidFill>
                </w14:textFill>
              </w:rPr>
              <w:t>5</w:t>
            </w:r>
            <w:r>
              <w:rPr>
                <w:rFonts w:hint="default"/>
                <w:b/>
                <w:color w:val="000000" w:themeColor="text1"/>
                <w:sz w:val="24"/>
                <w:szCs w:val="20"/>
                <w:highlight w:val="none"/>
                <w14:textFill>
                  <w14:solidFill>
                    <w14:schemeClr w14:val="tx1"/>
                  </w14:solidFill>
                </w14:textFill>
              </w:rPr>
              <w:t xml:space="preserve">  </w:t>
            </w:r>
            <w:r>
              <w:rPr>
                <w:rFonts w:hint="eastAsia"/>
                <w:b/>
                <w:color w:val="000000" w:themeColor="text1"/>
                <w:sz w:val="24"/>
                <w:szCs w:val="20"/>
                <w:highlight w:val="none"/>
                <w:lang w:val="en-US" w:eastAsia="zh-CN" w:bidi="en-US"/>
                <w14:textFill>
                  <w14:solidFill>
                    <w14:schemeClr w14:val="tx1"/>
                  </w14:solidFill>
                </w14:textFill>
              </w:rPr>
              <w:t>改性磷石膏</w:t>
            </w:r>
            <w:r>
              <w:rPr>
                <w:rFonts w:hint="eastAsia"/>
                <w:b/>
                <w:color w:val="000000" w:themeColor="text1"/>
                <w:sz w:val="24"/>
                <w:szCs w:val="20"/>
                <w:highlight w:val="none"/>
                <w:lang w:bidi="en-US"/>
                <w14:textFill>
                  <w14:solidFill>
                    <w14:schemeClr w14:val="tx1"/>
                  </w14:solidFill>
                </w14:textFill>
              </w:rPr>
              <w:t>检测结果</w:t>
            </w:r>
            <w:r>
              <w:rPr>
                <w:rFonts w:hint="eastAsia"/>
                <w:b/>
                <w:color w:val="000000" w:themeColor="text1"/>
                <w:sz w:val="24"/>
                <w:szCs w:val="20"/>
                <w:highlight w:val="none"/>
                <w:lang w:val="en-US" w:eastAsia="zh-CN" w:bidi="en-US"/>
                <w14:textFill>
                  <w14:solidFill>
                    <w14:schemeClr w14:val="tx1"/>
                  </w14:solidFill>
                </w14:textFill>
              </w:rPr>
              <w:t xml:space="preserve">一览表     </w:t>
            </w:r>
            <w:r>
              <w:rPr>
                <w:rFonts w:hint="eastAsia"/>
                <w:b/>
                <w:color w:val="000000" w:themeColor="text1"/>
                <w:sz w:val="24"/>
                <w:szCs w:val="20"/>
                <w:highlight w:val="none"/>
                <w:lang w:bidi="en-US"/>
                <w14:textFill>
                  <w14:solidFill>
                    <w14:schemeClr w14:val="tx1"/>
                  </w14:solidFill>
                </w14:textFill>
              </w:rPr>
              <w:t>单位：mg/L</w:t>
            </w:r>
          </w:p>
          <w:p w14:paraId="6FD22006">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kern w:val="2"/>
                <w:sz w:val="24"/>
                <w:szCs w:val="24"/>
                <w:highlight w:val="none"/>
                <w:lang w:val="en-US"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***涉密删除***</w:t>
            </w:r>
          </w:p>
          <w:p w14:paraId="0483667E">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检测结果表明，改性磷石膏浸出液中pH值及6项污染物指标（总汞、总镉、总砷、总铅、磷酸盐、氟化物）均满足《污水综合排放标准》（GB 8978-1996）一级标准限值要求，浸出液环境风险可控。</w:t>
            </w:r>
          </w:p>
          <w:p w14:paraId="1589FAB4">
            <w:pPr>
              <w:keepNext w:val="0"/>
              <w:keepLines w:val="0"/>
              <w:suppressLineNumbers w:val="0"/>
              <w:autoSpaceDE/>
              <w:autoSpaceDN/>
              <w:spacing w:before="0" w:beforeAutospacing="0" w:after="0" w:afterAutospacing="0" w:line="360" w:lineRule="auto"/>
              <w:ind w:left="0" w:right="0" w:firstLine="480" w:firstLineChars="200"/>
              <w:jc w:val="left"/>
              <w:rPr>
                <w:rFonts w:hint="default"/>
                <w:bCs/>
                <w:color w:val="000000" w:themeColor="text1"/>
                <w:sz w:val="24"/>
                <w:szCs w:val="20"/>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t>为确保环境安全，依据本项目确定的改性工艺及质量控制要求，提出以下质量管控措施：每批次改性磷石膏出厂前须经第三方检测，确认浸出液指标符合GB 8978-1996一级标准；改性剂添加比例控制在</w:t>
            </w:r>
            <w:r>
              <w:rPr>
                <w:rFonts w:hint="eastAsia"/>
                <w:color w:val="000000" w:themeColor="text1"/>
                <w:sz w:val="24"/>
                <w:szCs w:val="22"/>
                <w:highlight w:val="none"/>
                <w:lang w:eastAsia="zh-CN"/>
                <w14:textFill>
                  <w14:solidFill>
                    <w14:schemeClr w14:val="tx1"/>
                  </w14:solidFill>
                </w14:textFill>
              </w:rPr>
              <w:t>6</w:t>
            </w:r>
            <w:r>
              <w:rPr>
                <w:rFonts w:hint="eastAsia"/>
                <w:color w:val="000000" w:themeColor="text1"/>
                <w:sz w:val="24"/>
                <w:szCs w:val="22"/>
                <w:highlight w:val="none"/>
                <w14:textFill>
                  <w14:solidFill>
                    <w14:schemeClr w14:val="tx1"/>
                  </w14:solidFill>
                </w14:textFill>
              </w:rPr>
              <w:t>%左右，经</w:t>
            </w:r>
            <w:r>
              <w:rPr>
                <w:rFonts w:hint="eastAsia"/>
                <w:color w:val="000000" w:themeColor="text1"/>
                <w:sz w:val="24"/>
                <w:szCs w:val="22"/>
                <w:highlight w:val="none"/>
                <w:lang w:val="en-US" w:eastAsia="zh-CN"/>
                <w14:textFill>
                  <w14:solidFill>
                    <w14:schemeClr w14:val="tx1"/>
                  </w14:solidFill>
                </w14:textFill>
              </w:rPr>
              <w:t>3</w:t>
            </w:r>
            <w:r>
              <w:rPr>
                <w:rFonts w:hint="eastAsia"/>
                <w:color w:val="000000" w:themeColor="text1"/>
                <w:sz w:val="24"/>
                <w:szCs w:val="22"/>
                <w:highlight w:val="none"/>
                <w14:textFill>
                  <w14:solidFill>
                    <w14:schemeClr w14:val="tx1"/>
                  </w14:solidFill>
                </w14:textFill>
              </w:rPr>
              <w:t>天熟化养护后取样检测；严禁掺入除工艺必需改性剂外的其他固体废物，禁止混入危险废物、放射性废物、生活垃圾及有机物含量＞5%的一般工业固体废物；危险废物属性、放射性及重金属总量等指标需依据专项检测报告综合判定，合格后方可外运用于矿山废弃地回填。</w:t>
            </w:r>
          </w:p>
          <w:p w14:paraId="5C07D717">
            <w:pPr>
              <w:keepNext w:val="0"/>
              <w:keepLines w:val="0"/>
              <w:suppressLineNumbers w:val="0"/>
              <w:spacing w:before="0" w:beforeAutospacing="0" w:after="0" w:afterAutospacing="0" w:line="360" w:lineRule="auto"/>
              <w:ind w:left="0" w:right="0" w:firstLine="562" w:firstLineChars="200"/>
              <w:rPr>
                <w:rFonts w:hint="default"/>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2.6</w:t>
            </w:r>
            <w:r>
              <w:rPr>
                <w:rFonts w:hint="default"/>
                <w:b/>
                <w:bCs/>
                <w:color w:val="000000" w:themeColor="text1"/>
                <w:sz w:val="28"/>
                <w:szCs w:val="28"/>
                <w:highlight w:val="none"/>
                <w14:textFill>
                  <w14:solidFill>
                    <w14:schemeClr w14:val="tx1"/>
                  </w14:solidFill>
                </w14:textFill>
              </w:rPr>
              <w:t>原辅材料及能源消耗情况</w:t>
            </w:r>
          </w:p>
          <w:p w14:paraId="52ECEE1E">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（1）磷石膏</w:t>
            </w:r>
          </w:p>
          <w:p w14:paraId="776CF776">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项目原材料磷石膏来源于云南常青树化工有限公司</w:t>
            </w:r>
            <w:r>
              <w:rPr>
                <w:rFonts w:hint="eastAsia"/>
                <w:color w:val="000000" w:themeColor="text1"/>
                <w:sz w:val="24"/>
                <w:szCs w:val="20"/>
                <w:highlight w:val="none"/>
                <w:lang w:val="en-US" w:eastAsia="zh-CN"/>
                <w14:textFill>
                  <w14:solidFill>
                    <w14:schemeClr w14:val="tx1"/>
                  </w14:solidFill>
                </w14:textFill>
              </w:rPr>
              <w:t>磷石膏渣库暂存的磷石膏</w:t>
            </w:r>
            <w:r>
              <w:rPr>
                <w:rFonts w:hint="default"/>
                <w:color w:val="000000" w:themeColor="text1"/>
                <w:sz w:val="24"/>
                <w:szCs w:val="20"/>
                <w:highlight w:val="none"/>
                <w14:textFill>
                  <w14:solidFill>
                    <w14:schemeClr w14:val="tx1"/>
                  </w14:solidFill>
                </w14:textFill>
              </w:rPr>
              <w:t>，</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根据《寻甸县常青树磷石膏库堆渣体积复核项目物探勘察中间成果》（</w:t>
            </w: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详见附件</w:t>
            </w:r>
            <w:r>
              <w:rPr>
                <w:rFonts w:hint="eastAsia" w:cs="Times New Roman"/>
                <w:color w:val="000000" w:themeColor="text1"/>
                <w:sz w:val="24"/>
                <w:szCs w:val="20"/>
                <w:highlight w:val="none"/>
                <w:lang w:val="en-US" w:eastAsia="zh-CN"/>
                <w14:textFill>
                  <w14:solidFill>
                    <w14:schemeClr w14:val="tx1"/>
                  </w14:solidFill>
                </w14:textFill>
              </w:rPr>
              <w:t>8、9</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w:t>
            </w:r>
            <w:r>
              <w:rPr>
                <w:rFonts w:hint="eastAsia" w:cs="Times New Roman"/>
                <w:color w:val="000000" w:themeColor="text1"/>
                <w:sz w:val="24"/>
                <w:szCs w:val="20"/>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最终确定云南常青树化工有限公司磷石膏渣场堆存量为115.3万立方米</w:t>
            </w:r>
            <w:r>
              <w:rPr>
                <w:rFonts w:hint="eastAsia" w:cs="Times New Roman"/>
                <w:color w:val="000000" w:themeColor="text1"/>
                <w:sz w:val="24"/>
                <w:szCs w:val="20"/>
                <w:highlight w:val="none"/>
                <w:lang w:val="en-US"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161.42万</w:t>
            </w:r>
            <w:r>
              <w:rPr>
                <w:rFonts w:hint="eastAsia"/>
                <w:color w:val="000000" w:themeColor="text1"/>
                <w:sz w:val="24"/>
                <w:szCs w:val="24"/>
                <w:highlight w:val="none"/>
                <w14:textFill>
                  <w14:solidFill>
                    <w14:schemeClr w14:val="tx1"/>
                  </w14:solidFill>
                </w14:textFill>
              </w:rPr>
              <w:t>t</w:t>
            </w:r>
            <w:r>
              <w:rPr>
                <w:rFonts w:hint="eastAsia" w:cs="Times New Roman"/>
                <w:color w:val="000000" w:themeColor="text1"/>
                <w:sz w:val="24"/>
                <w:szCs w:val="20"/>
                <w:highlight w:val="none"/>
                <w:lang w:val="en-US" w:eastAsia="zh-CN"/>
                <w14:textFill>
                  <w14:solidFill>
                    <w14:schemeClr w14:val="tx1"/>
                  </w14:solidFill>
                </w14:textFill>
              </w:rPr>
              <w:t>），本项目原材料磷石膏总处理量为</w:t>
            </w:r>
            <w:r>
              <w:rPr>
                <w:rFonts w:hint="eastAsia"/>
                <w:color w:val="000000" w:themeColor="text1"/>
                <w:sz w:val="24"/>
                <w:szCs w:val="24"/>
                <w:highlight w:val="none"/>
                <w:lang w:val="en-US" w:eastAsia="zh-CN"/>
                <w14:textFill>
                  <w14:solidFill>
                    <w14:schemeClr w14:val="tx1"/>
                  </w14:solidFill>
                </w14:textFill>
              </w:rPr>
              <w:t>161.42万</w:t>
            </w:r>
            <w:r>
              <w:rPr>
                <w:rFonts w:hint="eastAsia"/>
                <w:color w:val="000000" w:themeColor="text1"/>
                <w:sz w:val="24"/>
                <w:szCs w:val="24"/>
                <w:highlight w:val="none"/>
                <w14:textFill>
                  <w14:solidFill>
                    <w14:schemeClr w14:val="tx1"/>
                  </w14:solidFill>
                </w14:textFill>
              </w:rPr>
              <w:t>t</w:t>
            </w:r>
            <w:r>
              <w:rPr>
                <w:rFonts w:hint="default"/>
                <w:color w:val="000000" w:themeColor="text1"/>
                <w:sz w:val="24"/>
                <w:szCs w:val="24"/>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主要成分为二水石膏（CaSO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·2H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O），呈弱酸性，灰白色粉状。磷石膏由汽车直接运输至本项目全封闭改性车间原料库内暂存。磷石膏密度约2.3g/cm³，含少量P₂O₅、F及未分解磷矿等杂质。</w:t>
            </w:r>
          </w:p>
          <w:p w14:paraId="702607CE">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（2）改性剂</w:t>
            </w:r>
          </w:p>
          <w:p w14:paraId="459D97AE">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本项目改性剂由生石灰与专用固化剂组成，均为外购工业级无机材料，不含危险废物、放射性废物及有机物含量＞5%的一般工业固体废物，亦不含有毒有害重金属及持久性有机污染物。</w:t>
            </w:r>
          </w:p>
          <w:p w14:paraId="68544F53">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根据《磷石膏改性施工方案》，</w:t>
            </w:r>
            <w:r>
              <w:rPr>
                <w:rFonts w:hint="eastAsia"/>
                <w:color w:val="000000" w:themeColor="text1"/>
                <w:sz w:val="24"/>
                <w:szCs w:val="20"/>
                <w:highlight w:val="none"/>
                <w:lang w:val="en-US" w:eastAsia="zh-CN"/>
                <w14:textFill>
                  <w14:solidFill>
                    <w14:schemeClr w14:val="tx1"/>
                  </w14:solidFill>
                </w14:textFill>
              </w:rPr>
              <w:t>本项目原辅材料</w:t>
            </w:r>
            <w:r>
              <w:rPr>
                <w:rFonts w:hint="eastAsia"/>
                <w:color w:val="000000" w:themeColor="text1"/>
                <w:sz w:val="24"/>
                <w:szCs w:val="20"/>
                <w:highlight w:val="none"/>
                <w14:textFill>
                  <w14:solidFill>
                    <w14:schemeClr w14:val="tx1"/>
                  </w14:solidFill>
                </w14:textFill>
              </w:rPr>
              <w:t>年</w:t>
            </w:r>
            <w:r>
              <w:rPr>
                <w:rFonts w:hint="eastAsia"/>
                <w:color w:val="000000" w:themeColor="text1"/>
                <w:sz w:val="24"/>
                <w:szCs w:val="20"/>
                <w:highlight w:val="none"/>
                <w:lang w:val="en-US" w:eastAsia="zh-CN"/>
                <w14:textFill>
                  <w14:solidFill>
                    <w14:schemeClr w14:val="tx1"/>
                  </w14:solidFill>
                </w14:textFill>
              </w:rPr>
              <w:t>总</w:t>
            </w:r>
            <w:r>
              <w:rPr>
                <w:rFonts w:hint="eastAsia"/>
                <w:color w:val="000000" w:themeColor="text1"/>
                <w:sz w:val="24"/>
                <w:szCs w:val="20"/>
                <w:highlight w:val="none"/>
                <w14:textFill>
                  <w14:solidFill>
                    <w14:schemeClr w14:val="tx1"/>
                  </w14:solidFill>
                </w14:textFill>
              </w:rPr>
              <w:t>消耗量如下：</w:t>
            </w:r>
          </w:p>
          <w:p w14:paraId="6DF22C60">
            <w:pPr>
              <w:keepNext w:val="0"/>
              <w:keepLines w:val="0"/>
              <w:suppressLineNumbers w:val="0"/>
              <w:spacing w:before="0" w:beforeAutospacing="0" w:after="0" w:afterAutospacing="0"/>
              <w:ind w:left="0" w:right="0"/>
              <w:jc w:val="center"/>
              <w:rPr>
                <w:rFonts w:hint="default"/>
                <w:b/>
                <w:color w:val="000000" w:themeColor="text1"/>
                <w:sz w:val="24"/>
                <w:szCs w:val="20"/>
                <w:highlight w:val="none"/>
                <w14:textFill>
                  <w14:solidFill>
                    <w14:schemeClr w14:val="tx1"/>
                  </w14:solidFill>
                </w14:textFill>
              </w:rPr>
            </w:pPr>
            <w:r>
              <w:rPr>
                <w:rFonts w:hint="default"/>
                <w:b/>
                <w:color w:val="000000" w:themeColor="text1"/>
                <w:sz w:val="24"/>
                <w:szCs w:val="20"/>
                <w:highlight w:val="none"/>
                <w14:textFill>
                  <w14:solidFill>
                    <w14:schemeClr w14:val="tx1"/>
                  </w14:solidFill>
                </w14:textFill>
              </w:rPr>
              <w:t>表2-</w:t>
            </w:r>
            <w:r>
              <w:rPr>
                <w:rFonts w:hint="eastAsia"/>
                <w:b/>
                <w:color w:val="000000" w:themeColor="text1"/>
                <w:sz w:val="24"/>
                <w:szCs w:val="20"/>
                <w:highlight w:val="none"/>
                <w:lang w:val="en-US" w:eastAsia="zh-CN"/>
                <w14:textFill>
                  <w14:solidFill>
                    <w14:schemeClr w14:val="tx1"/>
                  </w14:solidFill>
                </w14:textFill>
              </w:rPr>
              <w:t>6</w:t>
            </w:r>
            <w:r>
              <w:rPr>
                <w:rFonts w:hint="default"/>
                <w:b/>
                <w:color w:val="000000" w:themeColor="text1"/>
                <w:sz w:val="24"/>
                <w:szCs w:val="20"/>
                <w:highlight w:val="none"/>
                <w14:textFill>
                  <w14:solidFill>
                    <w14:schemeClr w14:val="tx1"/>
                  </w14:solidFill>
                </w14:textFill>
              </w:rPr>
              <w:t xml:space="preserve">  </w:t>
            </w:r>
            <w:r>
              <w:rPr>
                <w:rFonts w:hint="eastAsia"/>
                <w:b/>
                <w:color w:val="000000" w:themeColor="text1"/>
                <w:sz w:val="24"/>
                <w:szCs w:val="20"/>
                <w:highlight w:val="none"/>
                <w14:textFill>
                  <w14:solidFill>
                    <w14:schemeClr w14:val="tx1"/>
                  </w14:solidFill>
                </w14:textFill>
              </w:rPr>
              <w:t>本工程</w:t>
            </w:r>
            <w:r>
              <w:rPr>
                <w:rFonts w:hint="default"/>
                <w:b/>
                <w:color w:val="000000" w:themeColor="text1"/>
                <w:sz w:val="24"/>
                <w:szCs w:val="20"/>
                <w:highlight w:val="none"/>
                <w14:textFill>
                  <w14:solidFill>
                    <w14:schemeClr w14:val="tx1"/>
                  </w14:solidFill>
                </w14:textFill>
              </w:rPr>
              <w:t>主要原辅料及能源消耗一览表</w:t>
            </w:r>
          </w:p>
          <w:tbl>
            <w:tblPr>
              <w:tblStyle w:val="44"/>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4"/>
              <w:gridCol w:w="883"/>
              <w:gridCol w:w="1579"/>
              <w:gridCol w:w="1718"/>
              <w:gridCol w:w="3410"/>
            </w:tblGrid>
            <w:tr w14:paraId="7DFB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14:paraId="32E79B1A">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产品</w:t>
                  </w:r>
                </w:p>
              </w:tc>
              <w:tc>
                <w:tcPr>
                  <w:tcW w:w="883" w:type="dxa"/>
                  <w:tcBorders>
                    <w:top w:val="single" w:color="000000" w:sz="4" w:space="0"/>
                    <w:left w:val="single" w:color="000000" w:sz="4" w:space="0"/>
                    <w:bottom w:val="single" w:color="000000" w:sz="4" w:space="0"/>
                    <w:right w:val="single" w:color="000000" w:sz="4" w:space="0"/>
                  </w:tcBorders>
                  <w:vAlign w:val="center"/>
                </w:tcPr>
                <w:p w14:paraId="37D237E2">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类别</w:t>
                  </w:r>
                </w:p>
              </w:tc>
              <w:tc>
                <w:tcPr>
                  <w:tcW w:w="1579" w:type="dxa"/>
                  <w:tcBorders>
                    <w:top w:val="single" w:color="000000" w:sz="4" w:space="0"/>
                    <w:left w:val="single" w:color="000000" w:sz="4" w:space="0"/>
                    <w:bottom w:val="single" w:color="000000" w:sz="4" w:space="0"/>
                    <w:right w:val="single" w:color="000000" w:sz="4" w:space="0"/>
                  </w:tcBorders>
                  <w:vAlign w:val="center"/>
                </w:tcPr>
                <w:p w14:paraId="7FDBFA13">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名称</w:t>
                  </w:r>
                </w:p>
              </w:tc>
              <w:tc>
                <w:tcPr>
                  <w:tcW w:w="1718" w:type="dxa"/>
                  <w:tcBorders>
                    <w:top w:val="single" w:color="000000" w:sz="4" w:space="0"/>
                    <w:left w:val="single" w:color="000000" w:sz="4" w:space="0"/>
                    <w:bottom w:val="single" w:color="000000" w:sz="4" w:space="0"/>
                    <w:right w:val="single" w:color="000000" w:sz="4" w:space="0"/>
                  </w:tcBorders>
                  <w:vAlign w:val="center"/>
                </w:tcPr>
                <w:p w14:paraId="09A5C797">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年耗量</w:t>
                  </w:r>
                </w:p>
              </w:tc>
              <w:tc>
                <w:tcPr>
                  <w:tcW w:w="3410" w:type="dxa"/>
                  <w:tcBorders>
                    <w:top w:val="single" w:color="000000" w:sz="4" w:space="0"/>
                    <w:left w:val="single" w:color="000000" w:sz="4" w:space="0"/>
                    <w:bottom w:val="single" w:color="000000" w:sz="4" w:space="0"/>
                    <w:right w:val="single" w:color="000000" w:sz="4" w:space="0"/>
                  </w:tcBorders>
                  <w:vAlign w:val="center"/>
                </w:tcPr>
                <w:p w14:paraId="046BD9C3">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备注</w:t>
                  </w:r>
                </w:p>
              </w:tc>
            </w:tr>
            <w:tr w14:paraId="2CA60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14" w:type="dxa"/>
                  <w:vMerge w:val="restart"/>
                  <w:tcBorders>
                    <w:top w:val="single" w:color="000000" w:sz="4" w:space="0"/>
                    <w:left w:val="single" w:color="000000" w:sz="4" w:space="0"/>
                    <w:right w:val="single" w:color="000000" w:sz="4" w:space="0"/>
                  </w:tcBorders>
                  <w:vAlign w:val="center"/>
                </w:tcPr>
                <w:p w14:paraId="7C86FBB8">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生态修复材料</w:t>
                  </w:r>
                </w:p>
              </w:tc>
              <w:tc>
                <w:tcPr>
                  <w:tcW w:w="883" w:type="dxa"/>
                  <w:tcBorders>
                    <w:top w:val="single" w:color="000000" w:sz="4" w:space="0"/>
                    <w:left w:val="single" w:color="000000" w:sz="4" w:space="0"/>
                    <w:right w:val="single" w:color="000000" w:sz="4" w:space="0"/>
                  </w:tcBorders>
                  <w:vAlign w:val="center"/>
                </w:tcPr>
                <w:p w14:paraId="0D759E6C">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原料</w:t>
                  </w:r>
                </w:p>
              </w:tc>
              <w:tc>
                <w:tcPr>
                  <w:tcW w:w="1579" w:type="dxa"/>
                  <w:tcBorders>
                    <w:top w:val="single" w:color="000000" w:sz="4" w:space="0"/>
                    <w:left w:val="single" w:color="000000" w:sz="4" w:space="0"/>
                    <w:bottom w:val="single" w:color="000000" w:sz="4" w:space="0"/>
                    <w:right w:val="single" w:color="000000" w:sz="4" w:space="0"/>
                  </w:tcBorders>
                  <w:vAlign w:val="center"/>
                </w:tcPr>
                <w:p w14:paraId="6E9E75B8">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磷石膏</w:t>
                  </w:r>
                </w:p>
              </w:tc>
              <w:tc>
                <w:tcPr>
                  <w:tcW w:w="1718" w:type="dxa"/>
                  <w:tcBorders>
                    <w:top w:val="single" w:color="000000" w:sz="4" w:space="0"/>
                    <w:left w:val="single" w:color="000000" w:sz="4" w:space="0"/>
                    <w:bottom w:val="single" w:color="000000" w:sz="4" w:space="0"/>
                    <w:right w:val="single" w:color="000000" w:sz="4" w:space="0"/>
                  </w:tcBorders>
                  <w:vAlign w:val="center"/>
                </w:tcPr>
                <w:p w14:paraId="183970D8">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161.42</w:t>
                  </w:r>
                  <w:r>
                    <w:rPr>
                      <w:rFonts w:hint="default" w:ascii="Times New Roman" w:hAnsi="Times New Roman" w:eastAsia="宋体" w:cs="Times New Roman"/>
                      <w:color w:val="000000" w:themeColor="text1"/>
                      <w:sz w:val="21"/>
                      <w:szCs w:val="21"/>
                      <w:highlight w:val="none"/>
                      <w14:textFill>
                        <w14:solidFill>
                          <w14:schemeClr w14:val="tx1"/>
                        </w14:solidFill>
                      </w14:textFill>
                    </w:rPr>
                    <w:t>万t</w:t>
                  </w:r>
                </w:p>
              </w:tc>
              <w:tc>
                <w:tcPr>
                  <w:tcW w:w="3410" w:type="dxa"/>
                  <w:tcBorders>
                    <w:top w:val="single" w:color="000000" w:sz="4" w:space="0"/>
                    <w:left w:val="single" w:color="000000" w:sz="4" w:space="0"/>
                    <w:bottom w:val="single" w:color="000000" w:sz="4" w:space="0"/>
                    <w:right w:val="single" w:color="000000" w:sz="4" w:space="0"/>
                  </w:tcBorders>
                  <w:vAlign w:val="center"/>
                </w:tcPr>
                <w:p w14:paraId="2E28819A">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来源于云南常青树化工有限公司磷石膏渣场现存库存</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常青树公司新产生的磷石膏不在本次改性工程内</w:t>
                  </w:r>
                </w:p>
              </w:tc>
            </w:tr>
            <w:tr w14:paraId="6F089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14" w:type="dxa"/>
                  <w:vMerge w:val="continue"/>
                  <w:tcBorders>
                    <w:left w:val="single" w:color="000000" w:sz="4" w:space="0"/>
                    <w:right w:val="single" w:color="000000" w:sz="4" w:space="0"/>
                  </w:tcBorders>
                  <w:vAlign w:val="center"/>
                </w:tcPr>
                <w:p w14:paraId="02B1BADD">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p>
              </w:tc>
              <w:tc>
                <w:tcPr>
                  <w:tcW w:w="883" w:type="dxa"/>
                  <w:vMerge w:val="restart"/>
                  <w:tcBorders>
                    <w:top w:val="single" w:color="000000" w:sz="4" w:space="0"/>
                    <w:left w:val="single" w:color="000000" w:sz="4" w:space="0"/>
                    <w:right w:val="single" w:color="000000" w:sz="4" w:space="0"/>
                  </w:tcBorders>
                  <w:vAlign w:val="center"/>
                </w:tcPr>
                <w:p w14:paraId="26160B25">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辅料</w:t>
                  </w:r>
                </w:p>
              </w:tc>
              <w:tc>
                <w:tcPr>
                  <w:tcW w:w="1579" w:type="dxa"/>
                  <w:tcBorders>
                    <w:top w:val="single" w:color="000000" w:sz="4" w:space="0"/>
                    <w:left w:val="single" w:color="000000" w:sz="4" w:space="0"/>
                    <w:bottom w:val="single" w:color="000000" w:sz="4" w:space="0"/>
                    <w:right w:val="single" w:color="000000" w:sz="4" w:space="0"/>
                  </w:tcBorders>
                  <w:vAlign w:val="center"/>
                </w:tcPr>
                <w:p w14:paraId="6F1A293C">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固化剂</w:t>
                  </w:r>
                </w:p>
              </w:tc>
              <w:tc>
                <w:tcPr>
                  <w:tcW w:w="1718" w:type="dxa"/>
                  <w:tcBorders>
                    <w:top w:val="single" w:color="000000" w:sz="4" w:space="0"/>
                    <w:left w:val="single" w:color="000000" w:sz="4" w:space="0"/>
                    <w:bottom w:val="single" w:color="000000" w:sz="4" w:space="0"/>
                    <w:right w:val="single" w:color="000000" w:sz="4" w:space="0"/>
                  </w:tcBorders>
                  <w:vAlign w:val="center"/>
                </w:tcPr>
                <w:p w14:paraId="53D6B585">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6.46万t</w:t>
                  </w:r>
                </w:p>
              </w:tc>
              <w:tc>
                <w:tcPr>
                  <w:tcW w:w="3410" w:type="dxa"/>
                  <w:tcBorders>
                    <w:top w:val="single" w:color="000000" w:sz="4" w:space="0"/>
                    <w:left w:val="single" w:color="000000" w:sz="4" w:space="0"/>
                    <w:bottom w:val="single" w:color="000000" w:sz="4" w:space="0"/>
                    <w:right w:val="single" w:color="000000" w:sz="4" w:space="0"/>
                  </w:tcBorders>
                  <w:vAlign w:val="center"/>
                </w:tcPr>
                <w:p w14:paraId="019B7AA7">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外购，添加比例4%</w:t>
                  </w:r>
                </w:p>
              </w:tc>
            </w:tr>
            <w:tr w14:paraId="198D1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14" w:type="dxa"/>
                  <w:vMerge w:val="continue"/>
                  <w:tcBorders>
                    <w:left w:val="single" w:color="000000" w:sz="4" w:space="0"/>
                    <w:right w:val="single" w:color="000000" w:sz="4" w:space="0"/>
                  </w:tcBorders>
                  <w:vAlign w:val="center"/>
                </w:tcPr>
                <w:p w14:paraId="3244D8AD">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p>
              </w:tc>
              <w:tc>
                <w:tcPr>
                  <w:tcW w:w="883" w:type="dxa"/>
                  <w:vMerge w:val="continue"/>
                  <w:tcBorders>
                    <w:left w:val="single" w:color="000000" w:sz="4" w:space="0"/>
                    <w:right w:val="single" w:color="000000" w:sz="4" w:space="0"/>
                  </w:tcBorders>
                  <w:vAlign w:val="center"/>
                </w:tcPr>
                <w:p w14:paraId="6B3B1312">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vAlign w:val="center"/>
                </w:tcPr>
                <w:p w14:paraId="50AA8817">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生石灰</w:t>
                  </w:r>
                </w:p>
              </w:tc>
              <w:tc>
                <w:tcPr>
                  <w:tcW w:w="1718" w:type="dxa"/>
                  <w:tcBorders>
                    <w:top w:val="single" w:color="000000" w:sz="4" w:space="0"/>
                    <w:left w:val="single" w:color="000000" w:sz="4" w:space="0"/>
                    <w:bottom w:val="single" w:color="000000" w:sz="4" w:space="0"/>
                    <w:right w:val="single" w:color="000000" w:sz="4" w:space="0"/>
                  </w:tcBorders>
                  <w:vAlign w:val="center"/>
                </w:tcPr>
                <w:p w14:paraId="79AE3098">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3.23万t</w:t>
                  </w:r>
                </w:p>
              </w:tc>
              <w:tc>
                <w:tcPr>
                  <w:tcW w:w="3410" w:type="dxa"/>
                  <w:tcBorders>
                    <w:top w:val="single" w:color="000000" w:sz="4" w:space="0"/>
                    <w:left w:val="single" w:color="000000" w:sz="4" w:space="0"/>
                    <w:bottom w:val="single" w:color="000000" w:sz="4" w:space="0"/>
                    <w:right w:val="single" w:color="000000" w:sz="4" w:space="0"/>
                  </w:tcBorders>
                  <w:vAlign w:val="center"/>
                </w:tcPr>
                <w:p w14:paraId="5CDBECDE">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外购，添加比例2%</w:t>
                  </w:r>
                </w:p>
              </w:tc>
            </w:tr>
            <w:tr w14:paraId="41F1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797" w:type="dxa"/>
                  <w:gridSpan w:val="2"/>
                  <w:tcBorders>
                    <w:top w:val="single" w:color="000000" w:sz="4" w:space="0"/>
                    <w:left w:val="single" w:color="000000" w:sz="4" w:space="0"/>
                    <w:right w:val="single" w:color="000000" w:sz="4" w:space="0"/>
                  </w:tcBorders>
                  <w:vAlign w:val="center"/>
                </w:tcPr>
                <w:p w14:paraId="34CDDF24">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能源</w:t>
                  </w:r>
                </w:p>
              </w:tc>
              <w:tc>
                <w:tcPr>
                  <w:tcW w:w="1579" w:type="dxa"/>
                  <w:tcBorders>
                    <w:top w:val="single" w:color="000000" w:sz="4" w:space="0"/>
                    <w:left w:val="single" w:color="000000" w:sz="4" w:space="0"/>
                    <w:bottom w:val="single" w:color="000000" w:sz="4" w:space="0"/>
                    <w:right w:val="single" w:color="000000" w:sz="4" w:space="0"/>
                  </w:tcBorders>
                  <w:vAlign w:val="center"/>
                </w:tcPr>
                <w:p w14:paraId="7D726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w:t>
                  </w:r>
                </w:p>
              </w:tc>
              <w:tc>
                <w:tcPr>
                  <w:tcW w:w="1718" w:type="dxa"/>
                  <w:tcBorders>
                    <w:top w:val="single" w:color="000000" w:sz="4" w:space="0"/>
                    <w:left w:val="single" w:color="000000" w:sz="4" w:space="0"/>
                    <w:bottom w:val="single" w:color="000000" w:sz="4" w:space="0"/>
                    <w:right w:val="single" w:color="000000" w:sz="4" w:space="0"/>
                  </w:tcBorders>
                  <w:vAlign w:val="center"/>
                </w:tcPr>
                <w:p w14:paraId="7E260DFB">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23万度</w:t>
                  </w:r>
                </w:p>
              </w:tc>
              <w:tc>
                <w:tcPr>
                  <w:tcW w:w="3410" w:type="dxa"/>
                  <w:tcBorders>
                    <w:top w:val="single" w:color="000000" w:sz="4" w:space="0"/>
                    <w:left w:val="single" w:color="000000" w:sz="4" w:space="0"/>
                    <w:bottom w:val="single" w:color="000000" w:sz="4" w:space="0"/>
                    <w:right w:val="single" w:color="000000" w:sz="4" w:space="0"/>
                  </w:tcBorders>
                  <w:vAlign w:val="center"/>
                </w:tcPr>
                <w:p w14:paraId="64251DD2">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依托租赁场地现有电路</w:t>
                  </w:r>
                </w:p>
              </w:tc>
            </w:tr>
          </w:tbl>
          <w:p w14:paraId="02722391">
            <w:pPr>
              <w:keepNext w:val="0"/>
              <w:keepLines w:val="0"/>
              <w:suppressLineNumbers w:val="0"/>
              <w:spacing w:before="0" w:beforeLines="-2147483648" w:beforeAutospacing="0" w:after="0" w:afterAutospacing="0" w:line="360" w:lineRule="auto"/>
              <w:ind w:left="0" w:right="0" w:firstLine="480" w:firstLineChars="200"/>
              <w:rPr>
                <w:rFonts w:hint="default"/>
                <w:color w:val="000000" w:themeColor="text1"/>
                <w:sz w:val="24"/>
                <w:szCs w:val="22"/>
                <w:highlight w:val="none"/>
                <w14:textFill>
                  <w14:solidFill>
                    <w14:schemeClr w14:val="tx1"/>
                  </w14:solidFill>
                </w14:textFill>
              </w:rPr>
            </w:pPr>
            <w:r>
              <w:rPr>
                <w:rFonts w:hint="default"/>
                <w:color w:val="000000" w:themeColor="text1"/>
                <w:sz w:val="24"/>
                <w:szCs w:val="22"/>
                <w:highlight w:val="none"/>
                <w14:textFill>
                  <w14:solidFill>
                    <w14:schemeClr w14:val="tx1"/>
                  </w14:solidFill>
                </w14:textFill>
              </w:rPr>
              <w:t>改性剂总添加量约9.69万t/a，按磷石膏年处理量161.42万t计，综合添加比例为6%（161.42万t × 6% = 9.6852万t ≈ 9.69万t），符合《磷石膏改性施工方案》中</w:t>
            </w:r>
            <w:r>
              <w:rPr>
                <w:rFonts w:hint="eastAsia"/>
                <w:color w:val="000000" w:themeColor="text1"/>
                <w:sz w:val="24"/>
                <w:szCs w:val="22"/>
                <w:highlight w:val="none"/>
                <w:lang w:eastAsia="zh-CN"/>
                <w14:textFill>
                  <w14:solidFill>
                    <w14:schemeClr w14:val="tx1"/>
                  </w14:solidFill>
                </w14:textFill>
              </w:rPr>
              <w:t>“</w:t>
            </w:r>
            <w:r>
              <w:rPr>
                <w:rFonts w:hint="default"/>
                <w:color w:val="000000" w:themeColor="text1"/>
                <w:sz w:val="24"/>
                <w:szCs w:val="22"/>
                <w:highlight w:val="none"/>
                <w14:textFill>
                  <w14:solidFill>
                    <w14:schemeClr w14:val="tx1"/>
                  </w14:solidFill>
                </w14:textFill>
              </w:rPr>
              <w:t>改性药剂添加比例暂定为6%</w:t>
            </w:r>
            <w:r>
              <w:rPr>
                <w:rFonts w:hint="eastAsia"/>
                <w:color w:val="000000" w:themeColor="text1"/>
                <w:sz w:val="24"/>
                <w:szCs w:val="22"/>
                <w:highlight w:val="none"/>
                <w:lang w:eastAsia="zh-CN"/>
                <w14:textFill>
                  <w14:solidFill>
                    <w14:schemeClr w14:val="tx1"/>
                  </w14:solidFill>
                </w14:textFill>
              </w:rPr>
              <w:t>”</w:t>
            </w:r>
            <w:r>
              <w:rPr>
                <w:rFonts w:hint="default"/>
                <w:color w:val="000000" w:themeColor="text1"/>
                <w:sz w:val="24"/>
                <w:szCs w:val="22"/>
                <w:highlight w:val="none"/>
                <w14:textFill>
                  <w14:solidFill>
                    <w14:schemeClr w14:val="tx1"/>
                  </w14:solidFill>
                </w14:textFill>
              </w:rPr>
              <w:t>的工艺要求。实际配比将根据磷石膏批次特性（氟、磷含量波动），通过中试试验（不少于3组平行试验）在5.5%–6.5%范围内动态优化，确保改性后产品浸出液中氟化物≤10 mg/L、磷酸盐（以P计）≤0.5 mg/L，pH稳定于6–9范围内，</w:t>
            </w:r>
            <w:r>
              <w:rPr>
                <w:rFonts w:hint="eastAsia"/>
                <w:color w:val="000000" w:themeColor="text1"/>
                <w:sz w:val="24"/>
                <w:szCs w:val="22"/>
                <w:highlight w:val="none"/>
                <w:lang w:val="en-US" w:eastAsia="zh-CN"/>
                <w14:textFill>
                  <w14:solidFill>
                    <w14:schemeClr w14:val="tx1"/>
                  </w14:solidFill>
                </w14:textFill>
              </w:rPr>
              <w:t>其他重金属等检测指标</w:t>
            </w:r>
            <w:r>
              <w:rPr>
                <w:rFonts w:hint="default"/>
                <w:color w:val="000000" w:themeColor="text1"/>
                <w:sz w:val="24"/>
                <w:szCs w:val="22"/>
                <w:highlight w:val="none"/>
                <w14:textFill>
                  <w14:solidFill>
                    <w14:schemeClr w14:val="tx1"/>
                  </w14:solidFill>
                </w14:textFill>
              </w:rPr>
              <w:t>满足《污水综合排放标准》（GB 8978-1996）一级标准及《改性磷石膏用于矿山废弃地生态修复回填技术规范》（DB53/T 1269-2024）要求。</w:t>
            </w:r>
          </w:p>
          <w:p w14:paraId="0A27BFB7">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000000" w:themeColor="text1"/>
                <w:sz w:val="24"/>
                <w:szCs w:val="20"/>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0"/>
                <w:highlight w:val="none"/>
                <w:lang w:val="en-US" w:eastAsia="zh-CN"/>
                <w14:textFill>
                  <w14:solidFill>
                    <w14:schemeClr w14:val="tx1"/>
                  </w14:solidFill>
                </w14:textFill>
              </w:rPr>
              <w:t>（3）改性原理及实验情况</w:t>
            </w:r>
          </w:p>
          <w:p w14:paraId="21F6B037">
            <w:pPr>
              <w:keepNext w:val="0"/>
              <w:keepLines w:val="0"/>
              <w:suppressLineNumbers w:val="0"/>
              <w:spacing w:before="0" w:beforeLines="-2147483648"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本项目依托昆明理工大学专有改性专利技术，对工业固废磷石膏进行无害化、稳定化改性处理，改性体系采用2%生石灰+4%专用固化剂的复合配比，改性后的磷石膏可作为优质矿山生态修复填埋材料，满足矿山场地回填、生态基底重塑的工程及环保要求。</w:t>
            </w:r>
            <w:r>
              <w:rPr>
                <w:rFonts w:hint="eastAsia"/>
                <w:color w:val="000000" w:themeColor="text1"/>
                <w:sz w:val="24"/>
                <w:szCs w:val="20"/>
                <w:highlight w:val="none"/>
                <w14:textFill>
                  <w14:solidFill>
                    <w14:schemeClr w14:val="tx1"/>
                  </w14:solidFill>
                </w14:textFill>
              </w:rPr>
              <w:t>本次项目使用磷石膏干法改性，</w:t>
            </w:r>
            <w:r>
              <w:rPr>
                <w:rFonts w:hint="default"/>
                <w:color w:val="000000" w:themeColor="text1"/>
                <w:sz w:val="24"/>
                <w:szCs w:val="20"/>
                <w:highlight w:val="none"/>
                <w14:textFill>
                  <w14:solidFill>
                    <w14:schemeClr w14:val="tx1"/>
                  </w14:solidFill>
                </w14:textFill>
              </w:rPr>
              <w:t>磷石膏的主要成分为二水硫酸钙（CaSO</w:t>
            </w:r>
            <w:r>
              <w:rPr>
                <w:rFonts w:hint="eastAsia"/>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.2H</w:t>
            </w:r>
            <w:r>
              <w:rPr>
                <w:rFonts w:hint="eastAsia"/>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O），除硫酸钙以外，还有未完全分解的磷矿、残余的磷酸、氟化物、酸不溶物、有机质、游离水和结合水等。</w:t>
            </w:r>
          </w:p>
          <w:p w14:paraId="2D45D9A4">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kern w:val="0"/>
                <w:sz w:val="24"/>
                <w:szCs w:val="20"/>
                <w:highlight w:val="none"/>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根据建设单位提供</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sz w:val="24"/>
                <w:szCs w:val="20"/>
                <w:highlight w:val="none"/>
                <w14:textFill>
                  <w14:solidFill>
                    <w14:schemeClr w14:val="tx1"/>
                  </w14:solidFill>
                </w14:textFill>
              </w:rPr>
              <w:t>寻甸县常青树磷石膏库综合治理项目施工组织设计</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w:t>
            </w:r>
            <w:r>
              <w:rPr>
                <w:rFonts w:hint="eastAsia" w:ascii="Times New Roman" w:hAnsi="Times New Roman" w:cs="Times New Roman"/>
                <w:color w:val="000000" w:themeColor="text1"/>
                <w:sz w:val="24"/>
                <w:szCs w:val="20"/>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本次干法改性</w:t>
            </w:r>
            <w:r>
              <w:rPr>
                <w:rFonts w:hint="default"/>
                <w:color w:val="000000" w:themeColor="text1"/>
                <w:sz w:val="24"/>
                <w:szCs w:val="20"/>
                <w:highlight w:val="none"/>
                <w14:textFill>
                  <w14:solidFill>
                    <w14:schemeClr w14:val="tx1"/>
                  </w14:solidFill>
                </w14:textFill>
              </w:rPr>
              <w:t>通过采用碱性化合物与磷石膏进行化学反应，</w:t>
            </w:r>
            <w:r>
              <w:rPr>
                <w:rFonts w:hint="eastAsia"/>
                <w:color w:val="000000" w:themeColor="text1"/>
                <w:sz w:val="24"/>
                <w:szCs w:val="20"/>
                <w:highlight w:val="none"/>
                <w14:textFill>
                  <w14:solidFill>
                    <w14:schemeClr w14:val="tx1"/>
                  </w14:solidFill>
                </w14:textFill>
              </w:rPr>
              <w:t>中和反应提高磷石膏的pH值至中性，</w:t>
            </w:r>
            <w:r>
              <w:rPr>
                <w:rFonts w:hint="default"/>
                <w:color w:val="000000" w:themeColor="text1"/>
                <w:sz w:val="24"/>
                <w:szCs w:val="20"/>
                <w:highlight w:val="none"/>
                <w14:textFill>
                  <w14:solidFill>
                    <w14:schemeClr w14:val="tx1"/>
                  </w14:solidFill>
                </w14:textFill>
              </w:rPr>
              <w:t>磷石膏游离水中的磷酸、可溶磷酸盐及氟离子等经化学反应生成难溶化合物Ca</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（HPO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）SO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.2H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O以及CaF</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、Ca</w:t>
            </w:r>
            <w:r>
              <w:rPr>
                <w:rFonts w:hint="default"/>
                <w:color w:val="000000" w:themeColor="text1"/>
                <w:sz w:val="24"/>
                <w:szCs w:val="20"/>
                <w:highlight w:val="none"/>
                <w:vertAlign w:val="sub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等，从而被固定为固态形式。由于反应形成难溶化合物，有效防止了磷石膏中的有害化学物质向环境中扩散，从而实现磷石膏的环保无害化，促进磷石膏的资源化利用。</w:t>
            </w:r>
          </w:p>
          <w:p w14:paraId="3E738301">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color w:val="000000" w:themeColor="text1"/>
                <w:kern w:val="0"/>
                <w:sz w:val="24"/>
                <w:szCs w:val="20"/>
                <w:highlight w:val="none"/>
                <w:lang w:val="en-US" w:eastAsia="zh-CN"/>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反应原理公式如下：</w:t>
            </w:r>
          </w:p>
          <w:p w14:paraId="18FF7FF2">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M</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vertAlign w:val="superscript"/>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+PO</w:t>
            </w:r>
            <w:r>
              <w:rPr>
                <w:rFonts w:hint="eastAsia"/>
                <w:color w:val="000000" w:themeColor="text1"/>
                <w:kern w:val="0"/>
                <w:sz w:val="24"/>
                <w:szCs w:val="20"/>
                <w:highlight w:val="none"/>
                <w:vertAlign w:val="subscript"/>
                <w14:textFill>
                  <w14:solidFill>
                    <w14:schemeClr w14:val="tx1"/>
                  </w14:solidFill>
                </w14:textFill>
              </w:rPr>
              <w:t>4</w:t>
            </w:r>
            <w:r>
              <w:rPr>
                <w:rFonts w:hint="eastAsia"/>
                <w:color w:val="000000" w:themeColor="text1"/>
                <w:kern w:val="0"/>
                <w:sz w:val="24"/>
                <w:szCs w:val="20"/>
                <w:highlight w:val="none"/>
                <w:vertAlign w:val="superscript"/>
                <w14:textFill>
                  <w14:solidFill>
                    <w14:schemeClr w14:val="tx1"/>
                  </w14:solidFill>
                </w14:textFill>
              </w:rPr>
              <w:t>3-</w:t>
            </w:r>
            <w:r>
              <w:rPr>
                <w:rFonts w:hint="eastAsia"/>
                <w:color w:val="000000" w:themeColor="text1"/>
                <w:kern w:val="0"/>
                <w:sz w:val="24"/>
                <w:szCs w:val="20"/>
                <w:highlight w:val="none"/>
                <w14:textFill>
                  <w14:solidFill>
                    <w14:schemeClr w14:val="tx1"/>
                  </w14:solidFill>
                </w14:textFill>
              </w:rPr>
              <w:t>+H</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O→M3(PO</w:t>
            </w:r>
            <w:r>
              <w:rPr>
                <w:rFonts w:hint="eastAsia"/>
                <w:color w:val="000000" w:themeColor="text1"/>
                <w:kern w:val="0"/>
                <w:sz w:val="24"/>
                <w:szCs w:val="20"/>
                <w:highlight w:val="none"/>
                <w:vertAlign w:val="subscript"/>
                <w14:textFill>
                  <w14:solidFill>
                    <w14:schemeClr w14:val="tx1"/>
                  </w14:solidFill>
                </w14:textFill>
              </w:rPr>
              <w:t>4</w:t>
            </w:r>
            <w:r>
              <w:rPr>
                <w:rFonts w:hint="eastAsia"/>
                <w:color w:val="000000" w:themeColor="text1"/>
                <w:kern w:val="0"/>
                <w:sz w:val="24"/>
                <w:szCs w:val="20"/>
                <w:highlight w:val="none"/>
                <w14:textFill>
                  <w14:solidFill>
                    <w14:schemeClr w14:val="tx1"/>
                  </w14:solidFill>
                </w14:textFill>
              </w:rPr>
              <w:t>)</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·nH</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O↓</w:t>
            </w:r>
          </w:p>
          <w:p w14:paraId="4FF6C8A6">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M</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vertAlign w:val="superscript"/>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+H</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PO</w:t>
            </w:r>
            <w:r>
              <w:rPr>
                <w:rFonts w:hint="eastAsia"/>
                <w:color w:val="000000" w:themeColor="text1"/>
                <w:kern w:val="0"/>
                <w:sz w:val="24"/>
                <w:szCs w:val="20"/>
                <w:highlight w:val="none"/>
                <w:vertAlign w:val="subscript"/>
                <w14:textFill>
                  <w14:solidFill>
                    <w14:schemeClr w14:val="tx1"/>
                  </w14:solidFill>
                </w14:textFill>
              </w:rPr>
              <w:t>4</w:t>
            </w:r>
            <w:r>
              <w:rPr>
                <w:rFonts w:hint="eastAsia"/>
                <w:color w:val="000000" w:themeColor="text1"/>
                <w:kern w:val="0"/>
                <w:sz w:val="24"/>
                <w:szCs w:val="20"/>
                <w:highlight w:val="none"/>
                <w:vertAlign w:val="superscript"/>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→M</w:t>
            </w:r>
            <w:r>
              <w:rPr>
                <w:rFonts w:hint="eastAsia"/>
                <w:color w:val="000000" w:themeColor="text1"/>
                <w:kern w:val="0"/>
                <w:sz w:val="24"/>
                <w:szCs w:val="20"/>
                <w:highlight w:val="none"/>
                <w:vertAlign w:val="subscript"/>
                <w14:textFill>
                  <w14:solidFill>
                    <w14:schemeClr w14:val="tx1"/>
                  </w14:solidFill>
                </w14:textFill>
              </w:rPr>
              <w:t>3</w:t>
            </w:r>
            <w:r>
              <w:rPr>
                <w:rFonts w:hint="eastAsia"/>
                <w:color w:val="000000" w:themeColor="text1"/>
                <w:kern w:val="0"/>
                <w:sz w:val="24"/>
                <w:szCs w:val="20"/>
                <w:highlight w:val="none"/>
                <w14:textFill>
                  <w14:solidFill>
                    <w14:schemeClr w14:val="tx1"/>
                  </w14:solidFill>
                </w14:textFill>
              </w:rPr>
              <w:t>(PO</w:t>
            </w:r>
            <w:r>
              <w:rPr>
                <w:rFonts w:hint="eastAsia"/>
                <w:color w:val="000000" w:themeColor="text1"/>
                <w:kern w:val="0"/>
                <w:sz w:val="24"/>
                <w:szCs w:val="20"/>
                <w:highlight w:val="none"/>
                <w:vertAlign w:val="subscript"/>
                <w14:textFill>
                  <w14:solidFill>
                    <w14:schemeClr w14:val="tx1"/>
                  </w14:solidFill>
                </w14:textFill>
              </w:rPr>
              <w:t>4</w:t>
            </w:r>
            <w:r>
              <w:rPr>
                <w:rFonts w:hint="eastAsia"/>
                <w:color w:val="000000" w:themeColor="text1"/>
                <w:kern w:val="0"/>
                <w:sz w:val="24"/>
                <w:szCs w:val="20"/>
                <w:highlight w:val="none"/>
                <w14:textFill>
                  <w14:solidFill>
                    <w14:schemeClr w14:val="tx1"/>
                  </w14:solidFill>
                </w14:textFill>
              </w:rPr>
              <w:t>)</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w:t>
            </w:r>
          </w:p>
          <w:p w14:paraId="4C96045E">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M</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vertAlign w:val="superscript"/>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+PO</w:t>
            </w:r>
            <w:r>
              <w:rPr>
                <w:rFonts w:hint="eastAsia"/>
                <w:color w:val="000000" w:themeColor="text1"/>
                <w:kern w:val="0"/>
                <w:sz w:val="24"/>
                <w:szCs w:val="20"/>
                <w:highlight w:val="none"/>
                <w:vertAlign w:val="subscript"/>
                <w14:textFill>
                  <w14:solidFill>
                    <w14:schemeClr w14:val="tx1"/>
                  </w14:solidFill>
                </w14:textFill>
              </w:rPr>
              <w:t>4</w:t>
            </w:r>
            <w:r>
              <w:rPr>
                <w:rFonts w:hint="eastAsia"/>
                <w:color w:val="000000" w:themeColor="text1"/>
                <w:kern w:val="0"/>
                <w:sz w:val="24"/>
                <w:szCs w:val="20"/>
                <w:highlight w:val="none"/>
                <w:vertAlign w:val="superscript"/>
                <w14:textFill>
                  <w14:solidFill>
                    <w14:schemeClr w14:val="tx1"/>
                  </w14:solidFill>
                </w14:textFill>
              </w:rPr>
              <w:t>3-</w:t>
            </w:r>
            <w:r>
              <w:rPr>
                <w:rFonts w:hint="eastAsia"/>
                <w:color w:val="000000" w:themeColor="text1"/>
                <w:kern w:val="0"/>
                <w:sz w:val="24"/>
                <w:szCs w:val="20"/>
                <w:highlight w:val="none"/>
                <w14:textFill>
                  <w14:solidFill>
                    <w14:schemeClr w14:val="tx1"/>
                  </w14:solidFill>
                </w14:textFill>
              </w:rPr>
              <w:t>+H</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O→MPO</w:t>
            </w:r>
            <w:r>
              <w:rPr>
                <w:rFonts w:hint="eastAsia"/>
                <w:color w:val="000000" w:themeColor="text1"/>
                <w:kern w:val="0"/>
                <w:sz w:val="24"/>
                <w:szCs w:val="20"/>
                <w:highlight w:val="none"/>
                <w:vertAlign w:val="subscript"/>
                <w14:textFill>
                  <w14:solidFill>
                    <w14:schemeClr w14:val="tx1"/>
                  </w14:solidFill>
                </w14:textFill>
              </w:rPr>
              <w:t>3</w:t>
            </w:r>
            <w:r>
              <w:rPr>
                <w:rFonts w:hint="eastAsia"/>
                <w:color w:val="000000" w:themeColor="text1"/>
                <w:kern w:val="0"/>
                <w:sz w:val="24"/>
                <w:szCs w:val="20"/>
                <w:highlight w:val="none"/>
                <w14:textFill>
                  <w14:solidFill>
                    <w14:schemeClr w14:val="tx1"/>
                  </w14:solidFill>
                </w14:textFill>
              </w:rPr>
              <w:t>(OH)·nH</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O↓</w:t>
            </w:r>
          </w:p>
          <w:p w14:paraId="5B203637">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M</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vertAlign w:val="superscript"/>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+PO</w:t>
            </w:r>
            <w:r>
              <w:rPr>
                <w:rFonts w:hint="eastAsia"/>
                <w:color w:val="000000" w:themeColor="text1"/>
                <w:kern w:val="0"/>
                <w:sz w:val="24"/>
                <w:szCs w:val="20"/>
                <w:highlight w:val="none"/>
                <w:vertAlign w:val="subscript"/>
                <w14:textFill>
                  <w14:solidFill>
                    <w14:schemeClr w14:val="tx1"/>
                  </w14:solidFill>
                </w14:textFill>
              </w:rPr>
              <w:t>4</w:t>
            </w:r>
            <w:r>
              <w:rPr>
                <w:rFonts w:hint="eastAsia"/>
                <w:color w:val="000000" w:themeColor="text1"/>
                <w:kern w:val="0"/>
                <w:sz w:val="24"/>
                <w:szCs w:val="20"/>
                <w:highlight w:val="none"/>
                <w:vertAlign w:val="superscript"/>
                <w14:textFill>
                  <w14:solidFill>
                    <w14:schemeClr w14:val="tx1"/>
                  </w14:solidFill>
                </w14:textFill>
              </w:rPr>
              <w:t>3-</w:t>
            </w:r>
            <w:r>
              <w:rPr>
                <w:rFonts w:hint="eastAsia"/>
                <w:color w:val="000000" w:themeColor="text1"/>
                <w:kern w:val="0"/>
                <w:sz w:val="24"/>
                <w:szCs w:val="20"/>
                <w:highlight w:val="none"/>
                <w14:textFill>
                  <w14:solidFill>
                    <w14:schemeClr w14:val="tx1"/>
                  </w14:solidFill>
                </w14:textFill>
              </w:rPr>
              <w:t>+H</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O→MHPO</w:t>
            </w:r>
            <w:r>
              <w:rPr>
                <w:rFonts w:hint="eastAsia"/>
                <w:color w:val="000000" w:themeColor="text1"/>
                <w:kern w:val="0"/>
                <w:sz w:val="24"/>
                <w:szCs w:val="20"/>
                <w:highlight w:val="none"/>
                <w:vertAlign w:val="subscript"/>
                <w14:textFill>
                  <w14:solidFill>
                    <w14:schemeClr w14:val="tx1"/>
                  </w14:solidFill>
                </w14:textFill>
              </w:rPr>
              <w:t>4</w:t>
            </w:r>
            <w:r>
              <w:rPr>
                <w:rFonts w:hint="eastAsia"/>
                <w:color w:val="000000" w:themeColor="text1"/>
                <w:kern w:val="0"/>
                <w:sz w:val="24"/>
                <w:szCs w:val="20"/>
                <w:highlight w:val="none"/>
                <w14:textFill>
                  <w14:solidFill>
                    <w14:schemeClr w14:val="tx1"/>
                  </w14:solidFill>
                </w14:textFill>
              </w:rPr>
              <w:t>·nH</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O↓</w:t>
            </w:r>
          </w:p>
          <w:p w14:paraId="77077E15">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M</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vertAlign w:val="superscript"/>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+2F</w:t>
            </w:r>
            <w:r>
              <w:rPr>
                <w:rFonts w:hint="eastAsia"/>
                <w:color w:val="000000" w:themeColor="text1"/>
                <w:kern w:val="0"/>
                <w:sz w:val="24"/>
                <w:szCs w:val="20"/>
                <w:highlight w:val="none"/>
                <w:vertAlign w:val="superscript"/>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→MF</w:t>
            </w:r>
            <w:r>
              <w:rPr>
                <w:rFonts w:hint="eastAsia"/>
                <w:color w:val="000000" w:themeColor="text1"/>
                <w:kern w:val="0"/>
                <w:sz w:val="24"/>
                <w:szCs w:val="20"/>
                <w:highlight w:val="none"/>
                <w:vertAlign w:val="sub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↓，M=(Ca</w:t>
            </w:r>
            <w:r>
              <w:rPr>
                <w:rFonts w:hint="eastAsia"/>
                <w:color w:val="000000" w:themeColor="text1"/>
                <w:kern w:val="0"/>
                <w:sz w:val="24"/>
                <w:szCs w:val="20"/>
                <w:highlight w:val="none"/>
                <w:vertAlign w:val="super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，Mg</w:t>
            </w:r>
            <w:r>
              <w:rPr>
                <w:rFonts w:hint="eastAsia"/>
                <w:color w:val="000000" w:themeColor="text1"/>
                <w:kern w:val="0"/>
                <w:sz w:val="24"/>
                <w:szCs w:val="20"/>
                <w:highlight w:val="none"/>
                <w:vertAlign w:val="superscript"/>
                <w14:textFill>
                  <w14:solidFill>
                    <w14:schemeClr w14:val="tx1"/>
                  </w14:solidFill>
                </w14:textFill>
              </w:rPr>
              <w:t>2+</w:t>
            </w:r>
            <w:r>
              <w:rPr>
                <w:rFonts w:hint="eastAsia"/>
                <w:color w:val="000000" w:themeColor="text1"/>
                <w:kern w:val="0"/>
                <w:sz w:val="24"/>
                <w:szCs w:val="20"/>
                <w:highlight w:val="none"/>
                <w14:textFill>
                  <w14:solidFill>
                    <w14:schemeClr w14:val="tx1"/>
                  </w14:solidFill>
                </w14:textFill>
              </w:rPr>
              <w:t>)</w:t>
            </w:r>
          </w:p>
          <w:p w14:paraId="265752B4">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磷石膏稳定/固化原理如下图所示：</w:t>
            </w:r>
          </w:p>
          <w:p w14:paraId="085D784C">
            <w:pPr>
              <w:keepNext w:val="0"/>
              <w:keepLines w:val="0"/>
              <w:suppressLineNumbers w:val="0"/>
              <w:adjustRightInd w:val="0"/>
              <w:snapToGrid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r>
              <w:rPr>
                <w:rFonts w:hint="default"/>
                <w:color w:val="000000" w:themeColor="text1"/>
                <w:sz w:val="20"/>
                <w:szCs w:val="20"/>
                <w:highlight w:val="none"/>
                <w14:textFill>
                  <w14:solidFill>
                    <w14:schemeClr w14:val="tx1"/>
                  </w14:solidFill>
                </w14:textFill>
              </w:rPr>
              <w:drawing>
                <wp:inline distT="0" distB="0" distL="114300" distR="114300">
                  <wp:extent cx="4000500" cy="2308860"/>
                  <wp:effectExtent l="0" t="0" r="0" b="15240"/>
                  <wp:docPr id="5" name="图片 10" descr="1709508686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1709508686623"/>
                          <pic:cNvPicPr>
                            <a:picLocks noChangeAspect="1"/>
                          </pic:cNvPicPr>
                        </pic:nvPicPr>
                        <pic:blipFill>
                          <a:blip r:embed="rId12"/>
                          <a:stretch>
                            <a:fillRect/>
                          </a:stretch>
                        </pic:blipFill>
                        <pic:spPr>
                          <a:xfrm>
                            <a:off x="0" y="0"/>
                            <a:ext cx="4000500" cy="2308860"/>
                          </a:xfrm>
                          <a:prstGeom prst="rect">
                            <a:avLst/>
                          </a:prstGeom>
                          <a:noFill/>
                          <a:ln>
                            <a:noFill/>
                          </a:ln>
                        </pic:spPr>
                      </pic:pic>
                    </a:graphicData>
                  </a:graphic>
                </wp:inline>
              </w:drawing>
            </w:r>
          </w:p>
          <w:p w14:paraId="1B22F56B">
            <w:pPr>
              <w:keepNext w:val="0"/>
              <w:keepLines w:val="0"/>
              <w:suppressLineNumbers w:val="0"/>
              <w:spacing w:before="0" w:beforeAutospacing="0" w:after="0" w:afterAutospacing="0"/>
              <w:ind w:left="0" w:right="0"/>
              <w:jc w:val="center"/>
              <w:rPr>
                <w:rFonts w:hint="eastAsia"/>
                <w:b/>
                <w:bCs/>
                <w:color w:val="000000" w:themeColor="text1"/>
                <w:kern w:val="0"/>
                <w:sz w:val="24"/>
                <w:szCs w:val="24"/>
                <w:highlight w:val="none"/>
                <w14:textFill>
                  <w14:solidFill>
                    <w14:schemeClr w14:val="tx1"/>
                  </w14:solidFill>
                </w14:textFill>
              </w:rPr>
            </w:pPr>
            <w:r>
              <w:rPr>
                <w:rFonts w:hint="eastAsia"/>
                <w:b/>
                <w:bCs/>
                <w:color w:val="000000" w:themeColor="text1"/>
                <w:kern w:val="0"/>
                <w:sz w:val="24"/>
                <w:szCs w:val="24"/>
                <w:highlight w:val="none"/>
                <w14:textFill>
                  <w14:solidFill>
                    <w14:schemeClr w14:val="tx1"/>
                  </w14:solidFill>
                </w14:textFill>
              </w:rPr>
              <w:t>图</w:t>
            </w:r>
            <w:r>
              <w:rPr>
                <w:rFonts w:hint="eastAsia"/>
                <w:b/>
                <w:bCs/>
                <w:color w:val="000000" w:themeColor="text1"/>
                <w:kern w:val="0"/>
                <w:sz w:val="24"/>
                <w:szCs w:val="24"/>
                <w:highlight w:val="none"/>
                <w:lang w:val="en-US" w:eastAsia="zh-CN"/>
                <w14:textFill>
                  <w14:solidFill>
                    <w14:schemeClr w14:val="tx1"/>
                  </w14:solidFill>
                </w14:textFill>
              </w:rPr>
              <w:t>2-1</w:t>
            </w:r>
            <w:r>
              <w:rPr>
                <w:rFonts w:hint="eastAsia"/>
                <w:b/>
                <w:bCs/>
                <w:color w:val="000000" w:themeColor="text1"/>
                <w:kern w:val="0"/>
                <w:sz w:val="24"/>
                <w:szCs w:val="24"/>
                <w:highlight w:val="none"/>
                <w14:textFill>
                  <w14:solidFill>
                    <w14:schemeClr w14:val="tx1"/>
                  </w14:solidFill>
                </w14:textFill>
              </w:rPr>
              <w:t xml:space="preserve">  磷石膏稳定/固化原理</w:t>
            </w:r>
          </w:p>
          <w:p w14:paraId="52F0CA0D">
            <w:pPr>
              <w:keepNext w:val="0"/>
              <w:keepLines w:val="0"/>
              <w:suppressLineNumbers w:val="0"/>
              <w:spacing w:before="0" w:beforeAutospacing="0" w:after="0" w:afterAutospacing="0" w:line="360" w:lineRule="auto"/>
              <w:ind w:left="0" w:right="0" w:firstLine="480" w:firstLineChars="200"/>
              <w:jc w:val="left"/>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干法改性使用的磷石膏主要为</w:t>
            </w:r>
            <w:r>
              <w:rPr>
                <w:rFonts w:hint="eastAsia"/>
                <w:color w:val="000000" w:themeColor="text1"/>
                <w:sz w:val="24"/>
                <w:szCs w:val="20"/>
                <w:highlight w:val="none"/>
                <w:lang w:val="en-US" w:eastAsia="zh-CN"/>
                <w14:textFill>
                  <w14:solidFill>
                    <w14:schemeClr w14:val="tx1"/>
                  </w14:solidFill>
                </w14:textFill>
              </w:rPr>
              <w:t>常青树磷石膏</w:t>
            </w:r>
            <w:r>
              <w:rPr>
                <w:rFonts w:hint="eastAsia"/>
                <w:color w:val="000000" w:themeColor="text1"/>
                <w:sz w:val="24"/>
                <w:szCs w:val="20"/>
                <w:highlight w:val="none"/>
                <w14:textFill>
                  <w14:solidFill>
                    <w14:schemeClr w14:val="tx1"/>
                  </w14:solidFill>
                </w14:textFill>
              </w:rPr>
              <w:t>渣场堆存的磷石膏，相比于新鲜产生的磷石膏，渣库堆存的</w:t>
            </w:r>
            <w:r>
              <w:rPr>
                <w:rFonts w:hint="eastAsia"/>
                <w:color w:val="000000" w:themeColor="text1"/>
                <w:kern w:val="0"/>
                <w:sz w:val="24"/>
                <w:szCs w:val="20"/>
                <w:highlight w:val="none"/>
                <w14:textFill>
                  <w14:solidFill>
                    <w14:schemeClr w14:val="tx1"/>
                  </w14:solidFill>
                </w14:textFill>
              </w:rPr>
              <w:t>磷石膏在堆置陈化过程中，其理化性质会发生显著变化。可以降低磷石膏中的杂质含量与粒径，但不会对微观形貌及晶体结构产生影响。此外，在磷石膏堆存陈化过程中，磷石膏内部还会发生化学反应，达到固磷、固氟的作用。</w:t>
            </w:r>
            <w:r>
              <w:rPr>
                <w:rFonts w:hint="eastAsia"/>
                <w:color w:val="000000" w:themeColor="text1"/>
                <w:sz w:val="24"/>
                <w:szCs w:val="20"/>
                <w:highlight w:val="none"/>
                <w14:textFill>
                  <w14:solidFill>
                    <w14:schemeClr w14:val="tx1"/>
                  </w14:solidFill>
                </w14:textFill>
              </w:rPr>
              <w:t>与湿法改性相比，湿法改性主要降低磷石膏原料中的可溶性磷、水溶性氟含量，达到磷石膏改性目的，同时对磷石膏进行中和，达到稳定化的目的。主要改性原理区别如下。</w:t>
            </w:r>
          </w:p>
          <w:p w14:paraId="3661BB89">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湿法改性无害化处理药剂采用主要</w:t>
            </w:r>
            <w:r>
              <w:rPr>
                <w:rFonts w:hint="eastAsia"/>
                <w:color w:val="000000" w:themeColor="text1"/>
                <w:sz w:val="24"/>
                <w:szCs w:val="20"/>
                <w:highlight w:val="none"/>
                <w:lang w:val="en-US" w:eastAsia="zh-CN"/>
                <w14:textFill>
                  <w14:solidFill>
                    <w14:schemeClr w14:val="tx1"/>
                  </w14:solidFill>
                </w14:textFill>
              </w:rPr>
              <w:t>成分</w:t>
            </w:r>
            <w:r>
              <w:rPr>
                <w:rFonts w:hint="eastAsia"/>
                <w:color w:val="000000" w:themeColor="text1"/>
                <w:sz w:val="24"/>
                <w:szCs w:val="20"/>
                <w:highlight w:val="none"/>
                <w14:textFill>
                  <w14:solidFill>
                    <w14:schemeClr w14:val="tx1"/>
                  </w14:solidFill>
                </w14:textFill>
              </w:rPr>
              <w:t>为金属氧化物，包括氧化镁、氧化钙、氧化铁、氧化铝等金属氧化物，其次为消</w:t>
            </w:r>
            <w:r>
              <w:rPr>
                <w:rFonts w:hint="eastAsia"/>
                <w:color w:val="000000" w:themeColor="text1"/>
                <w:sz w:val="24"/>
                <w:szCs w:val="20"/>
                <w:highlight w:val="none"/>
                <w:lang w:eastAsia="zh-CN"/>
                <w14:textFill>
                  <w14:solidFill>
                    <w14:schemeClr w14:val="tx1"/>
                  </w14:solidFill>
                </w14:textFill>
              </w:rPr>
              <w:t>氧化钙</w:t>
            </w:r>
            <w:r>
              <w:rPr>
                <w:rFonts w:hint="eastAsia"/>
                <w:color w:val="000000" w:themeColor="text1"/>
                <w:sz w:val="24"/>
                <w:szCs w:val="20"/>
                <w:highlight w:val="none"/>
                <w14:textFill>
                  <w14:solidFill>
                    <w14:schemeClr w14:val="tx1"/>
                  </w14:solidFill>
                </w14:textFill>
              </w:rPr>
              <w:t>、碳酸钙、活性硅酸盐等，一段反应过程中，金属氧化物与磷石膏中的酸发生中和反应，并释放能与磷、氟结合成难溶性盐的金属离子；二段反应以</w:t>
            </w:r>
            <w:r>
              <w:rPr>
                <w:rFonts w:hint="eastAsia"/>
                <w:color w:val="000000" w:themeColor="text1"/>
                <w:sz w:val="24"/>
                <w:szCs w:val="20"/>
                <w:highlight w:val="none"/>
                <w:lang w:eastAsia="zh-CN"/>
                <w14:textFill>
                  <w14:solidFill>
                    <w14:schemeClr w14:val="tx1"/>
                  </w14:solidFill>
                </w14:textFill>
              </w:rPr>
              <w:t>氧化钙</w:t>
            </w:r>
            <w:r>
              <w:rPr>
                <w:rFonts w:hint="eastAsia"/>
                <w:color w:val="000000" w:themeColor="text1"/>
                <w:sz w:val="24"/>
                <w:szCs w:val="20"/>
                <w:highlight w:val="none"/>
                <w14:textFill>
                  <w14:solidFill>
                    <w14:schemeClr w14:val="tx1"/>
                  </w14:solidFill>
                </w14:textFill>
              </w:rPr>
              <w:t>中和沉淀为主，将反应体系调节至碱性环境，钙离子与氟、磷继续反应生成盐，同时促进可溶性磷酸钙盐转化成难溶性磷酸钙盐，以提高磷石膏无害化稳定性。</w:t>
            </w:r>
          </w:p>
          <w:p w14:paraId="2B8B5F7B">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反应原理公式如下：</w:t>
            </w:r>
          </w:p>
          <w:p w14:paraId="526953BC">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（1）</w:t>
            </w:r>
            <w:r>
              <w:rPr>
                <w:rFonts w:hint="eastAsia"/>
                <w:color w:val="000000" w:themeColor="text1"/>
                <w:sz w:val="24"/>
                <w:szCs w:val="20"/>
                <w:highlight w:val="none"/>
                <w14:textFill>
                  <w14:solidFill>
                    <w14:schemeClr w14:val="tx1"/>
                  </w14:solidFill>
                </w14:textFill>
              </w:rPr>
              <w:t>酸化</w:t>
            </w:r>
            <w:r>
              <w:rPr>
                <w:rFonts w:hint="eastAsia"/>
                <w:color w:val="000000" w:themeColor="text1"/>
                <w:kern w:val="0"/>
                <w:sz w:val="24"/>
                <w:szCs w:val="20"/>
                <w:highlight w:val="none"/>
                <w14:textFill>
                  <w14:solidFill>
                    <w14:schemeClr w14:val="tx1"/>
                  </w14:solidFill>
                </w14:textFill>
              </w:rPr>
              <w:t>中和反应</w:t>
            </w:r>
          </w:p>
          <w:p w14:paraId="30E17F79">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Al</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w:t>
            </w:r>
            <w:r>
              <w:rPr>
                <w:rFonts w:hint="default"/>
                <w:color w:val="000000" w:themeColor="text1"/>
                <w:sz w:val="24"/>
                <w:szCs w:val="20"/>
                <w:highlight w:val="none"/>
                <w:vertAlign w:val="sub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+H</w:t>
            </w:r>
            <w:r>
              <w:rPr>
                <w:rFonts w:hint="default"/>
                <w:color w:val="000000" w:themeColor="text1"/>
                <w:sz w:val="24"/>
                <w:szCs w:val="20"/>
                <w:highlight w:val="none"/>
                <w:vertAlign w:val="superscript"/>
                <w14:textFill>
                  <w14:solidFill>
                    <w14:schemeClr w14:val="tx1"/>
                  </w14:solidFill>
                </w14:textFill>
              </w:rPr>
              <w:t>+</w:t>
            </w:r>
            <w:r>
              <w:rPr>
                <w:rFonts w:hint="default"/>
                <w:color w:val="000000" w:themeColor="text1"/>
                <w:sz w:val="24"/>
                <w:szCs w:val="20"/>
                <w:highlight w:val="none"/>
                <w14:textFill>
                  <w14:solidFill>
                    <w14:schemeClr w14:val="tx1"/>
                  </w14:solidFill>
                </w14:textFill>
              </w:rPr>
              <w:t>→Al</w:t>
            </w:r>
            <w:r>
              <w:rPr>
                <w:rFonts w:hint="default"/>
                <w:color w:val="000000" w:themeColor="text1"/>
                <w:sz w:val="24"/>
                <w:szCs w:val="20"/>
                <w:highlight w:val="none"/>
                <w:vertAlign w:val="super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w:t>
            </w:r>
          </w:p>
          <w:p w14:paraId="51C36EC8">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MgO+H</w:t>
            </w:r>
            <w:r>
              <w:rPr>
                <w:rFonts w:hint="default"/>
                <w:color w:val="000000" w:themeColor="text1"/>
                <w:sz w:val="24"/>
                <w:szCs w:val="20"/>
                <w:highlight w:val="none"/>
                <w:vertAlign w:val="superscript"/>
                <w14:textFill>
                  <w14:solidFill>
                    <w14:schemeClr w14:val="tx1"/>
                  </w14:solidFill>
                </w14:textFill>
              </w:rPr>
              <w:t>+</w:t>
            </w:r>
            <w:r>
              <w:rPr>
                <w:rFonts w:hint="default"/>
                <w:color w:val="000000" w:themeColor="text1"/>
                <w:sz w:val="24"/>
                <w:szCs w:val="20"/>
                <w:highlight w:val="none"/>
                <w14:textFill>
                  <w14:solidFill>
                    <w14:schemeClr w14:val="tx1"/>
                  </w14:solidFill>
                </w14:textFill>
              </w:rPr>
              <w:t>→Mg</w:t>
            </w:r>
            <w:r>
              <w:rPr>
                <w:rFonts w:hint="default"/>
                <w:color w:val="000000" w:themeColor="text1"/>
                <w:sz w:val="24"/>
                <w:szCs w:val="20"/>
                <w:highlight w:val="none"/>
                <w:vertAlign w:val="super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w:t>
            </w:r>
          </w:p>
          <w:p w14:paraId="1C9FD7E0">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CaO+H</w:t>
            </w:r>
            <w:r>
              <w:rPr>
                <w:rFonts w:hint="default"/>
                <w:color w:val="000000" w:themeColor="text1"/>
                <w:sz w:val="24"/>
                <w:szCs w:val="20"/>
                <w:highlight w:val="none"/>
                <w:vertAlign w:val="superscript"/>
                <w14:textFill>
                  <w14:solidFill>
                    <w14:schemeClr w14:val="tx1"/>
                  </w14:solidFill>
                </w14:textFill>
              </w:rPr>
              <w:t>+</w:t>
            </w:r>
            <w:r>
              <w:rPr>
                <w:rFonts w:hint="default"/>
                <w:color w:val="000000" w:themeColor="text1"/>
                <w:sz w:val="24"/>
                <w:szCs w:val="20"/>
                <w:highlight w:val="none"/>
                <w14:textFill>
                  <w14:solidFill>
                    <w14:schemeClr w14:val="tx1"/>
                  </w14:solidFill>
                </w14:textFill>
              </w:rPr>
              <w:t>→Ca</w:t>
            </w:r>
            <w:r>
              <w:rPr>
                <w:rFonts w:hint="default"/>
                <w:color w:val="000000" w:themeColor="text1"/>
                <w:sz w:val="24"/>
                <w:szCs w:val="20"/>
                <w:highlight w:val="none"/>
                <w:vertAlign w:val="super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w:t>
            </w:r>
          </w:p>
          <w:p w14:paraId="2046A78F">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Fe</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w:t>
            </w:r>
            <w:r>
              <w:rPr>
                <w:rFonts w:hint="default"/>
                <w:color w:val="000000" w:themeColor="text1"/>
                <w:sz w:val="24"/>
                <w:szCs w:val="20"/>
                <w:highlight w:val="none"/>
                <w:vertAlign w:val="sub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+H</w:t>
            </w:r>
            <w:r>
              <w:rPr>
                <w:rFonts w:hint="default"/>
                <w:color w:val="000000" w:themeColor="text1"/>
                <w:sz w:val="24"/>
                <w:szCs w:val="20"/>
                <w:highlight w:val="none"/>
                <w:vertAlign w:val="superscript"/>
                <w14:textFill>
                  <w14:solidFill>
                    <w14:schemeClr w14:val="tx1"/>
                  </w14:solidFill>
                </w14:textFill>
              </w:rPr>
              <w:t>+</w:t>
            </w:r>
            <w:bookmarkStart w:id="10" w:name="_Hlk159797404"/>
            <w:r>
              <w:rPr>
                <w:rFonts w:hint="default"/>
                <w:color w:val="000000" w:themeColor="text1"/>
                <w:sz w:val="24"/>
                <w:szCs w:val="20"/>
                <w:highlight w:val="none"/>
                <w14:textFill>
                  <w14:solidFill>
                    <w14:schemeClr w14:val="tx1"/>
                  </w14:solidFill>
                </w14:textFill>
              </w:rPr>
              <w:t>→Fe</w:t>
            </w:r>
            <w:r>
              <w:rPr>
                <w:rFonts w:hint="default"/>
                <w:color w:val="000000" w:themeColor="text1"/>
                <w:sz w:val="24"/>
                <w:szCs w:val="20"/>
                <w:highlight w:val="none"/>
                <w:vertAlign w:val="superscript"/>
                <w14:textFill>
                  <w14:solidFill>
                    <w14:schemeClr w14:val="tx1"/>
                  </w14:solidFill>
                </w14:textFill>
              </w:rPr>
              <w:t>3+</w:t>
            </w:r>
            <w:bookmarkEnd w:id="10"/>
            <w:r>
              <w:rPr>
                <w:rFonts w:hint="default"/>
                <w:color w:val="000000" w:themeColor="text1"/>
                <w:sz w:val="24"/>
                <w:szCs w:val="20"/>
                <w:highlight w:val="none"/>
                <w14:textFill>
                  <w14:solidFill>
                    <w14:schemeClr w14:val="tx1"/>
                  </w14:solidFill>
                </w14:textFill>
              </w:rPr>
              <w:t>+H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w:t>
            </w:r>
          </w:p>
          <w:p w14:paraId="33474E65">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CaCO</w:t>
            </w:r>
            <w:r>
              <w:rPr>
                <w:rFonts w:hint="default"/>
                <w:color w:val="000000" w:themeColor="text1"/>
                <w:sz w:val="24"/>
                <w:szCs w:val="20"/>
                <w:highlight w:val="none"/>
                <w:vertAlign w:val="sub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+H</w:t>
            </w:r>
            <w:r>
              <w:rPr>
                <w:rFonts w:hint="default"/>
                <w:color w:val="000000" w:themeColor="text1"/>
                <w:sz w:val="24"/>
                <w:szCs w:val="20"/>
                <w:highlight w:val="none"/>
                <w:vertAlign w:val="superscript"/>
                <w14:textFill>
                  <w14:solidFill>
                    <w14:schemeClr w14:val="tx1"/>
                  </w14:solidFill>
                </w14:textFill>
              </w:rPr>
              <w:t>+</w:t>
            </w:r>
            <w:r>
              <w:rPr>
                <w:rFonts w:hint="default"/>
                <w:color w:val="000000" w:themeColor="text1"/>
                <w:sz w:val="24"/>
                <w:szCs w:val="20"/>
                <w:highlight w:val="none"/>
                <w14:textFill>
                  <w14:solidFill>
                    <w14:schemeClr w14:val="tx1"/>
                  </w14:solidFill>
                </w14:textFill>
              </w:rPr>
              <w:t>→Ca</w:t>
            </w:r>
            <w:r>
              <w:rPr>
                <w:rFonts w:hint="default"/>
                <w:color w:val="000000" w:themeColor="text1"/>
                <w:sz w:val="24"/>
                <w:szCs w:val="20"/>
                <w:highlight w:val="none"/>
                <w:vertAlign w:val="super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O+CO</w:t>
            </w:r>
            <w:r>
              <w:rPr>
                <w:rFonts w:hint="default"/>
                <w:color w:val="000000" w:themeColor="text1"/>
                <w:sz w:val="24"/>
                <w:szCs w:val="20"/>
                <w:highlight w:val="none"/>
                <w:vertAlign w:val="subscript"/>
                <w14:textFill>
                  <w14:solidFill>
                    <w14:schemeClr w14:val="tx1"/>
                  </w14:solidFill>
                </w14:textFill>
              </w:rPr>
              <w:t>2</w:t>
            </w:r>
          </w:p>
          <w:p w14:paraId="1BD75F1E">
            <w:pPr>
              <w:keepNext w:val="0"/>
              <w:keepLines w:val="0"/>
              <w:suppressLineNumbers w:val="0"/>
              <w:kinsoku w:val="0"/>
              <w:autoSpaceDE w:val="0"/>
              <w:autoSpaceDN w:val="0"/>
              <w:spacing w:before="0" w:beforeAutospacing="0" w:after="0" w:afterAutospacing="0" w:line="360" w:lineRule="auto"/>
              <w:ind w:left="0" w:right="0" w:firstLine="476"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pacing w:val="-1"/>
                <w:sz w:val="24"/>
                <w:szCs w:val="20"/>
                <w:highlight w:val="none"/>
                <w14:textFill>
                  <w14:solidFill>
                    <w14:schemeClr w14:val="tx1"/>
                  </w14:solidFill>
                </w14:textFill>
              </w:rPr>
              <w:t>H</w:t>
            </w:r>
            <w:r>
              <w:rPr>
                <w:rFonts w:hint="default"/>
                <w:color w:val="000000" w:themeColor="text1"/>
                <w:spacing w:val="-1"/>
                <w:sz w:val="24"/>
                <w:szCs w:val="20"/>
                <w:highlight w:val="none"/>
                <w:vertAlign w:val="superscript"/>
                <w14:textFill>
                  <w14:solidFill>
                    <w14:schemeClr w14:val="tx1"/>
                  </w14:solidFill>
                </w14:textFill>
              </w:rPr>
              <w:t>+</w:t>
            </w:r>
            <w:r>
              <w:rPr>
                <w:rFonts w:hint="default"/>
                <w:color w:val="000000" w:themeColor="text1"/>
                <w:sz w:val="24"/>
                <w:szCs w:val="20"/>
                <w:highlight w:val="none"/>
                <w14:textFill>
                  <w14:solidFill>
                    <w14:schemeClr w14:val="tx1"/>
                  </w14:solidFill>
                </w14:textFill>
              </w:rPr>
              <w:t>+OH</w:t>
            </w:r>
            <w:r>
              <w:rPr>
                <w:rFonts w:hint="default"/>
                <w:color w:val="000000" w:themeColor="text1"/>
                <w:sz w:val="24"/>
                <w:szCs w:val="20"/>
                <w:highlight w:val="none"/>
                <w:vertAlign w:val="superscript"/>
                <w14:textFill>
                  <w14:solidFill>
                    <w14:schemeClr w14:val="tx1"/>
                  </w14:solidFill>
                </w14:textFill>
              </w:rPr>
              <w:t>-</w:t>
            </w:r>
            <w:r>
              <w:rPr>
                <w:rFonts w:hint="default"/>
                <w:color w:val="000000" w:themeColor="text1"/>
                <w:sz w:val="24"/>
                <w:szCs w:val="20"/>
                <w:highlight w:val="none"/>
                <w14:textFill>
                  <w14:solidFill>
                    <w14:schemeClr w14:val="tx1"/>
                  </w14:solidFill>
                </w14:textFill>
              </w:rPr>
              <w:t>→H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w:t>
            </w:r>
          </w:p>
          <w:p w14:paraId="495EF25E">
            <w:pPr>
              <w:keepNext w:val="0"/>
              <w:keepLines w:val="0"/>
              <w:suppressLineNumbers w:val="0"/>
              <w:kinsoku w:val="0"/>
              <w:autoSpaceDE w:val="0"/>
              <w:autoSpaceDN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NH</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vertAlign w:val="superscript"/>
                <w14:textFill>
                  <w14:solidFill>
                    <w14:schemeClr w14:val="tx1"/>
                  </w14:solidFill>
                </w14:textFill>
              </w:rPr>
              <w:t>+</w:t>
            </w:r>
            <w:r>
              <w:rPr>
                <w:rFonts w:hint="default"/>
                <w:color w:val="000000" w:themeColor="text1"/>
                <w:sz w:val="24"/>
                <w:szCs w:val="20"/>
                <w:highlight w:val="none"/>
                <w14:textFill>
                  <w14:solidFill>
                    <w14:schemeClr w14:val="tx1"/>
                  </w14:solidFill>
                </w14:textFill>
              </w:rPr>
              <w:t>+OH</w:t>
            </w:r>
            <w:r>
              <w:rPr>
                <w:rFonts w:hint="default"/>
                <w:color w:val="000000" w:themeColor="text1"/>
                <w:sz w:val="24"/>
                <w:szCs w:val="20"/>
                <w:highlight w:val="none"/>
                <w:vertAlign w:val="superscript"/>
                <w14:textFill>
                  <w14:solidFill>
                    <w14:schemeClr w14:val="tx1"/>
                  </w14:solidFill>
                </w14:textFill>
              </w:rPr>
              <w:t>-</w:t>
            </w:r>
            <w:r>
              <w:rPr>
                <w:rFonts w:hint="default"/>
                <w:color w:val="000000" w:themeColor="text1"/>
                <w:sz w:val="24"/>
                <w:szCs w:val="20"/>
                <w:highlight w:val="none"/>
                <w14:textFill>
                  <w14:solidFill>
                    <w14:schemeClr w14:val="tx1"/>
                  </w14:solidFill>
                </w14:textFill>
              </w:rPr>
              <w:t>→NH</w:t>
            </w:r>
            <w:r>
              <w:rPr>
                <w:rFonts w:hint="default"/>
                <w:color w:val="000000" w:themeColor="text1"/>
                <w:sz w:val="24"/>
                <w:szCs w:val="20"/>
                <w:highlight w:val="none"/>
                <w:vertAlign w:val="sub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 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w:t>
            </w:r>
          </w:p>
          <w:p w14:paraId="190C3ADB">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（2）难溶盐反应</w:t>
            </w:r>
          </w:p>
          <w:p w14:paraId="553F1D66">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CaO+H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O→Ca（OH）</w:t>
            </w:r>
            <w:r>
              <w:rPr>
                <w:rFonts w:hint="default"/>
                <w:color w:val="000000" w:themeColor="text1"/>
                <w:sz w:val="24"/>
                <w:szCs w:val="20"/>
                <w:highlight w:val="none"/>
                <w:vertAlign w:val="subscript"/>
                <w14:textFill>
                  <w14:solidFill>
                    <w14:schemeClr w14:val="tx1"/>
                  </w14:solidFill>
                </w14:textFill>
              </w:rPr>
              <w:t>2</w:t>
            </w:r>
          </w:p>
          <w:p w14:paraId="07B44F84">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Ca（OH）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+2H</w:t>
            </w:r>
            <w:r>
              <w:rPr>
                <w:rFonts w:hint="default"/>
                <w:color w:val="000000" w:themeColor="text1"/>
                <w:sz w:val="24"/>
                <w:szCs w:val="20"/>
                <w:highlight w:val="none"/>
                <w:vertAlign w:val="sub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→Ca（H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+2H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O+CO</w:t>
            </w:r>
            <w:r>
              <w:rPr>
                <w:rFonts w:hint="default"/>
                <w:color w:val="000000" w:themeColor="text1"/>
                <w:sz w:val="24"/>
                <w:szCs w:val="20"/>
                <w:highlight w:val="none"/>
                <w:vertAlign w:val="subscript"/>
                <w14:textFill>
                  <w14:solidFill>
                    <w14:schemeClr w14:val="tx1"/>
                  </w14:solidFill>
                </w14:textFill>
              </w:rPr>
              <w:t>2</w:t>
            </w:r>
          </w:p>
          <w:p w14:paraId="0669DE4E">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vertAlign w:val="subscript"/>
                <w14:textFill>
                  <w14:solidFill>
                    <w14:schemeClr w14:val="tx1"/>
                  </w14:solidFill>
                </w14:textFill>
              </w:rPr>
            </w:pPr>
            <w:r>
              <w:rPr>
                <w:rFonts w:hint="default"/>
                <w:color w:val="000000" w:themeColor="text1"/>
                <w:sz w:val="24"/>
                <w:szCs w:val="20"/>
                <w:highlight w:val="none"/>
                <w14:textFill>
                  <w14:solidFill>
                    <w14:schemeClr w14:val="tx1"/>
                  </w14:solidFill>
                </w14:textFill>
              </w:rPr>
              <w:t>CaCO</w:t>
            </w:r>
            <w:r>
              <w:rPr>
                <w:rFonts w:hint="default"/>
                <w:color w:val="000000" w:themeColor="text1"/>
                <w:sz w:val="24"/>
                <w:szCs w:val="20"/>
                <w:highlight w:val="none"/>
                <w:vertAlign w:val="sub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+2H</w:t>
            </w:r>
            <w:r>
              <w:rPr>
                <w:rFonts w:hint="default"/>
                <w:color w:val="000000" w:themeColor="text1"/>
                <w:sz w:val="24"/>
                <w:szCs w:val="20"/>
                <w:highlight w:val="none"/>
                <w:vertAlign w:val="sub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→Ca（H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O+CO</w:t>
            </w:r>
            <w:r>
              <w:rPr>
                <w:rFonts w:hint="default"/>
                <w:color w:val="000000" w:themeColor="text1"/>
                <w:sz w:val="24"/>
                <w:szCs w:val="20"/>
                <w:highlight w:val="none"/>
                <w:vertAlign w:val="subscript"/>
                <w14:textFill>
                  <w14:solidFill>
                    <w14:schemeClr w14:val="tx1"/>
                  </w14:solidFill>
                </w14:textFill>
              </w:rPr>
              <w:t>2</w:t>
            </w:r>
          </w:p>
          <w:p w14:paraId="75B2CE21">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2Ca（OH）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+Ca（H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→CaHPO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+4H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w:t>
            </w:r>
          </w:p>
          <w:p w14:paraId="0700CD49">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2Ca（H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+Ca（OH）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→Ca</w:t>
            </w:r>
            <w:r>
              <w:rPr>
                <w:rFonts w:hint="default"/>
                <w:color w:val="000000" w:themeColor="text1"/>
                <w:sz w:val="24"/>
                <w:szCs w:val="20"/>
                <w:highlight w:val="none"/>
                <w:vertAlign w:val="sub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14:textFill>
                  <w14:solidFill>
                    <w14:schemeClr w14:val="tx1"/>
                  </w14:solidFill>
                </w14:textFill>
              </w:rPr>
              <w:t>）</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+2H</w:t>
            </w:r>
            <w:r>
              <w:rPr>
                <w:rFonts w:hint="default"/>
                <w:color w:val="000000" w:themeColor="text1"/>
                <w:sz w:val="24"/>
                <w:szCs w:val="20"/>
                <w:highlight w:val="none"/>
                <w:vertAlign w:val="sub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O</w:t>
            </w:r>
          </w:p>
          <w:p w14:paraId="363E5B3B">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2Ca</w:t>
            </w:r>
            <w:r>
              <w:rPr>
                <w:rFonts w:hint="default"/>
                <w:color w:val="000000" w:themeColor="text1"/>
                <w:sz w:val="24"/>
                <w:szCs w:val="20"/>
                <w:highlight w:val="none"/>
                <w:vertAlign w:val="super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+F</w:t>
            </w:r>
            <w:r>
              <w:rPr>
                <w:rFonts w:hint="default"/>
                <w:color w:val="000000" w:themeColor="text1"/>
                <w:sz w:val="24"/>
                <w:szCs w:val="20"/>
                <w:highlight w:val="none"/>
                <w:vertAlign w:val="superscript"/>
                <w14:textFill>
                  <w14:solidFill>
                    <w14:schemeClr w14:val="tx1"/>
                  </w14:solidFill>
                </w14:textFill>
              </w:rPr>
              <w:t>-</w:t>
            </w:r>
            <w:r>
              <w:rPr>
                <w:rFonts w:hint="default"/>
                <w:color w:val="000000" w:themeColor="text1"/>
                <w:sz w:val="24"/>
                <w:szCs w:val="20"/>
                <w:highlight w:val="none"/>
                <w14:textFill>
                  <w14:solidFill>
                    <w14:schemeClr w14:val="tx1"/>
                  </w14:solidFill>
                </w14:textFill>
              </w:rPr>
              <w:t>→CaF</w:t>
            </w:r>
            <w:r>
              <w:rPr>
                <w:rFonts w:hint="default"/>
                <w:color w:val="000000" w:themeColor="text1"/>
                <w:sz w:val="24"/>
                <w:szCs w:val="20"/>
                <w:highlight w:val="none"/>
                <w:vertAlign w:val="subscript"/>
                <w14:textFill>
                  <w14:solidFill>
                    <w14:schemeClr w14:val="tx1"/>
                  </w14:solidFill>
                </w14:textFill>
              </w:rPr>
              <w:t>2</w:t>
            </w:r>
          </w:p>
          <w:p w14:paraId="74AD4C78">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2Ca</w:t>
            </w:r>
            <w:r>
              <w:rPr>
                <w:rFonts w:hint="default"/>
                <w:color w:val="000000" w:themeColor="text1"/>
                <w:sz w:val="24"/>
                <w:szCs w:val="20"/>
                <w:highlight w:val="none"/>
                <w:vertAlign w:val="super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+SiF6</w:t>
            </w:r>
            <w:r>
              <w:rPr>
                <w:rFonts w:hint="default"/>
                <w:color w:val="000000" w:themeColor="text1"/>
                <w:sz w:val="24"/>
                <w:szCs w:val="20"/>
                <w:highlight w:val="none"/>
                <w:vertAlign w:val="superscript"/>
                <w14:textFill>
                  <w14:solidFill>
                    <w14:schemeClr w14:val="tx1"/>
                  </w14:solidFill>
                </w14:textFill>
              </w:rPr>
              <w:t>2-</w:t>
            </w:r>
            <w:r>
              <w:rPr>
                <w:rFonts w:hint="default"/>
                <w:color w:val="000000" w:themeColor="text1"/>
                <w:sz w:val="24"/>
                <w:szCs w:val="20"/>
                <w:highlight w:val="none"/>
                <w14:textFill>
                  <w14:solidFill>
                    <w14:schemeClr w14:val="tx1"/>
                  </w14:solidFill>
                </w14:textFill>
              </w:rPr>
              <w:t>→CaSiF</w:t>
            </w:r>
            <w:r>
              <w:rPr>
                <w:rFonts w:hint="default"/>
                <w:color w:val="000000" w:themeColor="text1"/>
                <w:sz w:val="24"/>
                <w:szCs w:val="20"/>
                <w:highlight w:val="none"/>
                <w:vertAlign w:val="subscript"/>
                <w14:textFill>
                  <w14:solidFill>
                    <w14:schemeClr w14:val="tx1"/>
                  </w14:solidFill>
                </w14:textFill>
              </w:rPr>
              <w:t>6</w:t>
            </w:r>
          </w:p>
          <w:p w14:paraId="3BC7F38F">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Al</w:t>
            </w:r>
            <w:r>
              <w:rPr>
                <w:rFonts w:hint="default"/>
                <w:color w:val="000000" w:themeColor="text1"/>
                <w:sz w:val="24"/>
                <w:szCs w:val="20"/>
                <w:highlight w:val="none"/>
                <w:vertAlign w:val="super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+F</w:t>
            </w:r>
            <w:r>
              <w:rPr>
                <w:rFonts w:hint="default"/>
                <w:color w:val="000000" w:themeColor="text1"/>
                <w:sz w:val="24"/>
                <w:szCs w:val="20"/>
                <w:highlight w:val="none"/>
                <w:vertAlign w:val="superscript"/>
                <w14:textFill>
                  <w14:solidFill>
                    <w14:schemeClr w14:val="tx1"/>
                  </w14:solidFill>
                </w14:textFill>
              </w:rPr>
              <w:t>-</w:t>
            </w:r>
            <w:r>
              <w:rPr>
                <w:rFonts w:hint="default"/>
                <w:color w:val="000000" w:themeColor="text1"/>
                <w:sz w:val="24"/>
                <w:szCs w:val="20"/>
                <w:highlight w:val="none"/>
                <w14:textFill>
                  <w14:solidFill>
                    <w14:schemeClr w14:val="tx1"/>
                  </w14:solidFill>
                </w14:textFill>
              </w:rPr>
              <w:t>→AlF</w:t>
            </w:r>
            <w:r>
              <w:rPr>
                <w:rFonts w:hint="default"/>
                <w:color w:val="000000" w:themeColor="text1"/>
                <w:sz w:val="24"/>
                <w:szCs w:val="20"/>
                <w:highlight w:val="none"/>
                <w:vertAlign w:val="subscript"/>
                <w14:textFill>
                  <w14:solidFill>
                    <w14:schemeClr w14:val="tx1"/>
                  </w14:solidFill>
                </w14:textFill>
              </w:rPr>
              <w:t>3</w:t>
            </w:r>
          </w:p>
          <w:p w14:paraId="0C43D695">
            <w:pPr>
              <w:keepNext w:val="0"/>
              <w:keepLines w:val="0"/>
              <w:suppressLineNumbers w:val="0"/>
              <w:kinsoku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bookmarkStart w:id="11" w:name="_Hlk159797465"/>
            <w:r>
              <w:rPr>
                <w:rFonts w:hint="default"/>
                <w:color w:val="000000" w:themeColor="text1"/>
                <w:sz w:val="24"/>
                <w:szCs w:val="20"/>
                <w:highlight w:val="none"/>
                <w14:textFill>
                  <w14:solidFill>
                    <w14:schemeClr w14:val="tx1"/>
                  </w14:solidFill>
                </w14:textFill>
              </w:rPr>
              <w:t>Fe</w:t>
            </w:r>
            <w:r>
              <w:rPr>
                <w:rFonts w:hint="default"/>
                <w:color w:val="000000" w:themeColor="text1"/>
                <w:sz w:val="24"/>
                <w:szCs w:val="20"/>
                <w:highlight w:val="none"/>
                <w:vertAlign w:val="superscript"/>
                <w14:textFill>
                  <w14:solidFill>
                    <w14:schemeClr w14:val="tx1"/>
                  </w14:solidFill>
                </w14:textFill>
              </w:rPr>
              <w:t>3+</w:t>
            </w:r>
            <w:r>
              <w:rPr>
                <w:rFonts w:hint="default"/>
                <w:color w:val="000000" w:themeColor="text1"/>
                <w:sz w:val="24"/>
                <w:szCs w:val="20"/>
                <w:highlight w:val="none"/>
                <w14:textFill>
                  <w14:solidFill>
                    <w14:schemeClr w14:val="tx1"/>
                  </w14:solidFill>
                </w14:textFill>
              </w:rPr>
              <w:t>+PO</w:t>
            </w:r>
            <w:r>
              <w:rPr>
                <w:rFonts w:hint="default"/>
                <w:color w:val="000000" w:themeColor="text1"/>
                <w:sz w:val="24"/>
                <w:szCs w:val="20"/>
                <w:highlight w:val="none"/>
                <w:vertAlign w:val="subscript"/>
                <w14:textFill>
                  <w14:solidFill>
                    <w14:schemeClr w14:val="tx1"/>
                  </w14:solidFill>
                </w14:textFill>
              </w:rPr>
              <w:t>4</w:t>
            </w:r>
            <w:r>
              <w:rPr>
                <w:rFonts w:hint="default"/>
                <w:color w:val="000000" w:themeColor="text1"/>
                <w:sz w:val="24"/>
                <w:szCs w:val="20"/>
                <w:highlight w:val="none"/>
                <w:vertAlign w:val="superscript"/>
                <w14:textFill>
                  <w14:solidFill>
                    <w14:schemeClr w14:val="tx1"/>
                  </w14:solidFill>
                </w14:textFill>
              </w:rPr>
              <w:t>3-</w:t>
            </w:r>
            <w:bookmarkEnd w:id="11"/>
            <w:r>
              <w:rPr>
                <w:rFonts w:hint="default"/>
                <w:color w:val="000000" w:themeColor="text1"/>
                <w:sz w:val="24"/>
                <w:szCs w:val="20"/>
                <w:highlight w:val="none"/>
                <w14:textFill>
                  <w14:solidFill>
                    <w14:schemeClr w14:val="tx1"/>
                  </w14:solidFill>
                </w14:textFill>
              </w:rPr>
              <w:t>→FePO</w:t>
            </w:r>
            <w:r>
              <w:rPr>
                <w:rFonts w:hint="default"/>
                <w:color w:val="000000" w:themeColor="text1"/>
                <w:sz w:val="24"/>
                <w:szCs w:val="20"/>
                <w:highlight w:val="none"/>
                <w:vertAlign w:val="subscript"/>
                <w14:textFill>
                  <w14:solidFill>
                    <w14:schemeClr w14:val="tx1"/>
                  </w14:solidFill>
                </w14:textFill>
              </w:rPr>
              <w:t>4</w:t>
            </w:r>
          </w:p>
          <w:p w14:paraId="79741E24">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湿法改性</w:t>
            </w:r>
            <w:r>
              <w:rPr>
                <w:rFonts w:hint="default"/>
                <w:color w:val="000000" w:themeColor="text1"/>
                <w:kern w:val="0"/>
                <w:sz w:val="24"/>
                <w:szCs w:val="20"/>
                <w:highlight w:val="none"/>
                <w14:textFill>
                  <w14:solidFill>
                    <w14:schemeClr w14:val="tx1"/>
                  </w14:solidFill>
                </w14:textFill>
              </w:rPr>
              <w:t>无害化反应在液相中进行，</w:t>
            </w:r>
            <w:r>
              <w:rPr>
                <w:rFonts w:hint="eastAsia"/>
                <w:color w:val="000000" w:themeColor="text1"/>
                <w:kern w:val="0"/>
                <w:sz w:val="24"/>
                <w:szCs w:val="20"/>
                <w:highlight w:val="none"/>
                <w14:textFill>
                  <w14:solidFill>
                    <w14:schemeClr w14:val="tx1"/>
                  </w14:solidFill>
                </w14:textFill>
              </w:rPr>
              <w:t>通过</w:t>
            </w:r>
            <w:r>
              <w:rPr>
                <w:rFonts w:hint="default"/>
                <w:color w:val="000000" w:themeColor="text1"/>
                <w:kern w:val="0"/>
                <w:sz w:val="24"/>
                <w:szCs w:val="20"/>
                <w:highlight w:val="none"/>
                <w14:textFill>
                  <w14:solidFill>
                    <w14:schemeClr w14:val="tx1"/>
                  </w14:solidFill>
                </w14:textFill>
              </w:rPr>
              <w:t>充分反应</w:t>
            </w:r>
            <w:r>
              <w:rPr>
                <w:rFonts w:hint="eastAsia"/>
                <w:color w:val="000000" w:themeColor="text1"/>
                <w:kern w:val="0"/>
                <w:sz w:val="24"/>
                <w:szCs w:val="20"/>
                <w:highlight w:val="none"/>
                <w14:textFill>
                  <w14:solidFill>
                    <w14:schemeClr w14:val="tx1"/>
                  </w14:solidFill>
                </w14:textFill>
              </w:rPr>
              <w:t>可以</w:t>
            </w:r>
            <w:r>
              <w:rPr>
                <w:rFonts w:hint="default"/>
                <w:color w:val="000000" w:themeColor="text1"/>
                <w:kern w:val="0"/>
                <w:sz w:val="24"/>
                <w:szCs w:val="20"/>
                <w:highlight w:val="none"/>
                <w14:textFill>
                  <w14:solidFill>
                    <w14:schemeClr w14:val="tx1"/>
                  </w14:solidFill>
                </w14:textFill>
              </w:rPr>
              <w:t>减少后期pH变化空间，以保证无害化处理质量的稳定性。</w:t>
            </w:r>
          </w:p>
          <w:p w14:paraId="611D877E">
            <w:pPr>
              <w:keepNext w:val="0"/>
              <w:keepLines w:val="0"/>
              <w:suppressLineNumbers w:val="0"/>
              <w:spacing w:before="0" w:beforeLines="-2147483648" w:beforeAutospacing="0" w:after="0" w:afterAutospacing="0" w:line="360" w:lineRule="auto"/>
              <w:ind w:left="0" w:right="0" w:firstLine="482" w:firstLineChars="200"/>
              <w:rPr>
                <w:rFonts w:hint="eastAsia" w:ascii="Times New Roman" w:hAnsi="Times New Roman" w:eastAsia="宋体" w:cs="Times New Roman"/>
                <w:b/>
                <w:bCs/>
                <w:color w:val="000000" w:themeColor="text1"/>
                <w:sz w:val="24"/>
                <w:szCs w:val="22"/>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2"/>
                <w:highlight w:val="none"/>
                <w:lang w:val="en-US" w:eastAsia="zh-CN"/>
                <w14:textFill>
                  <w14:solidFill>
                    <w14:schemeClr w14:val="tx1"/>
                  </w14:solidFill>
                </w14:textFill>
              </w:rPr>
              <w:t>二、试验开展情况</w:t>
            </w:r>
          </w:p>
          <w:p w14:paraId="6C90AFA9">
            <w:pPr>
              <w:keepNext w:val="0"/>
              <w:keepLines w:val="0"/>
              <w:suppressLineNumbers w:val="0"/>
              <w:spacing w:before="0" w:beforeLines="-2147483648"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本改性配比及工艺参数均来自昆明理工大学实验室专项专利技术，技术成熟、配比精准、适配性强。实验室针对该2%生石灰+4%固化剂复合改性方案开展了多组平行对照试验，系统验证了改性磷石膏的无害化效果、工程性能及环境安全性。试验过程严格遵循固废改性及环境检测相关规范，精准控制改性剂掺量、拌合比例、养护条件等关键参数，确保改性反应充分、性能稳定。</w:t>
            </w:r>
          </w:p>
          <w:p w14:paraId="54DF2903">
            <w:pPr>
              <w:keepNext w:val="0"/>
              <w:keepLines w:val="0"/>
              <w:suppressLineNumbers w:val="0"/>
              <w:spacing w:before="0" w:beforeLines="-2147483648"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试验结果表明，经该专利配比改性后的磷石膏，可溶性磷、氟等有害污染物浸出浓度显著降低，完全满足一般工业固废填埋及矿山生态修复材料环保标准；同时物料压实性能、固结强度、抗渗稳定性均得到大幅提升，解决了原生磷石膏易溶蚀、强度低、稳定性差的缺陷。改性后物料理化性质均匀、性能稳定，无二次污染风险，可安全用于矿山凹陷区填埋、边坡基底回填、生态土层铺垫等矿山生态修复工程，实现工业固废资源化高效利用，兼具生态效益、环保效益和资源利用效益。</w:t>
            </w:r>
          </w:p>
          <w:p w14:paraId="56012905">
            <w:pPr>
              <w:pStyle w:val="17"/>
              <w:keepNext w:val="0"/>
              <w:keepLines w:val="0"/>
              <w:pageBreakBefore w:val="0"/>
              <w:widowControl/>
              <w:suppressLineNumbers w:val="0"/>
              <w:kinsoku/>
              <w:wordWrap/>
              <w:overflowPunct/>
              <w:topLinePunct w:val="0"/>
              <w:autoSpaceDE/>
              <w:autoSpaceDN/>
              <w:bidi w:val="0"/>
              <w:adjustRightInd/>
              <w:snapToGrid w:val="0"/>
              <w:spacing w:beforeAutospacing="0" w:afterAutospacing="0" w:line="260" w:lineRule="auto"/>
              <w:ind w:left="0" w:right="113" w:firstLine="562" w:firstLineChars="200"/>
              <w:textAlignment w:val="auto"/>
              <w:rPr>
                <w:rFonts w:hint="eastAsia" w:eastAsia="宋体"/>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2.7</w:t>
            </w:r>
            <w:r>
              <w:rPr>
                <w:rFonts w:hint="eastAsia"/>
                <w:b/>
                <w:bCs/>
                <w:color w:val="000000" w:themeColor="text1"/>
                <w:sz w:val="28"/>
                <w:szCs w:val="28"/>
                <w:highlight w:val="none"/>
                <w14:textFill>
                  <w14:solidFill>
                    <w14:schemeClr w14:val="tx1"/>
                  </w14:solidFill>
                </w14:textFill>
              </w:rPr>
              <w:t>水平衡</w:t>
            </w:r>
            <w:r>
              <w:rPr>
                <w:rFonts w:hint="eastAsia"/>
                <w:b/>
                <w:bCs/>
                <w:color w:val="000000" w:themeColor="text1"/>
                <w:sz w:val="28"/>
                <w:szCs w:val="28"/>
                <w:highlight w:val="none"/>
                <w:lang w:val="en-US" w:eastAsia="zh-CN"/>
                <w14:textFill>
                  <w14:solidFill>
                    <w14:schemeClr w14:val="tx1"/>
                  </w14:solidFill>
                </w14:textFill>
              </w:rPr>
              <w:t>分析</w:t>
            </w:r>
          </w:p>
          <w:p w14:paraId="48B4230E">
            <w:pPr>
              <w:keepNext w:val="0"/>
              <w:keepLines w:val="0"/>
              <w:suppressLineNumbers w:val="0"/>
              <w:spacing w:before="0" w:beforeLines="-2147483648" w:beforeAutospacing="0" w:after="0" w:afterAutospacing="0" w:line="360" w:lineRule="auto"/>
              <w:ind w:left="0" w:right="0" w:firstLine="480" w:firstLineChars="200"/>
              <w:rPr>
                <w:rFonts w:hint="default"/>
                <w:color w:val="000000" w:themeColor="text1"/>
                <w:sz w:val="24"/>
                <w:szCs w:val="22"/>
                <w:highlight w:val="none"/>
                <w14:textFill>
                  <w14:solidFill>
                    <w14:schemeClr w14:val="tx1"/>
                  </w14:solidFill>
                </w14:textFill>
              </w:rPr>
            </w:pPr>
            <w:r>
              <w:rPr>
                <w:rFonts w:hint="default"/>
                <w:color w:val="000000" w:themeColor="text1"/>
                <w:sz w:val="24"/>
                <w:szCs w:val="22"/>
                <w:highlight w:val="none"/>
                <w14:textFill>
                  <w14:solidFill>
                    <w14:schemeClr w14:val="tx1"/>
                  </w14:solidFill>
                </w14:textFill>
              </w:rPr>
              <w:t>本项目供水依托</w:t>
            </w:r>
            <w:r>
              <w:rPr>
                <w:rFonts w:hint="eastAsia"/>
                <w:color w:val="000000" w:themeColor="text1"/>
                <w:sz w:val="24"/>
                <w:szCs w:val="22"/>
                <w:highlight w:val="none"/>
                <w:lang w:val="en-US" w:eastAsia="zh-CN"/>
                <w14:textFill>
                  <w14:solidFill>
                    <w14:schemeClr w14:val="tx1"/>
                  </w14:solidFill>
                </w14:textFill>
              </w:rPr>
              <w:t>租赁场地现有给水管网，</w:t>
            </w:r>
            <w:r>
              <w:rPr>
                <w:rFonts w:hint="default"/>
                <w:color w:val="000000" w:themeColor="text1"/>
                <w:sz w:val="24"/>
                <w:szCs w:val="22"/>
                <w:highlight w:val="none"/>
                <w14:textFill>
                  <w14:solidFill>
                    <w14:schemeClr w14:val="tx1"/>
                  </w14:solidFill>
                </w14:textFill>
              </w:rPr>
              <w:t>水源为自来水，供水压力及水量满足项目生产、生活及消防需求。</w:t>
            </w:r>
          </w:p>
          <w:p w14:paraId="1A93AEC5">
            <w:pPr>
              <w:keepNext w:val="0"/>
              <w:keepLines w:val="0"/>
              <w:suppressLineNumbers w:val="0"/>
              <w:spacing w:before="0" w:beforeLines="-2147483648" w:beforeAutospacing="0" w:after="0" w:afterAutospacing="0" w:line="360" w:lineRule="auto"/>
              <w:ind w:left="0" w:right="0" w:firstLine="480" w:firstLineChars="200"/>
              <w:rPr>
                <w:rFonts w:hint="default"/>
                <w:color w:val="000000" w:themeColor="text1"/>
                <w:sz w:val="24"/>
                <w:szCs w:val="22"/>
                <w:highlight w:val="none"/>
                <w14:textFill>
                  <w14:solidFill>
                    <w14:schemeClr w14:val="tx1"/>
                  </w14:solidFill>
                </w14:textFill>
              </w:rPr>
            </w:pPr>
            <w:r>
              <w:rPr>
                <w:rFonts w:hint="default"/>
                <w:color w:val="000000" w:themeColor="text1"/>
                <w:sz w:val="24"/>
                <w:szCs w:val="22"/>
                <w:highlight w:val="none"/>
                <w14:textFill>
                  <w14:solidFill>
                    <w14:schemeClr w14:val="tx1"/>
                  </w14:solidFill>
                </w14:textFill>
              </w:rPr>
              <w:t>本项目用水环节</w:t>
            </w:r>
            <w:r>
              <w:rPr>
                <w:rFonts w:hint="eastAsia"/>
                <w:color w:val="000000" w:themeColor="text1"/>
                <w:sz w:val="24"/>
                <w:szCs w:val="22"/>
                <w:highlight w:val="none"/>
                <w:lang w:val="en-US" w:eastAsia="zh-CN"/>
                <w14:textFill>
                  <w14:solidFill>
                    <w14:schemeClr w14:val="tx1"/>
                  </w14:solidFill>
                </w14:textFill>
              </w:rPr>
              <w:t>主要为</w:t>
            </w:r>
            <w:r>
              <w:rPr>
                <w:rFonts w:hint="default"/>
                <w:color w:val="000000" w:themeColor="text1"/>
                <w:sz w:val="24"/>
                <w:szCs w:val="22"/>
                <w:highlight w:val="none"/>
                <w14:textFill>
                  <w14:solidFill>
                    <w14:schemeClr w14:val="tx1"/>
                  </w14:solidFill>
                </w14:textFill>
              </w:rPr>
              <w:t>磷石膏改性工艺补水及厂区洒水降尘用水。</w:t>
            </w:r>
          </w:p>
          <w:p w14:paraId="5A632982">
            <w:pPr>
              <w:keepNext w:val="0"/>
              <w:keepLines w:val="0"/>
              <w:suppressLineNumbers w:val="0"/>
              <w:spacing w:before="0" w:beforeLines="-2147483648" w:beforeAutospacing="0" w:after="0" w:afterAutospacing="0" w:line="360" w:lineRule="auto"/>
              <w:ind w:left="0" w:right="0" w:firstLine="482" w:firstLineChars="200"/>
              <w:rPr>
                <w:rFonts w:hint="eastAsia"/>
                <w:b/>
                <w:bCs/>
                <w:color w:val="000000" w:themeColor="text1"/>
                <w:sz w:val="24"/>
                <w:szCs w:val="22"/>
                <w:highlight w:val="none"/>
                <w:lang w:val="en-US" w:eastAsia="zh-CN"/>
                <w14:textFill>
                  <w14:solidFill>
                    <w14:schemeClr w14:val="tx1"/>
                  </w14:solidFill>
                </w14:textFill>
              </w:rPr>
            </w:pPr>
            <w:r>
              <w:rPr>
                <w:rFonts w:hint="eastAsia"/>
                <w:b/>
                <w:bCs/>
                <w:color w:val="000000" w:themeColor="text1"/>
                <w:sz w:val="24"/>
                <w:szCs w:val="22"/>
                <w:highlight w:val="none"/>
                <w:lang w:eastAsia="zh-CN"/>
                <w14:textFill>
                  <w14:solidFill>
                    <w14:schemeClr w14:val="tx1"/>
                  </w14:solidFill>
                </w14:textFill>
              </w:rPr>
              <w:t>（</w:t>
            </w:r>
            <w:r>
              <w:rPr>
                <w:rFonts w:hint="eastAsia"/>
                <w:b/>
                <w:bCs/>
                <w:color w:val="000000" w:themeColor="text1"/>
                <w:sz w:val="24"/>
                <w:szCs w:val="22"/>
                <w:highlight w:val="none"/>
                <w:lang w:val="en-US" w:eastAsia="zh-CN"/>
                <w14:textFill>
                  <w14:solidFill>
                    <w14:schemeClr w14:val="tx1"/>
                  </w14:solidFill>
                </w14:textFill>
              </w:rPr>
              <w:t>1</w:t>
            </w:r>
            <w:r>
              <w:rPr>
                <w:rFonts w:hint="eastAsia"/>
                <w:b/>
                <w:bCs/>
                <w:color w:val="000000" w:themeColor="text1"/>
                <w:sz w:val="24"/>
                <w:szCs w:val="22"/>
                <w:highlight w:val="none"/>
                <w:lang w:eastAsia="zh-CN"/>
                <w14:textFill>
                  <w14:solidFill>
                    <w14:schemeClr w14:val="tx1"/>
                  </w14:solidFill>
                </w14:textFill>
              </w:rPr>
              <w:t>）</w:t>
            </w:r>
            <w:r>
              <w:rPr>
                <w:rFonts w:hint="eastAsia"/>
                <w:b/>
                <w:bCs/>
                <w:color w:val="000000" w:themeColor="text1"/>
                <w:sz w:val="24"/>
                <w:szCs w:val="22"/>
                <w:highlight w:val="none"/>
                <w:lang w:val="en-US" w:eastAsia="zh-CN"/>
                <w14:textFill>
                  <w14:solidFill>
                    <w14:schemeClr w14:val="tx1"/>
                  </w14:solidFill>
                </w14:textFill>
              </w:rPr>
              <w:t>员工生活废水</w:t>
            </w:r>
          </w:p>
          <w:p w14:paraId="39A83B35">
            <w:pPr>
              <w:keepNext w:val="0"/>
              <w:keepLines w:val="0"/>
              <w:suppressLineNumbers w:val="0"/>
              <w:spacing w:before="0" w:beforeLines="-2147483648" w:beforeAutospacing="0" w:after="0" w:afterAutospacing="0" w:line="360" w:lineRule="auto"/>
              <w:ind w:left="0" w:right="0" w:firstLine="480" w:firstLineChars="200"/>
              <w:rPr>
                <w:rFonts w:hint="default"/>
                <w:color w:val="000000" w:themeColor="text1"/>
                <w:sz w:val="24"/>
                <w:szCs w:val="22"/>
                <w:highlight w:val="none"/>
                <w:lang w:val="en-US" w:eastAsia="zh-CN"/>
                <w14:textFill>
                  <w14:solidFill>
                    <w14:schemeClr w14:val="tx1"/>
                  </w14:solidFill>
                </w14:textFill>
              </w:rPr>
            </w:pPr>
            <w:r>
              <w:rPr>
                <w:rFonts w:hint="eastAsia"/>
                <w:color w:val="000000" w:themeColor="text1"/>
                <w:sz w:val="24"/>
                <w:szCs w:val="22"/>
                <w:highlight w:val="none"/>
                <w:lang w:val="en-US" w:eastAsia="zh-CN"/>
                <w14:textFill>
                  <w14:solidFill>
                    <w14:schemeClr w14:val="tx1"/>
                  </w14:solidFill>
                </w14:textFill>
              </w:rPr>
              <w:t>本项目劳动定员为20人，员工均不在厂区食宿，员工生活废水主要为员工盥洗废水（洗手洗脸废水），以及如厕废水，员工盥洗废水及如厕废水均依托租赁场地原有化粪池处理后，定期由周边居民清掏肥田。</w:t>
            </w:r>
          </w:p>
          <w:p w14:paraId="5222F260">
            <w:pPr>
              <w:keepNext w:val="0"/>
              <w:keepLines w:val="0"/>
              <w:suppressLineNumbers w:val="0"/>
              <w:spacing w:before="0" w:beforeLines="-2147483648" w:beforeAutospacing="0" w:after="0" w:afterAutospacing="0" w:line="360" w:lineRule="auto"/>
              <w:ind w:left="0" w:right="0" w:firstLine="482" w:firstLineChars="200"/>
              <w:rPr>
                <w:rFonts w:hint="eastAsia"/>
                <w:b/>
                <w:bCs/>
                <w:color w:val="000000" w:themeColor="text1"/>
                <w:sz w:val="24"/>
                <w:szCs w:val="22"/>
                <w:highlight w:val="none"/>
                <w:lang w:eastAsia="zh-CN"/>
                <w14:textFill>
                  <w14:solidFill>
                    <w14:schemeClr w14:val="tx1"/>
                  </w14:solidFill>
                </w14:textFill>
              </w:rPr>
            </w:pPr>
            <w:r>
              <w:rPr>
                <w:rFonts w:hint="eastAsia"/>
                <w:b/>
                <w:bCs/>
                <w:color w:val="000000" w:themeColor="text1"/>
                <w:sz w:val="24"/>
                <w:szCs w:val="22"/>
                <w:highlight w:val="none"/>
                <w:lang w:eastAsia="zh-CN"/>
                <w14:textFill>
                  <w14:solidFill>
                    <w14:schemeClr w14:val="tx1"/>
                  </w14:solidFill>
                </w14:textFill>
              </w:rPr>
              <w:t>（</w:t>
            </w:r>
            <w:r>
              <w:rPr>
                <w:rFonts w:hint="eastAsia"/>
                <w:b/>
                <w:bCs/>
                <w:color w:val="000000" w:themeColor="text1"/>
                <w:sz w:val="24"/>
                <w:szCs w:val="22"/>
                <w:highlight w:val="none"/>
                <w:lang w:val="en-US" w:eastAsia="zh-CN"/>
                <w14:textFill>
                  <w14:solidFill>
                    <w14:schemeClr w14:val="tx1"/>
                  </w14:solidFill>
                </w14:textFill>
              </w:rPr>
              <w:t>2</w:t>
            </w:r>
            <w:r>
              <w:rPr>
                <w:rFonts w:hint="eastAsia"/>
                <w:b/>
                <w:bCs/>
                <w:color w:val="000000" w:themeColor="text1"/>
                <w:sz w:val="24"/>
                <w:szCs w:val="22"/>
                <w:highlight w:val="none"/>
                <w:lang w:eastAsia="zh-CN"/>
                <w14:textFill>
                  <w14:solidFill>
                    <w14:schemeClr w14:val="tx1"/>
                  </w14:solidFill>
                </w14:textFill>
              </w:rPr>
              <w:t>）磷石膏改性工艺补水</w:t>
            </w:r>
          </w:p>
          <w:p w14:paraId="7EAE3882">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highlight w:val="none"/>
                <w:lang w:eastAsia="zh-CN"/>
                <w14:textFill>
                  <w14:solidFill>
                    <w14:schemeClr w14:val="tx1"/>
                  </w14:solidFill>
                </w14:textFill>
              </w:rPr>
            </w:pPr>
            <w:r>
              <w:rPr>
                <w:rFonts w:hint="eastAsia"/>
                <w:color w:val="000000" w:themeColor="text1"/>
                <w:sz w:val="24"/>
                <w:szCs w:val="22"/>
                <w:highlight w:val="none"/>
                <w:lang w:eastAsia="zh-CN"/>
                <w14:textFill>
                  <w14:solidFill>
                    <w14:schemeClr w14:val="tx1"/>
                  </w14:solidFill>
                </w14:textFill>
              </w:rPr>
              <w:t>项目磷石膏</w:t>
            </w:r>
            <w:r>
              <w:rPr>
                <w:rFonts w:hint="eastAsia"/>
                <w:color w:val="000000" w:themeColor="text1"/>
                <w:sz w:val="24"/>
                <w:szCs w:val="22"/>
                <w:highlight w:val="none"/>
                <w:lang w:val="en-US" w:eastAsia="zh-CN"/>
                <w14:textFill>
                  <w14:solidFill>
                    <w14:schemeClr w14:val="tx1"/>
                  </w14:solidFill>
                </w14:textFill>
              </w:rPr>
              <w:t>改性工程处理</w:t>
            </w:r>
            <w:r>
              <w:rPr>
                <w:rFonts w:hint="eastAsia"/>
                <w:color w:val="000000" w:themeColor="text1"/>
                <w:sz w:val="24"/>
                <w:szCs w:val="22"/>
                <w:highlight w:val="none"/>
                <w:lang w:eastAsia="zh-CN"/>
                <w14:textFill>
                  <w14:solidFill>
                    <w14:schemeClr w14:val="tx1"/>
                  </w14:solidFill>
                </w14:textFill>
              </w:rPr>
              <w:t>规模</w:t>
            </w:r>
            <w:r>
              <w:rPr>
                <w:rFonts w:hint="eastAsia"/>
                <w:color w:val="000000" w:themeColor="text1"/>
                <w:sz w:val="24"/>
                <w:szCs w:val="22"/>
                <w:highlight w:val="none"/>
                <w:lang w:val="en-US" w:eastAsia="zh-CN"/>
                <w14:textFill>
                  <w14:solidFill>
                    <w14:schemeClr w14:val="tx1"/>
                  </w14:solidFill>
                </w14:textFill>
              </w:rPr>
              <w:t>9000</w:t>
            </w:r>
            <w:r>
              <w:rPr>
                <w:rFonts w:hint="eastAsia"/>
                <w:color w:val="000000" w:themeColor="text1"/>
                <w:sz w:val="24"/>
                <w:szCs w:val="22"/>
                <w:highlight w:val="none"/>
                <w:lang w:eastAsia="zh-CN"/>
                <w14:textFill>
                  <w14:solidFill>
                    <w14:schemeClr w14:val="tx1"/>
                  </w14:solidFill>
                </w14:textFill>
              </w:rPr>
              <w:t>t/d（湿基，含水率约15%），改性目标含水率20%～25%。生产工序需补充新鲜水调节物料含水率，补水量约</w:t>
            </w:r>
            <w:r>
              <w:rPr>
                <w:rFonts w:hint="eastAsia"/>
                <w:color w:val="000000" w:themeColor="text1"/>
                <w:sz w:val="24"/>
                <w:szCs w:val="22"/>
                <w:highlight w:val="none"/>
                <w:lang w:val="en-US" w:eastAsia="zh-CN"/>
                <w14:textFill>
                  <w14:solidFill>
                    <w14:schemeClr w14:val="tx1"/>
                  </w14:solidFill>
                </w14:textFill>
              </w:rPr>
              <w:t>900</w:t>
            </w:r>
            <w:r>
              <w:rPr>
                <w:rFonts w:hint="eastAsia"/>
                <w:color w:val="000000" w:themeColor="text1"/>
                <w:sz w:val="24"/>
                <w:szCs w:val="22"/>
                <w:highlight w:val="none"/>
                <w:lang w:eastAsia="zh-CN"/>
                <w14:textFill>
                  <w14:solidFill>
                    <w14:schemeClr w14:val="tx1"/>
                  </w14:solidFill>
                </w14:textFill>
              </w:rPr>
              <w:t>m³/d。该部分水全部进入改性磷石膏产品，随生态修复回填消纳，无废水产生。</w:t>
            </w:r>
          </w:p>
          <w:p w14:paraId="6C7A2374">
            <w:pPr>
              <w:keepNext w:val="0"/>
              <w:keepLines w:val="0"/>
              <w:suppressLineNumbers w:val="0"/>
              <w:spacing w:before="0" w:beforeLines="-2147483648" w:beforeAutospacing="0" w:after="0" w:afterAutospacing="0" w:line="360" w:lineRule="auto"/>
              <w:ind w:left="0" w:right="0" w:firstLine="482" w:firstLineChars="200"/>
              <w:rPr>
                <w:rFonts w:hint="eastAsia"/>
                <w:b/>
                <w:bCs/>
                <w:color w:val="000000" w:themeColor="text1"/>
                <w:sz w:val="24"/>
                <w:szCs w:val="22"/>
                <w:highlight w:val="none"/>
                <w:lang w:eastAsia="zh-CN"/>
                <w14:textFill>
                  <w14:solidFill>
                    <w14:schemeClr w14:val="tx1"/>
                  </w14:solidFill>
                </w14:textFill>
              </w:rPr>
            </w:pPr>
            <w:r>
              <w:rPr>
                <w:rFonts w:hint="eastAsia"/>
                <w:b/>
                <w:bCs/>
                <w:color w:val="000000" w:themeColor="text1"/>
                <w:sz w:val="24"/>
                <w:szCs w:val="22"/>
                <w:highlight w:val="none"/>
                <w:lang w:eastAsia="zh-CN"/>
                <w14:textFill>
                  <w14:solidFill>
                    <w14:schemeClr w14:val="tx1"/>
                  </w14:solidFill>
                </w14:textFill>
              </w:rPr>
              <w:t>（</w:t>
            </w:r>
            <w:r>
              <w:rPr>
                <w:rFonts w:hint="eastAsia"/>
                <w:b/>
                <w:bCs/>
                <w:color w:val="000000" w:themeColor="text1"/>
                <w:sz w:val="24"/>
                <w:szCs w:val="22"/>
                <w:highlight w:val="none"/>
                <w:lang w:val="en-US" w:eastAsia="zh-CN"/>
                <w14:textFill>
                  <w14:solidFill>
                    <w14:schemeClr w14:val="tx1"/>
                  </w14:solidFill>
                </w14:textFill>
              </w:rPr>
              <w:t>3</w:t>
            </w:r>
            <w:r>
              <w:rPr>
                <w:rFonts w:hint="eastAsia"/>
                <w:b/>
                <w:bCs/>
                <w:color w:val="000000" w:themeColor="text1"/>
                <w:sz w:val="24"/>
                <w:szCs w:val="22"/>
                <w:highlight w:val="none"/>
                <w:lang w:eastAsia="zh-CN"/>
                <w14:textFill>
                  <w14:solidFill>
                    <w14:schemeClr w14:val="tx1"/>
                  </w14:solidFill>
                </w14:textFill>
              </w:rPr>
              <w:t>）洒水降尘用水</w:t>
            </w:r>
          </w:p>
          <w:p w14:paraId="2F50792A">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本项目厂区</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硬化地面及</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道路面积合计约</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2040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项目年运营300天，</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雨天数</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99</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天计</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，非雨天数以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天计。</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根据《云南省地方标准用水定额》（DB53/T168-2019），场地浇洒用水量为2L/m</w:t>
            </w:r>
            <w:r>
              <w:rPr>
                <w:rFonts w:hint="default" w:ascii="Times New Roman" w:hAnsi="Times New Roman" w:eastAsia="宋体" w:cs="Times New Roman"/>
                <w:color w:val="000000" w:themeColor="text1"/>
                <w:position w:val="7"/>
                <w:sz w:val="15"/>
                <w:szCs w:val="15"/>
                <w:highlight w:val="none"/>
                <w:lang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次</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。项目道路非雨天</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每天洒水</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次，</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雨天不洒水，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则厂区</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硬化地面及</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道路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洒水降尘</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用水量约</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8.16</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/d</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1640.16</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a，该部分用水全部蒸发损耗。</w:t>
            </w:r>
          </w:p>
          <w:p w14:paraId="15E91161">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喷雾降尘用水</w:t>
            </w:r>
          </w:p>
          <w:p w14:paraId="1E4F0B08">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改性车间内设置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喷雾降尘系统</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和雾炮机，该系统</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用水量约45~50L·min，本评价按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50</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L·min计算，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年工作300天，每天10h，</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雨天不进行喷雾降尘。项目年运营300天，雨天数</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99</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天计</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，非雨天数以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天计。非雨天喷雾降尘用水总量约为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/d</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6030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a，该部分用水全部蒸发损耗。</w:t>
            </w:r>
          </w:p>
          <w:p w14:paraId="7D438D1E">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）初期雨</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水</w:t>
            </w:r>
          </w:p>
          <w:p w14:paraId="2389A6DF">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A.年均降水量</w:t>
            </w:r>
          </w:p>
          <w:p w14:paraId="72D383DD">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本评价根据寻甸县常年</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平均降水量对项目区域初期雨水产生量进行核算，</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公式如下：</w:t>
            </w:r>
          </w:p>
          <w:p w14:paraId="3776A0BC">
            <w:pPr>
              <w:pStyle w:val="273"/>
              <w:keepNext w:val="0"/>
              <w:keepLines w:val="0"/>
              <w:suppressLineNumbers w:val="0"/>
              <w:kinsoku/>
              <w:overflowPunct w:val="0"/>
              <w:autoSpaceDE/>
              <w:autoSpaceDN/>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Q=A·</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φ</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·F</w:t>
            </w:r>
          </w:p>
          <w:p w14:paraId="5D01120E">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式中：A—年降雨量</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m/a</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（根据寻甸县概况（2024年）：http://www.kmxd.gov.cn/c/2025-10-16/7063195.shtml，寻甸县常年平均降水量1018.8</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mm</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，即1.0188m）</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0D1E810D">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1200" w:firstLineChars="5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F—汇水面积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项目雨水汇水面积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厂区面积除去绿化区域及办公区域共计8700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66497AA8">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1200" w:firstLineChars="5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φ—地表径流系数，（根据《室外排水设计标准》（GB50014-2021），本项目场地已硬化，取值0.85）。</w:t>
            </w:r>
          </w:p>
          <w:p w14:paraId="2BF35BF2">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经计算，本项目初期雨水产生量为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7534.03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/a。项目厂区周围设排水沟，初期雨水经排水沟收集至</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初期雨水收集池。初期雨水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经沉淀</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处理</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后</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回用于厂区降尘，非雨天按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天计，则每日需回用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37.48</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321B0F62">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B.最大暴雨量</w:t>
            </w:r>
          </w:p>
          <w:p w14:paraId="5329EC7B">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本评价根据暴雨强度公</w:t>
            </w: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式对初期雨水收集池容积进行核算</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，暴雨强度公式参照段燕楠，王赟，杨芳园，刘彬，周稀。昆明市暴雨强度公式推算与对比[J].气象科技，2017，45(1):87~91推算的2015版暴雨强度公式：</w:t>
            </w:r>
          </w:p>
          <w:p w14:paraId="0A620846">
            <w:pPr>
              <w:pStyle w:val="273"/>
              <w:keepNext w:val="0"/>
              <w:keepLines w:val="0"/>
              <w:suppressLineNumbers w:val="0"/>
              <w:kinsoku/>
              <w:overflowPunct w:val="0"/>
              <w:autoSpaceDE/>
              <w:autoSpaceDN/>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drawing>
                <wp:inline distT="0" distB="0" distL="114300" distR="114300">
                  <wp:extent cx="2789555" cy="667385"/>
                  <wp:effectExtent l="0" t="0" r="10795" b="1841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3"/>
                          <a:stretch>
                            <a:fillRect/>
                          </a:stretch>
                        </pic:blipFill>
                        <pic:spPr>
                          <a:xfrm>
                            <a:off x="0" y="0"/>
                            <a:ext cx="2789555" cy="667385"/>
                          </a:xfrm>
                          <a:prstGeom prst="rect">
                            <a:avLst/>
                          </a:prstGeom>
                          <a:noFill/>
                          <a:ln>
                            <a:noFill/>
                          </a:ln>
                        </pic:spPr>
                      </pic:pic>
                    </a:graphicData>
                  </a:graphic>
                </wp:inline>
              </w:drawing>
            </w:r>
          </w:p>
          <w:p w14:paraId="6DE413E2">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式中：q—设计暴雨强度（升/秒•公顷）</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61DBB69E">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1200" w:firstLineChars="5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P—设计重现期，年（取1）</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44F9AC6E">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1200" w:firstLineChars="500"/>
              <w:jc w:val="both"/>
              <w:rPr>
                <w:rFonts w:hint="default" w:ascii="Times New Roman" w:hAnsi="Times New Roman" w:eastAsia="宋体" w:cs="Times New Roman"/>
                <w:color w:val="000000" w:themeColor="text1"/>
                <w:position w:val="2"/>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t—降雨历时</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，h</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（取</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5</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min，即0.25h</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3958DA6B">
            <w:pPr>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kern w:val="2"/>
                <w:sz w:val="24"/>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eastAsia="zh-CN"/>
                <w14:textFill>
                  <w14:solidFill>
                    <w14:schemeClr w14:val="tx1"/>
                  </w14:solidFill>
                </w14:textFill>
              </w:rPr>
              <w:t>雨水汇水量根据下面计算公式：</w:t>
            </w:r>
          </w:p>
          <w:p w14:paraId="20C00846">
            <w:pPr>
              <w:keepNext w:val="0"/>
              <w:keepLines w:val="0"/>
              <w:suppressLineNumbers w:val="0"/>
              <w:kinsoku/>
              <w:overflowPunct w:val="0"/>
              <w:autoSpaceDE/>
              <w:autoSpaceDN/>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object>
                <v:shape id="_x0000_i1025" o:spt="75" type="#_x0000_t75" style="height:17.1pt;width:67.45pt;" o:ole="t" filled="t" o:preferrelative="t" stroked="f" coordsize="21600,21600">
                  <v:path/>
                  <v:fill on="t"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14:paraId="020A3143">
            <w:pPr>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kern w:val="2"/>
                <w:sz w:val="24"/>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eastAsia="zh-CN"/>
                <w14:textFill>
                  <w14:solidFill>
                    <w14:schemeClr w14:val="tx1"/>
                  </w14:solidFill>
                </w14:textFill>
              </w:rPr>
              <w:t>式中：Q—雨水流量，L/s；</w:t>
            </w:r>
          </w:p>
          <w:p w14:paraId="5C1083EC">
            <w:pPr>
              <w:keepNext w:val="0"/>
              <w:keepLines w:val="0"/>
              <w:suppressLineNumbers w:val="0"/>
              <w:kinsoku/>
              <w:overflowPunct w:val="0"/>
              <w:autoSpaceDE/>
              <w:autoSpaceDN/>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color w:val="000000" w:themeColor="text1"/>
                <w:kern w:val="2"/>
                <w:sz w:val="24"/>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eastAsia="zh-CN"/>
                <w14:textFill>
                  <w14:solidFill>
                    <w14:schemeClr w14:val="tx1"/>
                  </w14:solidFill>
                </w14:textFill>
              </w:rPr>
              <w:t>Ψ—径流系数（根据《室外排水设计标准》（GB50014-2021），本项目场地已硬化，取值0.85）；</w:t>
            </w:r>
          </w:p>
          <w:p w14:paraId="00A1D181">
            <w:pPr>
              <w:keepNext w:val="0"/>
              <w:keepLines w:val="0"/>
              <w:suppressLineNumbers w:val="0"/>
              <w:kinsoku/>
              <w:overflowPunct w:val="0"/>
              <w:autoSpaceDE/>
              <w:autoSpaceDN/>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color w:val="000000" w:themeColor="text1"/>
                <w:kern w:val="2"/>
                <w:sz w:val="24"/>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sz w:val="24"/>
                <w:szCs w:val="20"/>
                <w:highlight w:val="none"/>
                <w:lang w:eastAsia="zh-CN"/>
                <w14:textFill>
                  <w14:solidFill>
                    <w14:schemeClr w14:val="tx1"/>
                  </w14:solidFill>
                </w14:textFill>
              </w:rPr>
              <w:t>q—设计暴雨强度，L/s·hm</w:t>
            </w:r>
            <w:r>
              <w:rPr>
                <w:rFonts w:hint="eastAsia" w:ascii="Times New Roman" w:hAnsi="Times New Roman" w:eastAsia="宋体" w:cs="Times New Roman"/>
                <w:color w:val="000000" w:themeColor="text1"/>
                <w:kern w:val="2"/>
                <w:sz w:val="24"/>
                <w:szCs w:val="20"/>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kern w:val="2"/>
                <w:sz w:val="24"/>
                <w:szCs w:val="20"/>
                <w:highlight w:val="none"/>
                <w:lang w:eastAsia="zh-CN"/>
                <w14:textFill>
                  <w14:solidFill>
                    <w14:schemeClr w14:val="tx1"/>
                  </w14:solidFill>
                </w14:textFill>
              </w:rPr>
              <w:t>；</w:t>
            </w:r>
          </w:p>
          <w:p w14:paraId="5AEEE108">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1200" w:firstLineChars="5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4"/>
                <w:highlight w:val="none"/>
                <w:lang w:eastAsia="zh-CN"/>
                <w14:textFill>
                  <w14:solidFill>
                    <w14:schemeClr w14:val="tx1"/>
                  </w14:solidFill>
                </w14:textFill>
              </w:rPr>
              <w:t>F—汇水面积，hm</w:t>
            </w:r>
            <w:r>
              <w:rPr>
                <w:rFonts w:hint="default" w:ascii="Times New Roman" w:hAnsi="Times New Roman" w:eastAsia="宋体" w:cs="Times New Roman"/>
                <w:color w:val="000000" w:themeColor="text1"/>
                <w:kern w:val="2"/>
                <w:sz w:val="24"/>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项目雨水汇水面积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厂区面积除去绿化区域及办公区域共计8700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vertAlign w:val="baseli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0.87</w:t>
            </w:r>
            <w:r>
              <w:rPr>
                <w:rFonts w:hint="default" w:ascii="Times New Roman" w:hAnsi="Times New Roman" w:eastAsia="宋体" w:cs="Times New Roman"/>
                <w:color w:val="000000" w:themeColor="text1"/>
                <w:kern w:val="2"/>
                <w:sz w:val="24"/>
                <w:highlight w:val="none"/>
                <w:lang w:eastAsia="zh-CN"/>
                <w14:textFill>
                  <w14:solidFill>
                    <w14:schemeClr w14:val="tx1"/>
                  </w14:solidFill>
                </w14:textFill>
              </w:rPr>
              <w:t>hm</w:t>
            </w:r>
            <w:r>
              <w:rPr>
                <w:rFonts w:hint="default" w:ascii="Times New Roman" w:hAnsi="Times New Roman" w:eastAsia="宋体" w:cs="Times New Roman"/>
                <w:color w:val="000000" w:themeColor="text1"/>
                <w:kern w:val="2"/>
                <w:sz w:val="24"/>
                <w:highlight w:val="none"/>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7D4C6BA6">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根据公式计算，q＝</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348.77</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（升/秒•公顷），Q＝</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257.92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（升/秒），</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汇水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时间</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（15min）</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内</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初期</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雨水量为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232.13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/次，考虑1.2的安全系数，</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建设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单位</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拟建设容积</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280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初期雨水收集池。</w:t>
            </w:r>
          </w:p>
          <w:p w14:paraId="79F69D97">
            <w:pPr>
              <w:keepNext w:val="0"/>
              <w:keepLines w:val="0"/>
              <w:suppressLineNumbers w:val="0"/>
              <w:spacing w:before="0" w:beforeLines="-2147483648" w:beforeAutospacing="0" w:after="0" w:afterAutospacing="0" w:line="360" w:lineRule="auto"/>
              <w:ind w:left="0" w:right="0" w:firstLine="480" w:firstLineChars="200"/>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项目全厂水平衡图如下：</w:t>
            </w:r>
          </w:p>
          <w:p w14:paraId="291E5D4F">
            <w:pPr>
              <w:pStyle w:val="17"/>
              <w:keepNext w:val="0"/>
              <w:keepLines w:val="0"/>
              <w:suppressLineNumbers w:val="0"/>
              <w:spacing w:beforeAutospacing="0" w:afterAutospacing="0"/>
              <w:ind w:left="0"/>
              <w:rPr>
                <w:rFonts w:hint="default"/>
                <w:color w:val="000000" w:themeColor="text1"/>
                <w:szCs w:val="20"/>
                <w:highlight w:val="none"/>
                <w:lang w:val="en-US" w:eastAsia="zh-CN"/>
                <w14:textFill>
                  <w14:solidFill>
                    <w14:schemeClr w14:val="tx1"/>
                  </w14:solidFill>
                </w14:textFill>
              </w:rPr>
            </w:pPr>
            <w:r>
              <w:rPr>
                <w:rFonts w:hint="default"/>
                <w:color w:val="000000" w:themeColor="text1"/>
                <w:szCs w:val="20"/>
                <w:highlight w:val="none"/>
                <w:lang w:val="en-US" w:eastAsia="zh-CN"/>
                <w14:textFill>
                  <w14:solidFill>
                    <w14:schemeClr w14:val="tx1"/>
                  </w14:solidFill>
                </w14:textFill>
              </w:rPr>
              <w:object>
                <v:shape id="_x0000_i1026" o:spt="75" type="#_x0000_t75" style="height:100.95pt;width:401.4pt;" o:ole="t" filled="f" o:preferrelative="t" stroked="f" coordsize="21600,21600">
                  <v:path/>
                  <v:fill on="f" focussize="0,0"/>
                  <v:stroke on="f"/>
                  <v:imagedata r:id="rId17" o:title=""/>
                  <o:lock v:ext="edit" aspectratio="t"/>
                  <w10:wrap type="none"/>
                  <w10:anchorlock/>
                </v:shape>
                <o:OLEObject Type="Embed" ProgID="Visio.Drawing.11" ShapeID="_x0000_i1026" DrawAspect="Content" ObjectID="_1468075726" r:id="rId16">
                  <o:LockedField>false</o:LockedField>
                </o:OLEObject>
              </w:object>
            </w:r>
          </w:p>
          <w:p w14:paraId="74726D54">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0" w:afterAutospacing="0" w:line="360" w:lineRule="auto"/>
              <w:ind w:left="0" w:right="0" w:firstLine="0" w:firstLineChars="0"/>
              <w:jc w:val="center"/>
              <w:textAlignment w:val="auto"/>
              <w:rPr>
                <w:rFonts w:hint="eastAsia"/>
                <w:b/>
                <w:bCs/>
                <w:color w:val="000000" w:themeColor="text1"/>
                <w:sz w:val="28"/>
                <w:szCs w:val="28"/>
                <w:highlight w:val="none"/>
                <w:lang w:val="en-US" w:eastAsia="zh-CN"/>
                <w14:textFill>
                  <w14:solidFill>
                    <w14:schemeClr w14:val="tx1"/>
                  </w14:solidFill>
                </w14:textFill>
              </w:rPr>
            </w:pPr>
            <w:r>
              <w:rPr>
                <w:rFonts w:hint="eastAsia"/>
                <w:b/>
                <w:color w:val="000000" w:themeColor="text1"/>
                <w:sz w:val="24"/>
                <w:szCs w:val="20"/>
                <w:highlight w:val="none"/>
                <w:lang w:val="en-US" w:eastAsia="zh-CN"/>
                <w14:textFill>
                  <w14:solidFill>
                    <w14:schemeClr w14:val="tx1"/>
                  </w14:solidFill>
                </w14:textFill>
              </w:rPr>
              <w:t>图2-1</w:t>
            </w:r>
            <w:r>
              <w:rPr>
                <w:rFonts w:hint="default"/>
                <w:b/>
                <w:color w:val="000000" w:themeColor="text1"/>
                <w:sz w:val="24"/>
                <w:szCs w:val="20"/>
                <w:highlight w:val="none"/>
                <w14:textFill>
                  <w14:solidFill>
                    <w14:schemeClr w14:val="tx1"/>
                  </w14:solidFill>
                </w14:textFill>
              </w:rPr>
              <w:t xml:space="preserve">  项目水平衡图</w:t>
            </w:r>
            <w:r>
              <w:rPr>
                <w:rFonts w:hint="eastAsia"/>
                <w:b/>
                <w:color w:val="000000" w:themeColor="text1"/>
                <w:sz w:val="24"/>
                <w:szCs w:val="20"/>
                <w:highlight w:val="none"/>
                <w:lang w:eastAsia="zh-CN"/>
                <w14:textFill>
                  <w14:solidFill>
                    <w14:schemeClr w14:val="tx1"/>
                  </w14:solidFill>
                </w14:textFill>
              </w:rPr>
              <w:t>（</w:t>
            </w:r>
            <w:r>
              <w:rPr>
                <w:rFonts w:hint="eastAsia"/>
                <w:b/>
                <w:color w:val="000000" w:themeColor="text1"/>
                <w:sz w:val="24"/>
                <w:szCs w:val="20"/>
                <w:highlight w:val="none"/>
                <w:lang w:val="en-US" w:eastAsia="zh-CN"/>
                <w14:textFill>
                  <w14:solidFill>
                    <w14:schemeClr w14:val="tx1"/>
                  </w14:solidFill>
                </w14:textFill>
              </w:rPr>
              <w:t>非雨天</w:t>
            </w:r>
            <w:r>
              <w:rPr>
                <w:rFonts w:hint="eastAsia"/>
                <w:b/>
                <w:color w:val="000000" w:themeColor="text1"/>
                <w:sz w:val="24"/>
                <w:szCs w:val="20"/>
                <w:highlight w:val="none"/>
                <w:lang w:eastAsia="zh-CN"/>
                <w14:textFill>
                  <w14:solidFill>
                    <w14:schemeClr w14:val="tx1"/>
                  </w14:solidFill>
                </w14:textFill>
              </w:rPr>
              <w:t>）</w:t>
            </w:r>
            <w:r>
              <w:rPr>
                <w:rFonts w:hint="default"/>
                <w:b/>
                <w:color w:val="000000" w:themeColor="text1"/>
                <w:sz w:val="24"/>
                <w:szCs w:val="20"/>
                <w:highlight w:val="none"/>
                <w14:textFill>
                  <w14:solidFill>
                    <w14:schemeClr w14:val="tx1"/>
                  </w14:solidFill>
                </w14:textFill>
              </w:rPr>
              <w:t xml:space="preserve">  单位：m</w:t>
            </w:r>
            <w:r>
              <w:rPr>
                <w:rFonts w:hint="default"/>
                <w:b/>
                <w:color w:val="000000" w:themeColor="text1"/>
                <w:sz w:val="24"/>
                <w:szCs w:val="20"/>
                <w:highlight w:val="none"/>
                <w:vertAlign w:val="superscript"/>
                <w14:textFill>
                  <w14:solidFill>
                    <w14:schemeClr w14:val="tx1"/>
                  </w14:solidFill>
                </w14:textFill>
              </w:rPr>
              <w:t>3</w:t>
            </w:r>
            <w:r>
              <w:rPr>
                <w:rFonts w:hint="default"/>
                <w:b/>
                <w:color w:val="000000" w:themeColor="text1"/>
                <w:sz w:val="24"/>
                <w:szCs w:val="20"/>
                <w:highlight w:val="none"/>
                <w14:textFill>
                  <w14:solidFill>
                    <w14:schemeClr w14:val="tx1"/>
                  </w14:solidFill>
                </w14:textFill>
              </w:rPr>
              <w:t>/d</w:t>
            </w:r>
          </w:p>
          <w:p w14:paraId="3A8E1FFF">
            <w:pPr>
              <w:keepNext w:val="0"/>
              <w:keepLines w:val="0"/>
              <w:suppressLineNumbers w:val="0"/>
              <w:spacing w:before="0" w:beforeLines="-2147483648" w:beforeAutospacing="0" w:after="0" w:afterAutospacing="0" w:line="360" w:lineRule="auto"/>
              <w:ind w:left="0" w:right="0" w:firstLine="400" w:firstLineChars="200"/>
              <w:rPr>
                <w:rFonts w:hint="eastAsia"/>
                <w:b/>
                <w:bCs/>
                <w:color w:val="000000" w:themeColor="text1"/>
                <w:sz w:val="28"/>
                <w:szCs w:val="28"/>
                <w:highlight w:val="none"/>
                <w:lang w:val="en-US" w:eastAsia="zh-CN"/>
                <w14:textFill>
                  <w14:solidFill>
                    <w14:schemeClr w14:val="tx1"/>
                  </w14:solidFill>
                </w14:textFill>
              </w:rPr>
            </w:pPr>
            <w:r>
              <w:rPr>
                <w:rFonts w:hint="default"/>
                <w:color w:val="000000" w:themeColor="text1"/>
                <w:sz w:val="20"/>
                <w:szCs w:val="20"/>
                <w:highlight w:val="none"/>
                <w:lang w:val="en-US" w:eastAsia="zh-CN"/>
                <w14:textFill>
                  <w14:solidFill>
                    <w14:schemeClr w14:val="tx1"/>
                  </w14:solidFill>
                </w14:textFill>
              </w:rPr>
              <w:object>
                <v:shape id="_x0000_i1027" o:spt="75" type="#_x0000_t75" style="height:92.7pt;width:393.2pt;" o:ole="t" filled="f" o:preferrelative="t" stroked="f" coordsize="21600,21600">
                  <v:path/>
                  <v:fill on="f" focussize="0,0"/>
                  <v:stroke on="f"/>
                  <v:imagedata r:id="rId19" o:title=""/>
                  <o:lock v:ext="edit" aspectratio="t"/>
                  <w10:wrap type="none"/>
                  <w10:anchorlock/>
                </v:shape>
                <o:OLEObject Type="Embed" ProgID="Visio.Drawing.11" ShapeID="_x0000_i1027" DrawAspect="Content" ObjectID="_1468075727" r:id="rId18">
                  <o:LockedField>false</o:LockedField>
                </o:OLEObject>
              </w:object>
            </w:r>
          </w:p>
          <w:p w14:paraId="01523702">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0" w:afterAutospacing="0" w:line="360" w:lineRule="auto"/>
              <w:ind w:left="0" w:right="0" w:firstLine="0" w:firstLineChars="0"/>
              <w:jc w:val="center"/>
              <w:textAlignment w:val="auto"/>
              <w:rPr>
                <w:rFonts w:hint="eastAsia"/>
                <w:b/>
                <w:bCs/>
                <w:color w:val="000000" w:themeColor="text1"/>
                <w:sz w:val="28"/>
                <w:szCs w:val="28"/>
                <w:highlight w:val="none"/>
                <w:lang w:val="en-US" w:eastAsia="zh-CN"/>
                <w14:textFill>
                  <w14:solidFill>
                    <w14:schemeClr w14:val="tx1"/>
                  </w14:solidFill>
                </w14:textFill>
              </w:rPr>
            </w:pPr>
            <w:r>
              <w:rPr>
                <w:rFonts w:hint="eastAsia"/>
                <w:b/>
                <w:color w:val="000000" w:themeColor="text1"/>
                <w:sz w:val="24"/>
                <w:szCs w:val="20"/>
                <w:highlight w:val="none"/>
                <w:lang w:val="en-US" w:eastAsia="zh-CN"/>
                <w14:textFill>
                  <w14:solidFill>
                    <w14:schemeClr w14:val="tx1"/>
                  </w14:solidFill>
                </w14:textFill>
              </w:rPr>
              <w:t>图2-2</w:t>
            </w:r>
            <w:r>
              <w:rPr>
                <w:rFonts w:hint="default"/>
                <w:b/>
                <w:color w:val="000000" w:themeColor="text1"/>
                <w:sz w:val="24"/>
                <w:szCs w:val="20"/>
                <w:highlight w:val="none"/>
                <w14:textFill>
                  <w14:solidFill>
                    <w14:schemeClr w14:val="tx1"/>
                  </w14:solidFill>
                </w14:textFill>
              </w:rPr>
              <w:t xml:space="preserve">  项目水平衡图</w:t>
            </w:r>
            <w:r>
              <w:rPr>
                <w:rFonts w:hint="eastAsia"/>
                <w:b/>
                <w:color w:val="000000" w:themeColor="text1"/>
                <w:sz w:val="24"/>
                <w:szCs w:val="20"/>
                <w:highlight w:val="none"/>
                <w:lang w:eastAsia="zh-CN"/>
                <w14:textFill>
                  <w14:solidFill>
                    <w14:schemeClr w14:val="tx1"/>
                  </w14:solidFill>
                </w14:textFill>
              </w:rPr>
              <w:t>（</w:t>
            </w:r>
            <w:r>
              <w:rPr>
                <w:rFonts w:hint="eastAsia"/>
                <w:b/>
                <w:color w:val="000000" w:themeColor="text1"/>
                <w:sz w:val="24"/>
                <w:szCs w:val="20"/>
                <w:highlight w:val="none"/>
                <w:lang w:val="en-US" w:eastAsia="zh-CN"/>
                <w14:textFill>
                  <w14:solidFill>
                    <w14:schemeClr w14:val="tx1"/>
                  </w14:solidFill>
                </w14:textFill>
              </w:rPr>
              <w:t>雨天</w:t>
            </w:r>
            <w:r>
              <w:rPr>
                <w:rFonts w:hint="eastAsia"/>
                <w:b/>
                <w:color w:val="000000" w:themeColor="text1"/>
                <w:sz w:val="24"/>
                <w:szCs w:val="20"/>
                <w:highlight w:val="none"/>
                <w:lang w:eastAsia="zh-CN"/>
                <w14:textFill>
                  <w14:solidFill>
                    <w14:schemeClr w14:val="tx1"/>
                  </w14:solidFill>
                </w14:textFill>
              </w:rPr>
              <w:t>）</w:t>
            </w:r>
            <w:r>
              <w:rPr>
                <w:rFonts w:hint="default"/>
                <w:b/>
                <w:color w:val="000000" w:themeColor="text1"/>
                <w:sz w:val="24"/>
                <w:szCs w:val="20"/>
                <w:highlight w:val="none"/>
                <w14:textFill>
                  <w14:solidFill>
                    <w14:schemeClr w14:val="tx1"/>
                  </w14:solidFill>
                </w14:textFill>
              </w:rPr>
              <w:t xml:space="preserve">  单位：m</w:t>
            </w:r>
            <w:r>
              <w:rPr>
                <w:rFonts w:hint="default"/>
                <w:b/>
                <w:color w:val="000000" w:themeColor="text1"/>
                <w:sz w:val="24"/>
                <w:szCs w:val="20"/>
                <w:highlight w:val="none"/>
                <w:vertAlign w:val="superscript"/>
                <w14:textFill>
                  <w14:solidFill>
                    <w14:schemeClr w14:val="tx1"/>
                  </w14:solidFill>
                </w14:textFill>
              </w:rPr>
              <w:t>3</w:t>
            </w:r>
            <w:r>
              <w:rPr>
                <w:rFonts w:hint="default"/>
                <w:b/>
                <w:color w:val="000000" w:themeColor="text1"/>
                <w:sz w:val="24"/>
                <w:szCs w:val="20"/>
                <w:highlight w:val="none"/>
                <w14:textFill>
                  <w14:solidFill>
                    <w14:schemeClr w14:val="tx1"/>
                  </w14:solidFill>
                </w14:textFill>
              </w:rPr>
              <w:t>/d</w:t>
            </w:r>
          </w:p>
          <w:p w14:paraId="548A7BDB">
            <w:pPr>
              <w:keepNext w:val="0"/>
              <w:keepLines w:val="0"/>
              <w:suppressLineNumbers w:val="0"/>
              <w:spacing w:before="0" w:beforeLines="-2147483648" w:beforeAutospacing="0" w:after="0" w:afterAutospacing="0" w:line="360" w:lineRule="auto"/>
              <w:ind w:left="0" w:right="0" w:firstLine="562" w:firstLineChars="200"/>
              <w:rPr>
                <w:rFonts w:hint="default"/>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2.8</w:t>
            </w:r>
            <w:r>
              <w:rPr>
                <w:rFonts w:hint="default"/>
                <w:b/>
                <w:bCs/>
                <w:color w:val="000000" w:themeColor="text1"/>
                <w:sz w:val="28"/>
                <w:szCs w:val="28"/>
                <w:highlight w:val="none"/>
                <w14:textFill>
                  <w14:solidFill>
                    <w14:schemeClr w14:val="tx1"/>
                  </w14:solidFill>
                </w14:textFill>
              </w:rPr>
              <w:t>工作制度及劳动定员</w:t>
            </w:r>
          </w:p>
          <w:p w14:paraId="5BF184FA">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本项目预计202</w:t>
            </w:r>
            <w:r>
              <w:rPr>
                <w:rFonts w:hint="eastAsia"/>
                <w:color w:val="000000" w:themeColor="text1"/>
                <w:sz w:val="24"/>
                <w:szCs w:val="20"/>
                <w:highlight w:val="none"/>
                <w:lang w:val="en-US" w:eastAsia="zh-CN"/>
                <w14:textFill>
                  <w14:solidFill>
                    <w14:schemeClr w14:val="tx1"/>
                  </w14:solidFill>
                </w14:textFill>
              </w:rPr>
              <w:t>6</w:t>
            </w:r>
            <w:r>
              <w:rPr>
                <w:rFonts w:hint="eastAsia"/>
                <w:color w:val="000000" w:themeColor="text1"/>
                <w:sz w:val="24"/>
                <w:szCs w:val="20"/>
                <w:highlight w:val="none"/>
                <w14:textFill>
                  <w14:solidFill>
                    <w14:schemeClr w14:val="tx1"/>
                  </w14:solidFill>
                </w14:textFill>
              </w:rPr>
              <w:t>年</w:t>
            </w:r>
            <w:r>
              <w:rPr>
                <w:rFonts w:hint="eastAsia"/>
                <w:color w:val="000000" w:themeColor="text1"/>
                <w:sz w:val="24"/>
                <w:szCs w:val="20"/>
                <w:highlight w:val="none"/>
                <w:lang w:val="en-US" w:eastAsia="zh-CN"/>
                <w14:textFill>
                  <w14:solidFill>
                    <w14:schemeClr w14:val="tx1"/>
                  </w14:solidFill>
                </w14:textFill>
              </w:rPr>
              <w:t>7</w:t>
            </w:r>
            <w:r>
              <w:rPr>
                <w:rFonts w:hint="eastAsia"/>
                <w:color w:val="000000" w:themeColor="text1"/>
                <w:sz w:val="24"/>
                <w:szCs w:val="20"/>
                <w:highlight w:val="none"/>
                <w14:textFill>
                  <w14:solidFill>
                    <w14:schemeClr w14:val="tx1"/>
                  </w14:solidFill>
                </w14:textFill>
              </w:rPr>
              <w:t>月开工，202</w:t>
            </w:r>
            <w:r>
              <w:rPr>
                <w:rFonts w:hint="eastAsia"/>
                <w:color w:val="000000" w:themeColor="text1"/>
                <w:sz w:val="24"/>
                <w:szCs w:val="20"/>
                <w:highlight w:val="none"/>
                <w:lang w:val="en-US" w:eastAsia="zh-CN"/>
                <w14:textFill>
                  <w14:solidFill>
                    <w14:schemeClr w14:val="tx1"/>
                  </w14:solidFill>
                </w14:textFill>
              </w:rPr>
              <w:t>7</w:t>
            </w:r>
            <w:r>
              <w:rPr>
                <w:rFonts w:hint="eastAsia"/>
                <w:color w:val="000000" w:themeColor="text1"/>
                <w:sz w:val="24"/>
                <w:szCs w:val="20"/>
                <w:highlight w:val="none"/>
                <w14:textFill>
                  <w14:solidFill>
                    <w14:schemeClr w14:val="tx1"/>
                  </w14:solidFill>
                </w14:textFill>
              </w:rPr>
              <w:t>年</w:t>
            </w:r>
            <w:r>
              <w:rPr>
                <w:rFonts w:hint="eastAsia"/>
                <w:color w:val="000000" w:themeColor="text1"/>
                <w:sz w:val="24"/>
                <w:szCs w:val="20"/>
                <w:highlight w:val="none"/>
                <w:lang w:val="en-US" w:eastAsia="zh-CN"/>
                <w14:textFill>
                  <w14:solidFill>
                    <w14:schemeClr w14:val="tx1"/>
                  </w14:solidFill>
                </w14:textFill>
              </w:rPr>
              <w:t>7</w:t>
            </w:r>
            <w:r>
              <w:rPr>
                <w:rFonts w:hint="eastAsia"/>
                <w:color w:val="000000" w:themeColor="text1"/>
                <w:sz w:val="24"/>
                <w:szCs w:val="20"/>
                <w:highlight w:val="none"/>
                <w14:textFill>
                  <w14:solidFill>
                    <w14:schemeClr w14:val="tx1"/>
                  </w14:solidFill>
                </w14:textFill>
              </w:rPr>
              <w:t>月竣工。</w:t>
            </w:r>
            <w:r>
              <w:rPr>
                <w:rFonts w:hint="default"/>
                <w:color w:val="000000" w:themeColor="text1"/>
                <w:sz w:val="24"/>
                <w:szCs w:val="24"/>
                <w:highlight w:val="none"/>
                <w14:textFill>
                  <w14:solidFill>
                    <w14:schemeClr w14:val="tx1"/>
                  </w14:solidFill>
                </w14:textFill>
              </w:rPr>
              <w:t>年工作300天，每天工作1班，每班10小时</w:t>
            </w:r>
            <w:r>
              <w:rPr>
                <w:rFonts w:hint="eastAsia"/>
                <w:color w:val="000000" w:themeColor="text1"/>
                <w:sz w:val="20"/>
                <w:szCs w:val="20"/>
                <w:highlight w:val="none"/>
                <w:lang w:eastAsia="zh-CN"/>
                <w14:textFill>
                  <w14:solidFill>
                    <w14:schemeClr w14:val="tx1"/>
                  </w14:solidFill>
                </w14:textFill>
              </w:rPr>
              <w:t>。</w:t>
            </w:r>
            <w:r>
              <w:rPr>
                <w:rFonts w:hint="eastAsia"/>
                <w:color w:val="000000" w:themeColor="text1"/>
                <w:sz w:val="24"/>
                <w:szCs w:val="21"/>
                <w:highlight w:val="none"/>
                <w:lang w:val="en-US" w:eastAsia="zh-CN"/>
                <w14:textFill>
                  <w14:solidFill>
                    <w14:schemeClr w14:val="tx1"/>
                  </w14:solidFill>
                </w14:textFill>
              </w:rPr>
              <w:t>本项目劳动定员20人。</w:t>
            </w:r>
          </w:p>
          <w:p w14:paraId="2505E084">
            <w:pPr>
              <w:keepNext w:val="0"/>
              <w:keepLines w:val="0"/>
              <w:suppressLineNumbers w:val="0"/>
              <w:spacing w:before="120" w:beforeLines="50" w:beforeAutospacing="0" w:after="0" w:afterAutospacing="0" w:line="360" w:lineRule="auto"/>
              <w:ind w:left="0" w:right="0" w:firstLine="562" w:firstLineChars="200"/>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2.9</w:t>
            </w:r>
            <w:r>
              <w:rPr>
                <w:rFonts w:hint="default"/>
                <w:b/>
                <w:color w:val="000000" w:themeColor="text1"/>
                <w:sz w:val="28"/>
                <w:szCs w:val="28"/>
                <w:highlight w:val="none"/>
                <w14:textFill>
                  <w14:solidFill>
                    <w14:schemeClr w14:val="tx1"/>
                  </w14:solidFill>
                </w14:textFill>
              </w:rPr>
              <w:t>总平面布置</w:t>
            </w:r>
          </w:p>
          <w:p w14:paraId="09CA1818">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本项目临时设施布置主要分为磷石膏改性生产区、改性磷石膏待检场、办公区3个部分，具体布置如下：</w:t>
            </w:r>
          </w:p>
          <w:p w14:paraId="634EC4AC">
            <w:pPr>
              <w:keepNext w:val="0"/>
              <w:keepLines w:val="0"/>
              <w:suppressLineNumbers w:val="0"/>
              <w:autoSpaceDE w:val="0"/>
              <w:autoSpaceDN w:val="0"/>
              <w:spacing w:before="0" w:beforeAutospacing="0" w:after="0" w:afterAutospacing="0" w:line="360" w:lineRule="auto"/>
              <w:ind w:left="0" w:right="0" w:firstLine="482" w:firstLineChars="200"/>
              <w:rPr>
                <w:rFonts w:hint="eastAsia"/>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（1）磷石膏改性生产区</w:t>
            </w:r>
          </w:p>
          <w:p w14:paraId="77CB30E0">
            <w:pPr>
              <w:keepNext w:val="0"/>
              <w:keepLines w:val="0"/>
              <w:suppressLineNumbers w:val="0"/>
              <w:autoSpaceDE w:val="0"/>
              <w:autoSpaceDN w:val="0"/>
              <w:spacing w:before="0" w:beforeAutospacing="0" w:after="0" w:afterAutospacing="0" w:line="360" w:lineRule="auto"/>
              <w:ind w:left="0" w:right="0" w:firstLine="480" w:firstLineChars="200"/>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改性生产车间位于租赁场地北侧</w:t>
            </w:r>
            <w:r>
              <w:rPr>
                <w:rFonts w:hint="eastAsia"/>
                <w:color w:val="000000" w:themeColor="text1"/>
                <w:sz w:val="24"/>
                <w:szCs w:val="20"/>
                <w:highlight w:val="none"/>
                <w14:textFill>
                  <w14:solidFill>
                    <w14:schemeClr w14:val="tx1"/>
                  </w14:solidFill>
                </w14:textFill>
              </w:rPr>
              <w:t>，占地面积</w:t>
            </w:r>
            <w:r>
              <w:rPr>
                <w:rFonts w:hint="eastAsia"/>
                <w:color w:val="000000" w:themeColor="text1"/>
                <w:sz w:val="24"/>
                <w:szCs w:val="20"/>
                <w:highlight w:val="none"/>
                <w:lang w:val="en-US" w:eastAsia="zh-CN"/>
                <w14:textFill>
                  <w14:solidFill>
                    <w14:schemeClr w14:val="tx1"/>
                  </w14:solidFill>
                </w14:textFill>
              </w:rPr>
              <w:t>1930</w:t>
            </w:r>
            <w:r>
              <w:rPr>
                <w:rFonts w:hint="eastAsia"/>
                <w:color w:val="000000" w:themeColor="text1"/>
                <w:sz w:val="24"/>
                <w:szCs w:val="20"/>
                <w:highlight w:val="none"/>
                <w14:textFill>
                  <w14:solidFill>
                    <w14:schemeClr w14:val="tx1"/>
                  </w14:solidFill>
                </w14:textFill>
              </w:rPr>
              <w:t>m²，为钢结构封闭厂房。主要布置破碎机、振动筛（将磷石膏破碎至颗粒≤60mm）、三仓配料系统、双轴搅拌机（</w:t>
            </w:r>
            <w:r>
              <w:rPr>
                <w:rFonts w:hint="eastAsia"/>
                <w:color w:val="000000" w:themeColor="text1"/>
                <w:sz w:val="24"/>
                <w:szCs w:val="20"/>
                <w:highlight w:val="none"/>
                <w:lang w:eastAsia="zh-CN"/>
                <w14:textFill>
                  <w14:solidFill>
                    <w14:schemeClr w14:val="tx1"/>
                  </w14:solidFill>
                </w14:textFill>
              </w:rPr>
              <w:t>900t/d</w:t>
            </w:r>
            <w:r>
              <w:rPr>
                <w:rFonts w:hint="eastAsia"/>
                <w:color w:val="000000" w:themeColor="text1"/>
                <w:sz w:val="24"/>
                <w:szCs w:val="20"/>
                <w:highlight w:val="none"/>
                <w14:textFill>
                  <w14:solidFill>
                    <w14:schemeClr w14:val="tx1"/>
                  </w14:solidFill>
                </w14:textFill>
              </w:rPr>
              <w:t>）、上料皮带线、出料口、药剂储罐（</w:t>
            </w:r>
            <w:r>
              <w:rPr>
                <w:rFonts w:hint="eastAsia"/>
                <w:color w:val="000000" w:themeColor="text1"/>
                <w:sz w:val="24"/>
                <w:szCs w:val="20"/>
                <w:highlight w:val="none"/>
                <w:lang w:val="en-US" w:eastAsia="zh-CN"/>
                <w14:textFill>
                  <w14:solidFill>
                    <w14:schemeClr w14:val="tx1"/>
                  </w14:solidFill>
                </w14:textFill>
              </w:rPr>
              <w:t>6</w:t>
            </w:r>
            <w:r>
              <w:rPr>
                <w:rFonts w:hint="eastAsia"/>
                <w:color w:val="000000" w:themeColor="text1"/>
                <w:sz w:val="24"/>
                <w:szCs w:val="20"/>
                <w:highlight w:val="none"/>
                <w14:textFill>
                  <w14:solidFill>
                    <w14:schemeClr w14:val="tx1"/>
                  </w14:solidFill>
                </w14:textFill>
              </w:rPr>
              <w:t>×60m³）等改性生产装置。场地面为混凝土硬化。周边原有排水沟</w:t>
            </w:r>
            <w:r>
              <w:rPr>
                <w:rFonts w:hint="eastAsia"/>
                <w:color w:val="000000" w:themeColor="text1"/>
                <w:sz w:val="24"/>
                <w:szCs w:val="20"/>
                <w:highlight w:val="none"/>
                <w:lang w:val="en-US" w:eastAsia="zh-CN"/>
                <w14:textFill>
                  <w14:solidFill>
                    <w14:schemeClr w14:val="tx1"/>
                  </w14:solidFill>
                </w14:textFill>
              </w:rPr>
              <w:t>进行清理。</w:t>
            </w:r>
          </w:p>
          <w:p w14:paraId="3C8AD24D">
            <w:pPr>
              <w:keepNext w:val="0"/>
              <w:keepLines w:val="0"/>
              <w:suppressLineNumbers w:val="0"/>
              <w:autoSpaceDE w:val="0"/>
              <w:autoSpaceDN w:val="0"/>
              <w:spacing w:before="0" w:beforeAutospacing="0" w:after="0" w:afterAutospacing="0" w:line="360" w:lineRule="auto"/>
              <w:ind w:left="0" w:right="0" w:firstLine="482" w:firstLineChars="200"/>
              <w:rPr>
                <w:rFonts w:hint="eastAsia"/>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（2）改性磷石膏待检区</w:t>
            </w:r>
          </w:p>
          <w:p w14:paraId="03BA8CC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待检堆存区利用租赁厂区闲置的两间仓库及仓库南部空地进行建设，1#仓库占地面积780m</w:t>
            </w:r>
            <w:r>
              <w:rPr>
                <w:rFonts w:hint="eastAsia"/>
                <w:color w:val="000000" w:themeColor="text1"/>
                <w:sz w:val="24"/>
                <w:szCs w:val="24"/>
                <w:highlight w:val="none"/>
                <w:vertAlign w:val="superscript"/>
                <w:lang w:val="en-US" w:eastAsia="zh-CN"/>
                <w14:textFill>
                  <w14:solidFill>
                    <w14:schemeClr w14:val="tx1"/>
                  </w14:solidFill>
                </w14:textFill>
              </w:rPr>
              <w:t>2</w:t>
            </w:r>
            <w:r>
              <w:rPr>
                <w:rFonts w:hint="eastAsia"/>
                <w:color w:val="000000" w:themeColor="text1"/>
                <w:sz w:val="24"/>
                <w:szCs w:val="24"/>
                <w:highlight w:val="none"/>
                <w:vertAlign w:val="baseline"/>
                <w:lang w:val="en-US" w:eastAsia="zh-CN"/>
                <w14:textFill>
                  <w14:solidFill>
                    <w14:schemeClr w14:val="tx1"/>
                  </w14:solidFill>
                </w14:textFill>
              </w:rPr>
              <w:t>，高10m</w:t>
            </w:r>
            <w:r>
              <w:rPr>
                <w:rFonts w:hint="eastAsia"/>
                <w:color w:val="000000" w:themeColor="text1"/>
                <w:sz w:val="24"/>
                <w:szCs w:val="24"/>
                <w:highlight w:val="none"/>
                <w:lang w:val="en-US" w:eastAsia="zh-CN"/>
                <w14:textFill>
                  <w14:solidFill>
                    <w14:schemeClr w14:val="tx1"/>
                  </w14:solidFill>
                </w14:textFill>
              </w:rPr>
              <w:t>，2#仓库占地面积760m</w:t>
            </w:r>
            <w:r>
              <w:rPr>
                <w:rFonts w:hint="eastAsia"/>
                <w:color w:val="000000" w:themeColor="text1"/>
                <w:sz w:val="24"/>
                <w:szCs w:val="24"/>
                <w:highlight w:val="none"/>
                <w:vertAlign w:val="superscript"/>
                <w:lang w:val="en-US" w:eastAsia="zh-CN"/>
                <w14:textFill>
                  <w14:solidFill>
                    <w14:schemeClr w14:val="tx1"/>
                  </w14:solidFill>
                </w14:textFill>
              </w:rPr>
              <w:t>2</w:t>
            </w:r>
            <w:r>
              <w:rPr>
                <w:rFonts w:hint="eastAsia"/>
                <w:color w:val="000000" w:themeColor="text1"/>
                <w:sz w:val="24"/>
                <w:szCs w:val="24"/>
                <w:highlight w:val="none"/>
                <w:vertAlign w:val="baseline"/>
                <w:lang w:val="en-US" w:eastAsia="zh-CN"/>
                <w14:textFill>
                  <w14:solidFill>
                    <w14:schemeClr w14:val="tx1"/>
                  </w14:solidFill>
                </w14:textFill>
              </w:rPr>
              <w:t>，高10m。</w:t>
            </w:r>
            <w:r>
              <w:rPr>
                <w:rFonts w:hint="eastAsia"/>
                <w:color w:val="000000" w:themeColor="text1"/>
                <w:sz w:val="24"/>
                <w:szCs w:val="24"/>
                <w:highlight w:val="none"/>
                <w:lang w:val="en-US" w:eastAsia="zh-CN"/>
                <w14:textFill>
                  <w14:solidFill>
                    <w14:schemeClr w14:val="tx1"/>
                  </w14:solidFill>
                </w14:textFill>
              </w:rPr>
              <w:t>两间仓库最大堆存量为15000t。在仓库南侧空地建设中转场，</w:t>
            </w:r>
            <w:r>
              <w:rPr>
                <w:rFonts w:hint="default"/>
                <w:color w:val="000000" w:themeColor="text1"/>
                <w:sz w:val="24"/>
                <w:szCs w:val="24"/>
                <w:highlight w:val="none"/>
                <w14:textFill>
                  <w14:solidFill>
                    <w14:schemeClr w14:val="tx1"/>
                  </w14:solidFill>
                </w14:textFill>
              </w:rPr>
              <w:t>采用钢结构框架，设置防雨篷布顶棚及</w:t>
            </w:r>
            <w:r>
              <w:rPr>
                <w:rFonts w:hint="eastAsia"/>
                <w:color w:val="000000" w:themeColor="text1"/>
                <w:sz w:val="24"/>
                <w:szCs w:val="24"/>
                <w:highlight w:val="none"/>
                <w:lang w:val="en-US" w:eastAsia="zh-CN"/>
                <w14:textFill>
                  <w14:solidFill>
                    <w14:schemeClr w14:val="tx1"/>
                  </w14:solidFill>
                </w14:textFill>
              </w:rPr>
              <w:t>四周</w:t>
            </w:r>
            <w:r>
              <w:rPr>
                <w:rFonts w:hint="default"/>
                <w:color w:val="000000" w:themeColor="text1"/>
                <w:sz w:val="24"/>
                <w:szCs w:val="24"/>
                <w:highlight w:val="none"/>
                <w14:textFill>
                  <w14:solidFill>
                    <w14:schemeClr w14:val="tx1"/>
                  </w14:solidFill>
                </w14:textFill>
              </w:rPr>
              <w:t>围挡</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占地面积</w:t>
            </w:r>
            <w:r>
              <w:rPr>
                <w:rFonts w:hint="eastAsia"/>
                <w:color w:val="000000" w:themeColor="text1"/>
                <w:sz w:val="24"/>
                <w:szCs w:val="24"/>
                <w:highlight w:val="none"/>
                <w:lang w:val="en-US" w:eastAsia="zh-CN"/>
                <w14:textFill>
                  <w14:solidFill>
                    <w14:schemeClr w14:val="tx1"/>
                  </w14:solidFill>
                </w14:textFill>
              </w:rPr>
              <w:t>7500</w:t>
            </w:r>
            <w:r>
              <w:rPr>
                <w:rFonts w:hint="eastAsia"/>
                <w:color w:val="000000" w:themeColor="text1"/>
                <w:sz w:val="24"/>
                <w:szCs w:val="24"/>
                <w:highlight w:val="none"/>
                <w14:textFill>
                  <w14:solidFill>
                    <w14:schemeClr w14:val="tx1"/>
                  </w14:solidFill>
                </w14:textFill>
              </w:rPr>
              <w:t>m²，</w:t>
            </w:r>
            <w:r>
              <w:rPr>
                <w:rFonts w:hint="eastAsia"/>
                <w:color w:val="000000" w:themeColor="text1"/>
                <w:sz w:val="24"/>
                <w:szCs w:val="24"/>
                <w:highlight w:val="none"/>
                <w:lang w:val="en-US" w:eastAsia="zh-CN"/>
                <w14:textFill>
                  <w14:solidFill>
                    <w14:schemeClr w14:val="tx1"/>
                  </w14:solidFill>
                </w14:textFill>
              </w:rPr>
              <w:t>最大堆存量60000t，项目待检区总占地面积9040m</w:t>
            </w:r>
            <w:r>
              <w:rPr>
                <w:rFonts w:hint="eastAsia"/>
                <w:color w:val="000000" w:themeColor="text1"/>
                <w:sz w:val="24"/>
                <w:szCs w:val="24"/>
                <w:highlight w:val="none"/>
                <w:vertAlign w:val="superscript"/>
                <w:lang w:val="en-US" w:eastAsia="zh-CN"/>
                <w14:textFill>
                  <w14:solidFill>
                    <w14:schemeClr w14:val="tx1"/>
                  </w14:solidFill>
                </w14:textFill>
              </w:rPr>
              <w:t>2</w:t>
            </w:r>
            <w:r>
              <w:rPr>
                <w:rFonts w:hint="eastAsia"/>
                <w:color w:val="000000" w:themeColor="text1"/>
                <w:sz w:val="24"/>
                <w:szCs w:val="24"/>
                <w:highlight w:val="none"/>
                <w:vertAlign w:val="baseline"/>
                <w:lang w:val="en-US" w:eastAsia="zh-CN"/>
                <w14:textFill>
                  <w14:solidFill>
                    <w14:schemeClr w14:val="tx1"/>
                  </w14:solidFill>
                </w14:textFill>
              </w:rPr>
              <w:t>，总堆存量75000t，可满足8天的改性磷石膏堆存，满足改性连石膏养护要求</w:t>
            </w:r>
            <w:r>
              <w:rPr>
                <w:rFonts w:hint="eastAsia"/>
                <w:color w:val="000000" w:themeColor="text1"/>
                <w:sz w:val="24"/>
                <w:szCs w:val="24"/>
                <w:highlight w:val="none"/>
                <w:lang w:val="en-US" w:eastAsia="zh-CN"/>
                <w14:textFill>
                  <w14:solidFill>
                    <w14:schemeClr w14:val="tx1"/>
                  </w14:solidFill>
                </w14:textFill>
              </w:rPr>
              <w:t>，中转场面积及容积均可以满足项目要求。</w:t>
            </w:r>
          </w:p>
          <w:p w14:paraId="42470952">
            <w:pPr>
              <w:keepNext w:val="0"/>
              <w:keepLines w:val="0"/>
              <w:suppressLineNumbers w:val="0"/>
              <w:autoSpaceDE w:val="0"/>
              <w:autoSpaceDN w:val="0"/>
              <w:spacing w:before="0" w:beforeAutospacing="0" w:after="0" w:afterAutospacing="0" w:line="360" w:lineRule="auto"/>
              <w:ind w:left="0" w:right="0" w:firstLine="482" w:firstLineChars="200"/>
              <w:rPr>
                <w:rFonts w:hint="eastAsia"/>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4</w:t>
            </w:r>
            <w:r>
              <w:rPr>
                <w:rFonts w:hint="eastAsia"/>
                <w:b/>
                <w:bCs/>
                <w:color w:val="000000" w:themeColor="text1"/>
                <w:sz w:val="24"/>
                <w:szCs w:val="20"/>
                <w:highlight w:val="none"/>
                <w14:textFill>
                  <w14:solidFill>
                    <w14:schemeClr w14:val="tx1"/>
                  </w14:solidFill>
                </w14:textFill>
              </w:rPr>
              <w:t>）办公区</w:t>
            </w:r>
          </w:p>
          <w:p w14:paraId="23E9B0CD">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依托租赁场地原有办公楼，不新建办公生活设施。配置项目部办公室、会议室、停车场等，满足</w:t>
            </w:r>
            <w:r>
              <w:rPr>
                <w:rFonts w:hint="eastAsia"/>
                <w:color w:val="000000" w:themeColor="text1"/>
                <w:sz w:val="24"/>
                <w:szCs w:val="20"/>
                <w:highlight w:val="none"/>
                <w:lang w:val="en-US" w:eastAsia="zh-CN"/>
                <w14:textFill>
                  <w14:solidFill>
                    <w14:schemeClr w14:val="tx1"/>
                  </w14:solidFill>
                </w14:textFill>
              </w:rPr>
              <w:t>20</w:t>
            </w:r>
            <w:r>
              <w:rPr>
                <w:rFonts w:hint="eastAsia"/>
                <w:color w:val="000000" w:themeColor="text1"/>
                <w:sz w:val="24"/>
                <w:szCs w:val="20"/>
                <w:highlight w:val="none"/>
                <w14:textFill>
                  <w14:solidFill>
                    <w14:schemeClr w14:val="tx1"/>
                  </w14:solidFill>
                </w14:textFill>
              </w:rPr>
              <w:t>名工作人员日常办公需求。</w:t>
            </w:r>
          </w:p>
          <w:p w14:paraId="0B91125B">
            <w:pPr>
              <w:keepNext w:val="0"/>
              <w:keepLines w:val="0"/>
              <w:suppressLineNumbers w:val="0"/>
              <w:autoSpaceDE w:val="0"/>
              <w:autoSpaceDN w:val="0"/>
              <w:spacing w:before="0" w:beforeAutospacing="0" w:after="0" w:afterAutospacing="0" w:line="360" w:lineRule="auto"/>
              <w:ind w:left="0" w:right="0" w:firstLine="482" w:firstLineChars="200"/>
              <w:rPr>
                <w:rFonts w:hint="eastAsia"/>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5</w:t>
            </w:r>
            <w:r>
              <w:rPr>
                <w:rFonts w:hint="eastAsia"/>
                <w:b/>
                <w:bCs/>
                <w:color w:val="000000" w:themeColor="text1"/>
                <w:sz w:val="24"/>
                <w:szCs w:val="20"/>
                <w:highlight w:val="none"/>
                <w14:textFill>
                  <w14:solidFill>
                    <w14:schemeClr w14:val="tx1"/>
                  </w14:solidFill>
                </w14:textFill>
              </w:rPr>
              <w:t>）运输道路</w:t>
            </w:r>
          </w:p>
          <w:p w14:paraId="58EA39AB">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场内设置环形运输通道，连接改性生产区—待检区—</w:t>
            </w:r>
            <w:r>
              <w:rPr>
                <w:rFonts w:hint="eastAsia"/>
                <w:color w:val="000000" w:themeColor="text1"/>
                <w:sz w:val="24"/>
                <w:szCs w:val="20"/>
                <w:highlight w:val="none"/>
                <w:lang w:val="en-US" w:eastAsia="zh-CN"/>
                <w14:textFill>
                  <w14:solidFill>
                    <w14:schemeClr w14:val="tx1"/>
                  </w14:solidFill>
                </w14:textFill>
              </w:rPr>
              <w:t>中转场</w:t>
            </w:r>
            <w:r>
              <w:rPr>
                <w:rFonts w:hint="eastAsia"/>
                <w:color w:val="000000" w:themeColor="text1"/>
                <w:sz w:val="24"/>
                <w:szCs w:val="20"/>
                <w:highlight w:val="none"/>
                <w14:textFill>
                  <w14:solidFill>
                    <w14:schemeClr w14:val="tx1"/>
                  </w14:solidFill>
                </w14:textFill>
              </w:rPr>
              <w:t>，道路全部硬化。运输车辆加盖篷布密闭运输，车速≤15km/h。</w:t>
            </w:r>
          </w:p>
          <w:p w14:paraId="506D5674">
            <w:pPr>
              <w:keepNext w:val="0"/>
              <w:keepLines w:val="0"/>
              <w:suppressLineNumbers w:val="0"/>
              <w:autoSpaceDE w:val="0"/>
              <w:autoSpaceDN w:val="0"/>
              <w:spacing w:before="0" w:beforeAutospacing="0" w:after="0" w:afterAutospacing="0" w:line="360" w:lineRule="auto"/>
              <w:ind w:left="0" w:right="0" w:firstLine="562" w:firstLineChars="200"/>
              <w:jc w:val="left"/>
              <w:rPr>
                <w:rFonts w:hint="eastAsia"/>
                <w:b/>
                <w:color w:val="000000" w:themeColor="text1"/>
                <w:sz w:val="28"/>
                <w:szCs w:val="28"/>
                <w:highlight w:val="none"/>
                <w:lang w:val="en-US" w:eastAsia="zh-CN"/>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2.11改性工程依托的生态修复工程主要建设内容</w:t>
            </w:r>
          </w:p>
          <w:p w14:paraId="22E3716E">
            <w:pPr>
              <w:keepNext w:val="0"/>
              <w:keepLines w:val="0"/>
              <w:suppressLineNumbers w:val="0"/>
              <w:autoSpaceDE w:val="0"/>
              <w:autoSpaceDN w:val="0"/>
              <w:spacing w:before="0" w:beforeAutospacing="0" w:after="0" w:afterAutospacing="0" w:line="360" w:lineRule="auto"/>
              <w:ind w:left="0" w:right="0"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令友采石场</w:t>
            </w:r>
            <w:r>
              <w:rPr>
                <w:rFonts w:hint="eastAsia"/>
                <w:color w:val="000000" w:themeColor="text1"/>
                <w:sz w:val="24"/>
                <w:szCs w:val="24"/>
                <w:highlight w:val="none"/>
                <w14:textFill>
                  <w14:solidFill>
                    <w14:schemeClr w14:val="tx1"/>
                  </w14:solidFill>
                </w14:textFill>
              </w:rPr>
              <w:t>生态修复回填工程作为独立治理单元，</w:t>
            </w:r>
            <w:r>
              <w:rPr>
                <w:rFonts w:hint="eastAsia"/>
                <w:color w:val="000000" w:themeColor="text1"/>
                <w:sz w:val="24"/>
                <w:szCs w:val="24"/>
                <w:highlight w:val="none"/>
                <w:lang w:val="en-US" w:eastAsia="zh-CN"/>
                <w14:textFill>
                  <w14:solidFill>
                    <w14:schemeClr w14:val="tx1"/>
                  </w14:solidFill>
                </w14:textFill>
              </w:rPr>
              <w:t>已另行</w:t>
            </w:r>
            <w:r>
              <w:rPr>
                <w:rFonts w:hint="eastAsia"/>
                <w:color w:val="000000" w:themeColor="text1"/>
                <w:sz w:val="24"/>
                <w:szCs w:val="24"/>
                <w:highlight w:val="none"/>
                <w14:textFill>
                  <w14:solidFill>
                    <w14:schemeClr w14:val="tx1"/>
                  </w14:solidFill>
                </w14:textFill>
              </w:rPr>
              <w:t>履行环评手续</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已于2026年3月23日取得环评批复，批复文号为“昆生环复[2026]11-6号”</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生态修复工程主要假设内容见下表。</w:t>
            </w:r>
          </w:p>
          <w:p w14:paraId="0A69FB82">
            <w:pPr>
              <w:keepNext w:val="0"/>
              <w:keepLines w:val="0"/>
              <w:suppressLineNumbers w:val="0"/>
              <w:autoSpaceDE w:val="0"/>
              <w:autoSpaceDN w:val="0"/>
              <w:spacing w:before="0" w:beforeAutospacing="0" w:after="0" w:afterAutospacing="0" w:line="360" w:lineRule="auto"/>
              <w:ind w:left="0" w:right="0" w:firstLine="482" w:firstLineChars="200"/>
              <w:jc w:val="center"/>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表2-6  依托的生态修复工程主要建设内容</w:t>
            </w:r>
          </w:p>
          <w:tbl>
            <w:tblPr>
              <w:tblStyle w:val="4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670"/>
              <w:gridCol w:w="6610"/>
              <w:gridCol w:w="662"/>
            </w:tblGrid>
            <w:tr w14:paraId="28E8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gridSpan w:val="2"/>
                  <w:vAlign w:val="center"/>
                </w:tcPr>
                <w:p w14:paraId="3AA19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bidi="ar"/>
                      <w14:textFill>
                        <w14:solidFill>
                          <w14:schemeClr w14:val="tx1"/>
                        </w14:solidFill>
                      </w14:textFill>
                    </w:rPr>
                    <w:t>工程名称</w:t>
                  </w:r>
                </w:p>
              </w:tc>
              <w:tc>
                <w:tcPr>
                  <w:tcW w:w="3946" w:type="pct"/>
                  <w:vAlign w:val="center"/>
                </w:tcPr>
                <w:p w14:paraId="113AE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bidi="ar"/>
                      <w14:textFill>
                        <w14:solidFill>
                          <w14:schemeClr w14:val="tx1"/>
                        </w14:solidFill>
                      </w14:textFill>
                    </w:rPr>
                    <w:t>建设规模及内容</w:t>
                  </w:r>
                </w:p>
              </w:tc>
              <w:tc>
                <w:tcPr>
                  <w:tcW w:w="395" w:type="pct"/>
                  <w:vAlign w:val="center"/>
                </w:tcPr>
                <w:p w14:paraId="025307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bidi="ar"/>
                      <w14:textFill>
                        <w14:solidFill>
                          <w14:schemeClr w14:val="tx1"/>
                        </w14:solidFill>
                      </w14:textFill>
                    </w:rPr>
                    <w:t>备注</w:t>
                  </w:r>
                </w:p>
              </w:tc>
            </w:tr>
            <w:tr w14:paraId="312B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58" w:type="pct"/>
                  <w:vMerge w:val="restart"/>
                  <w:vAlign w:val="center"/>
                </w:tcPr>
                <w:p w14:paraId="493DF8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主体工程</w:t>
                  </w:r>
                </w:p>
              </w:tc>
              <w:tc>
                <w:tcPr>
                  <w:tcW w:w="399" w:type="pct"/>
                  <w:vAlign w:val="center"/>
                </w:tcPr>
                <w:p w14:paraId="2663C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边坡危岩清理及边坡修整</w:t>
                  </w:r>
                </w:p>
              </w:tc>
              <w:tc>
                <w:tcPr>
                  <w:tcW w:w="3946" w:type="pct"/>
                  <w:vAlign w:val="center"/>
                </w:tcPr>
                <w:p w14:paraId="7C50F9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寻甸县塘子镇钟灵村委会令友采石场现状</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为</w:t>
                  </w:r>
                  <w:r>
                    <w:rPr>
                      <w:rFonts w:hint="default" w:ascii="Times New Roman" w:hAnsi="Times New Roman" w:eastAsia="宋体" w:cs="Times New Roman"/>
                      <w:color w:val="000000" w:themeColor="text1"/>
                      <w:sz w:val="21"/>
                      <w:szCs w:val="21"/>
                      <w:highlight w:val="none"/>
                      <w14:textFill>
                        <w14:solidFill>
                          <w14:schemeClr w14:val="tx1"/>
                        </w14:solidFill>
                      </w14:textFill>
                    </w:rPr>
                    <w:t>1个露天</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废弃矿坑</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废弃矿坑</w:t>
                  </w:r>
                  <w:r>
                    <w:rPr>
                      <w:rFonts w:hint="default" w:ascii="Times New Roman" w:hAnsi="Times New Roman" w:eastAsia="宋体" w:cs="Times New Roman"/>
                      <w:color w:val="000000" w:themeColor="text1"/>
                      <w:sz w:val="21"/>
                      <w:szCs w:val="21"/>
                      <w:highlight w:val="none"/>
                      <w14:textFill>
                        <w14:solidFill>
                          <w14:schemeClr w14:val="tx1"/>
                        </w14:solidFill>
                      </w14:textFill>
                    </w:rPr>
                    <w:t>长约412m，宽约200m，面积</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6.4707</w:t>
                  </w:r>
                  <w:r>
                    <w:rPr>
                      <w:rFonts w:hint="default" w:ascii="Times New Roman" w:hAnsi="Times New Roman" w:eastAsia="宋体" w:cs="Times New Roman"/>
                      <w:color w:val="000000" w:themeColor="text1"/>
                      <w:sz w:val="21"/>
                      <w:szCs w:val="21"/>
                      <w:highlight w:val="none"/>
                      <w14:textFill>
                        <w14:solidFill>
                          <w14:schemeClr w14:val="tx1"/>
                        </w14:solidFill>
                      </w14:textFill>
                    </w:rPr>
                    <w:t>hm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现状呈不规则形态，分布方向近南北向。矿山以往未严格按开发利用方案设计开采，未形成规范台阶，采场形成北侧、西侧、东侧三面高陡岩质边坡。采场最高点位于露天采场北侧，标高2100m，最低标高位于采坑底部西北侧位置，标高2044.05m，相对高差55.95m。采石场矿坑西面边坡，坡顶高程2075.8m，坡脚高程2044.0m，高度约31.0m，坡面倾向79°，总体边坡角65°。采石场矿坑北侧边坡，坡顶高程2108m，坡脚高程2045m，高度约63m，坡面倾向238°，总体边坡角约42°。该段边坡分为上段和下段，下段坡角约为37°，高约15m，上段坡角约为59°，高约40m。采石场矿坑东侧边坡，坡顶高程2102m，坡脚高程2049m，高度约53m，坡面倾向247°，总体边坡角约23°。</w:t>
                  </w:r>
                </w:p>
                <w:p w14:paraId="4F4EEC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为了消除采矿边坡安全隐患，满足后续场区底部防渗层铺设的场地要求，需对露天采场场地边坡进行危岩清理、边坡修整，清理过程中须做好边坡监测工作，采取合理、可行、有效的保护措施，防止边坡滑塌对施工人员和机械造成危害。</w:t>
                  </w:r>
                </w:p>
                <w:p w14:paraId="4AE12E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根据项目水土保持方案:</w:t>
                  </w:r>
                  <w:r>
                    <w:rPr>
                      <w:rFonts w:hint="default" w:ascii="Times New Roman" w:hAnsi="Times New Roman" w:eastAsia="宋体" w:cs="Times New Roman"/>
                      <w:color w:val="000000" w:themeColor="text1"/>
                      <w:sz w:val="21"/>
                      <w:szCs w:val="21"/>
                      <w:highlight w:val="none"/>
                      <w14:textFill>
                        <w14:solidFill>
                          <w14:schemeClr w14:val="tx1"/>
                        </w14:solidFill>
                      </w14:textFill>
                    </w:rPr>
                    <w:t>项目建设土石方开挖总量为128.94万m³（其中磷石膏库区清挖115.3万m³，边坡整治及场地整理9.69万m³，拦挡设施清基0.03万m³，遗留建筑拆除0.01万m³、改性剂添加3.46万m³，防排水设施及场地基础开挖0.25万m³、表土剥离0.19万m³），回填土石方总量为136.53万m³（场地底部及坡脚回填9.72万m³，表土和细粒土回覆5.36万m³，防渗粘土铺设2.42万m³，场平及基础回填0.27万m³，改性磷石膏填筑118.76万m³），内部调运118.77万m³，外购表土、细粒土和防渗粘土7.59万m³，无废弃土石方产生。</w:t>
                  </w:r>
                </w:p>
              </w:tc>
              <w:tc>
                <w:tcPr>
                  <w:tcW w:w="395" w:type="pct"/>
                  <w:vAlign w:val="center"/>
                </w:tcPr>
                <w:p w14:paraId="714E1E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r w14:paraId="53FC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 w:type="pct"/>
                  <w:vMerge w:val="continue"/>
                  <w:vAlign w:val="center"/>
                </w:tcPr>
                <w:p w14:paraId="68AD8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399" w:type="pct"/>
                  <w:vAlign w:val="center"/>
                </w:tcPr>
                <w:p w14:paraId="101F4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回填区底部整平及边坡清理</w:t>
                  </w:r>
                </w:p>
              </w:tc>
              <w:tc>
                <w:tcPr>
                  <w:tcW w:w="3946" w:type="pct"/>
                  <w:vAlign w:val="center"/>
                </w:tcPr>
                <w:p w14:paraId="53F995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令友采石场露天采场采矿边坡清理修整完成后，为了满足回填区底部全防渗材料的铺设要求，对场地底部进行整平，整平完成后底部形成不缓于2%的顺坡，坡向采坑西北侧地下水收集井位置，以满足地下水及渗滤液导排收集，场地底部整平面积32287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54A80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由于开采边坡为岩质边坡，为了防止对防渗材料的破坏，需要对场地边坡区域进行清理，主要以清理浮石和尖锐突出物为主，清理完成</w:t>
                  </w:r>
                  <w:r>
                    <w:rPr>
                      <w:rFonts w:hint="eastAsia" w:cs="Times New Roman"/>
                      <w:color w:val="000000" w:themeColor="text1"/>
                      <w:sz w:val="21"/>
                      <w:szCs w:val="21"/>
                      <w:highlight w:val="none"/>
                      <w:lang w:eastAsia="zh-CN"/>
                      <w14:textFill>
                        <w14:solidFill>
                          <w14:schemeClr w14:val="tx1"/>
                        </w14:solidFill>
                      </w14:textFill>
                    </w:rPr>
                    <w:t>后</w:t>
                  </w:r>
                  <w:r>
                    <w:rPr>
                      <w:rFonts w:hint="default" w:ascii="Times New Roman" w:hAnsi="Times New Roman" w:eastAsia="宋体" w:cs="Times New Roman"/>
                      <w:color w:val="000000" w:themeColor="text1"/>
                      <w:sz w:val="21"/>
                      <w:szCs w:val="21"/>
                      <w:highlight w:val="none"/>
                      <w14:textFill>
                        <w14:solidFill>
                          <w14:schemeClr w14:val="tx1"/>
                        </w14:solidFill>
                      </w14:textFill>
                    </w:rPr>
                    <w:t>采用简单设备进行整平，场地边坡清理面积32655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395" w:type="pct"/>
                  <w:vMerge w:val="restart"/>
                  <w:vAlign w:val="center"/>
                </w:tcPr>
                <w:p w14:paraId="587FFD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r w14:paraId="690F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 w:type="pct"/>
                  <w:vMerge w:val="continue"/>
                  <w:vAlign w:val="center"/>
                </w:tcPr>
                <w:p w14:paraId="25FEB1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9" w:type="pct"/>
                  <w:vAlign w:val="center"/>
                </w:tcPr>
                <w:p w14:paraId="324FE1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地下水导排收集系统</w:t>
                  </w:r>
                </w:p>
              </w:tc>
              <w:tc>
                <w:tcPr>
                  <w:tcW w:w="3946" w:type="pct"/>
                  <w:vAlign w:val="center"/>
                </w:tcPr>
                <w:p w14:paraId="76A23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bookmarkStart w:id="12" w:name="_Hlk195476108"/>
                  <w:r>
                    <w:rPr>
                      <w:rFonts w:hint="default" w:ascii="Times New Roman" w:hAnsi="Times New Roman" w:eastAsia="宋体" w:cs="Times New Roman"/>
                      <w:color w:val="000000" w:themeColor="text1"/>
                      <w:sz w:val="21"/>
                      <w:szCs w:val="21"/>
                      <w:highlight w:val="none"/>
                      <w14:textFill>
                        <w14:solidFill>
                          <w14:schemeClr w14:val="tx1"/>
                        </w14:solidFill>
                      </w14:textFill>
                    </w:rPr>
                    <w:t>令友采石场露天采场场地内地下水埋深较深，但在雨季时场地外雨水下渗有可能进入回填区底部，上层滞水形成地下水，为了防止地下水对防渗膜的顶托破坏，须将回填区地下水及时导出，使下渗的地下水不影响防渗结构层的有效性，故设计在修复区防渗层下设置地下水导排盲沟，导排雨季时雨水下渗形成的地下水。地下水导排盲沟在回填区底部整平后，开挖顶宽1500mm，高度500mm，底宽500mm的沟槽，采用土工布包裹碎石充填，碎石内埋设DN200塑料盲沟管。塑料盲沟管接至采坑北侧中部地下水收集井，地下水收集井为底部钢筋混凝土结构，采用DN400HDPE竖管由收集井接至堆填体标高以上，钢筋混凝土收集井净尺寸为</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2.0×2.0×2.5</w:t>
                  </w:r>
                  <w:r>
                    <w:rPr>
                      <w:rFonts w:hint="default" w:ascii="Times New Roman" w:hAnsi="Times New Roman" w:eastAsia="宋体" w:cs="Times New Roman"/>
                      <w:color w:val="000000" w:themeColor="text1"/>
                      <w:sz w:val="21"/>
                      <w:szCs w:val="21"/>
                      <w:highlight w:val="none"/>
                      <w14:textFill>
                        <w14:solidFill>
                          <w14:schemeClr w14:val="tx1"/>
                        </w14:solidFill>
                      </w14:textFill>
                    </w:rPr>
                    <w:t>m，壁厚40cm，通过潜水泵抽至地下水收集池，在采坑东侧山体坡脚新建地下水收集池，尺寸按长×宽×高=5.0×5.0×2.0m设置，采用砖砌，1:2砂浆抹面。池顶标高2071.0m，地下水导排管出口标高2045.50m。池顶设置1.2m高防护栏杆和安全警示标志牌。</w:t>
                  </w:r>
                </w:p>
                <w:p w14:paraId="6F31F5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地下水收集池内的水主要用于修复区管护期浇灌使用。</w:t>
                  </w:r>
                  <w:bookmarkEnd w:id="12"/>
                </w:p>
              </w:tc>
              <w:tc>
                <w:tcPr>
                  <w:tcW w:w="395" w:type="pct"/>
                  <w:vMerge w:val="continue"/>
                  <w:vAlign w:val="center"/>
                </w:tcPr>
                <w:p w14:paraId="282411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1EFC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 w:type="pct"/>
                  <w:vMerge w:val="continue"/>
                  <w:vAlign w:val="center"/>
                </w:tcPr>
                <w:p w14:paraId="48B58D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9" w:type="pct"/>
                  <w:vAlign w:val="center"/>
                </w:tcPr>
                <w:p w14:paraId="1DD1EA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拦挡设施</w:t>
                  </w:r>
                </w:p>
              </w:tc>
              <w:tc>
                <w:tcPr>
                  <w:tcW w:w="3946" w:type="pct"/>
                  <w:vAlign w:val="center"/>
                </w:tcPr>
                <w:p w14:paraId="2BD3FB59">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为保证地貌回填体的安全，在场地南侧位置填筑拦挡坝。拦挡坝坝型结合现场实际情况，结合下游沉砂池挡水的要求，拦挡坝设计采用C25毛石砼重力坝。</w:t>
                  </w:r>
                </w:p>
                <w:p w14:paraId="4FB27B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拦挡坝坝底标高2067m，坝顶标高2072m，坝顶宽2m，坝顶长29m，坝高5m。</w:t>
                  </w:r>
                </w:p>
                <w:p w14:paraId="0EDB79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拦挡坝上游坝坡坡比1:0.4，拦挡坝上游坝坡坡面设防渗层与场内底部防渗层连接；拦挡坝下游坝坡坡比1:0.6。</w:t>
                  </w:r>
                </w:p>
                <w:p w14:paraId="4C2F57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拦挡坝坝基位置主要为原开采过程中形成的场地，首先对拦挡坝坝基位置进行清理，以砾质粘性土或灰岩为坝基持力层。毛石砼分层浇筑，毛石率不大于30%。</w:t>
                  </w:r>
                </w:p>
              </w:tc>
              <w:tc>
                <w:tcPr>
                  <w:tcW w:w="395" w:type="pct"/>
                  <w:vMerge w:val="continue"/>
                  <w:vAlign w:val="center"/>
                </w:tcPr>
                <w:p w14:paraId="5F2B4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4D3D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 w:type="pct"/>
                  <w:vMerge w:val="continue"/>
                  <w:vAlign w:val="center"/>
                </w:tcPr>
                <w:p w14:paraId="04FBCD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9" w:type="pct"/>
                  <w:vAlign w:val="center"/>
                </w:tcPr>
                <w:p w14:paraId="71D5F1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回填区底部全防渗</w:t>
                  </w:r>
                </w:p>
              </w:tc>
              <w:tc>
                <w:tcPr>
                  <w:tcW w:w="3946" w:type="pct"/>
                  <w:vAlign w:val="center"/>
                </w:tcPr>
                <w:p w14:paraId="322AC0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采石场生态修复恢复地貌拟采用无害化处理后的改性磷石膏填料进行回填，根据检测结果，改性磷石膏填料为I类一般工业固体废物，根据项目所在地环境以及回填料的成分考虑，项目参照《一般工业固体废物贮存和填埋污染控制标准》（GB18599-2020）中Ⅱ类填埋场的要求对回填区进行底部全防渗，以达到该项目的环境风险可控的目的。</w:t>
                  </w:r>
                </w:p>
                <w:p w14:paraId="1F82CE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修复回填区防渗采用柔性结构防渗系统，防渗材料选择具有化学兼容性、耐久性、耐热性、高强度、低渗透率、易维护、无二次污染、适应地基不均匀沉降、具有较好的抗微生物侵蚀和抗化学腐蚀性能的HDPE防渗膜。通过设置人工防渗系统将修复回填区底部原地层与生态修复回填材料完全隔离，确保回填区域的渗滤液不下渗，严格控制渗滤液产生量，保护周边环境及地下水质。</w:t>
                  </w:r>
                </w:p>
                <w:p w14:paraId="65272C34">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1）底部防渗层结构</w:t>
                  </w:r>
                </w:p>
                <w:p w14:paraId="3CA327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1）底部防渗层结构</w:t>
                  </w:r>
                </w:p>
                <w:p w14:paraId="658CCA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修复回填区底部防渗层首先在整平后的场地铺设0.75m厚粘土作为土工膜支撑保护层，粘土采用市场购买方式获得，要求粘土干净、含沙量小、黏粘、粒径小于0.05mm的含量应超过25%、塑性指数大于15。经压实措施处理后的饱和渗透系数不应大于1.0×10</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-7</w:t>
                  </w:r>
                  <w:r>
                    <w:rPr>
                      <w:rFonts w:hint="default" w:ascii="Times New Roman" w:hAnsi="Times New Roman" w:eastAsia="宋体" w:cs="Times New Roman"/>
                      <w:color w:val="000000" w:themeColor="text1"/>
                      <w:sz w:val="21"/>
                      <w:szCs w:val="21"/>
                      <w:highlight w:val="none"/>
                      <w14:textFill>
                        <w14:solidFill>
                          <w14:schemeClr w14:val="tx1"/>
                        </w14:solidFill>
                      </w14:textFill>
                    </w:rPr>
                    <w:t>cm/s。黏土层铺设完成后铺设1.5mm厚单糙面HEPD土工防渗膜，并满足GB/T 17643和CJ/T234-2006规定的技术指标要求；最后在上部回填改性磷石膏填料。</w:t>
                  </w:r>
                </w:p>
                <w:p w14:paraId="092D2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底部防渗结构由下至上构成如下：</w:t>
                  </w:r>
                </w:p>
                <w:p w14:paraId="6B1BD5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（1）库底整平压实基础层（地下水导排盲沟在其中）</w:t>
                  </w:r>
                </w:p>
                <w:p w14:paraId="6FC5C7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（2）0.75m厚粘土支撑保护层</w:t>
                  </w:r>
                </w:p>
                <w:p w14:paraId="4CB079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（3）400g/㎡长丝无纺土工布</w:t>
                  </w:r>
                </w:p>
                <w:p w14:paraId="60411F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（4）1.5mm厚单糙面HDPE土工膜</w:t>
                  </w:r>
                </w:p>
                <w:p w14:paraId="0B05F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（5）400g/㎡长丝无纺土工布</w:t>
                  </w:r>
                </w:p>
                <w:p w14:paraId="5DA532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（6）改性磷石膏填料回填</w:t>
                  </w:r>
                </w:p>
                <w:p w14:paraId="50EFC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2）边坡防渗层结构</w:t>
                  </w:r>
                </w:p>
                <w:p w14:paraId="5E393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由于场地边坡大部分陡峻，粘土层无法铺设，设计对边坡清理整平后，采用4800g/m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土工布作为防渗膜的保护层铺设在整平边坡上，再铺设HDPE土工防渗膜。</w:t>
                  </w:r>
                </w:p>
                <w:p w14:paraId="621858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边坡防渗层结构由下至上构成如下：</w:t>
                  </w:r>
                </w:p>
                <w:p w14:paraId="1486E2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（1）边坡清理整平层</w:t>
                  </w:r>
                </w:p>
                <w:p w14:paraId="746E57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（2）4800g/m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长丝无纺土工布</w:t>
                  </w:r>
                </w:p>
                <w:p w14:paraId="036E32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（3）1.5mm厚</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双光</w:t>
                  </w:r>
                  <w:r>
                    <w:rPr>
                      <w:rFonts w:hint="default" w:ascii="Times New Roman" w:hAnsi="Times New Roman" w:eastAsia="宋体" w:cs="Times New Roman"/>
                      <w:color w:val="000000" w:themeColor="text1"/>
                      <w:sz w:val="21"/>
                      <w:szCs w:val="21"/>
                      <w:highlight w:val="none"/>
                      <w14:textFill>
                        <w14:solidFill>
                          <w14:schemeClr w14:val="tx1"/>
                        </w14:solidFill>
                      </w14:textFill>
                    </w:rPr>
                    <w:t>面HDPE土工膜</w:t>
                  </w:r>
                </w:p>
                <w:p w14:paraId="72E177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（4）400g/㎡长丝无纺土工布</w:t>
                  </w:r>
                </w:p>
                <w:p w14:paraId="68BBBF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（5）改性磷石膏填料回填</w:t>
                  </w:r>
                </w:p>
              </w:tc>
              <w:tc>
                <w:tcPr>
                  <w:tcW w:w="395" w:type="pct"/>
                  <w:vMerge w:val="continue"/>
                  <w:vAlign w:val="center"/>
                </w:tcPr>
                <w:p w14:paraId="64C036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0284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 w:type="pct"/>
                  <w:vMerge w:val="continue"/>
                  <w:vAlign w:val="center"/>
                </w:tcPr>
                <w:p w14:paraId="4D0BD9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9" w:type="pct"/>
                  <w:vAlign w:val="center"/>
                </w:tcPr>
                <w:p w14:paraId="5A05F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渗滤液导排收集系统</w:t>
                  </w:r>
                </w:p>
              </w:tc>
              <w:tc>
                <w:tcPr>
                  <w:tcW w:w="3946" w:type="pct"/>
                  <w:vAlign w:val="center"/>
                </w:tcPr>
                <w:p w14:paraId="4293EB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为了将填料可能产生的渗滤液进行收集处理，底部防渗完成后，在防渗层上设置渗滤液收集导排盲沟，沟内铺设厚500mm的卵石，卵石采用400g/m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土工布包裹。导排盲沟内置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DN</w:t>
                  </w:r>
                  <w:r>
                    <w:rPr>
                      <w:rFonts w:hint="default" w:ascii="Times New Roman" w:hAnsi="Times New Roman" w:eastAsia="宋体" w:cs="Times New Roman"/>
                      <w:color w:val="000000" w:themeColor="text1"/>
                      <w:sz w:val="21"/>
                      <w:szCs w:val="21"/>
                      <w:highlight w:val="none"/>
                      <w14:textFill>
                        <w14:solidFill>
                          <w14:schemeClr w14:val="tx1"/>
                        </w14:solidFill>
                      </w14:textFill>
                    </w:rPr>
                    <w:t>200塑料盲沟管排渗，塑料盲沟管穿孔管外侧采用400g/m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土工布包裹，沿线排水控制坡度2%，导排管接至渗滤液收集井，渗滤液收集井为底部钢筋混凝土结构，采用DN400HDPE竖管由收集井接至堆填体标高以上，钢筋混凝土收集井净尺寸为2.2×2.2×3.2m，壁厚40cm，收集后通过潜水泵抽至渗滤液收集池，渗滤液收集回运至</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云南</w:t>
                  </w:r>
                  <w:r>
                    <w:rPr>
                      <w:rFonts w:hint="default" w:ascii="Times New Roman" w:hAnsi="Times New Roman" w:eastAsia="宋体" w:cs="Times New Roman"/>
                      <w:color w:val="000000" w:themeColor="text1"/>
                      <w:sz w:val="21"/>
                      <w:szCs w:val="21"/>
                      <w:highlight w:val="none"/>
                      <w14:textFill>
                        <w14:solidFill>
                          <w14:schemeClr w14:val="tx1"/>
                        </w14:solidFill>
                      </w14:textFill>
                    </w:rPr>
                    <w:t>常青树化工</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有限</w:t>
                  </w:r>
                  <w:r>
                    <w:rPr>
                      <w:rFonts w:hint="default" w:ascii="Times New Roman" w:hAnsi="Times New Roman" w:eastAsia="宋体" w:cs="Times New Roman"/>
                      <w:color w:val="000000" w:themeColor="text1"/>
                      <w:sz w:val="21"/>
                      <w:szCs w:val="21"/>
                      <w:highlight w:val="none"/>
                      <w14:textFill>
                        <w14:solidFill>
                          <w14:schemeClr w14:val="tx1"/>
                        </w14:solidFill>
                      </w14:textFill>
                    </w:rPr>
                    <w:t>公司厂区内处理回用。在采坑顶部东侧设渗滤液收集池，收集回填料渗滤液。</w:t>
                  </w:r>
                </w:p>
                <w:p w14:paraId="4EDD90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在拦挡坝东北侧开挖35×20×2.5的渗滤液应急池，</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容积1750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采用两布一膜进行防渗处理后，采用沙袋进行压重，用于雨季渗滤液突增的临时储存。</w:t>
                  </w:r>
                </w:p>
                <w:p w14:paraId="6C85B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渗滤液收集池在采坑东侧山体坡脚，采用钢筋混凝土矩形水池结构，尺寸长×宽×高=15×10×2.5m，容积375m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。渗滤液回运至</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云南</w:t>
                  </w:r>
                  <w:r>
                    <w:rPr>
                      <w:rFonts w:hint="default" w:ascii="Times New Roman" w:hAnsi="Times New Roman" w:eastAsia="宋体" w:cs="Times New Roman"/>
                      <w:color w:val="000000" w:themeColor="text1"/>
                      <w:sz w:val="21"/>
                      <w:szCs w:val="21"/>
                      <w:highlight w:val="none"/>
                      <w14:textFill>
                        <w14:solidFill>
                          <w14:schemeClr w14:val="tx1"/>
                        </w14:solidFill>
                      </w14:textFill>
                    </w:rPr>
                    <w:t>常青树化工</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有限</w:t>
                  </w:r>
                  <w:r>
                    <w:rPr>
                      <w:rFonts w:hint="default" w:ascii="Times New Roman" w:hAnsi="Times New Roman" w:eastAsia="宋体" w:cs="Times New Roman"/>
                      <w:color w:val="000000" w:themeColor="text1"/>
                      <w:sz w:val="21"/>
                      <w:szCs w:val="21"/>
                      <w:highlight w:val="none"/>
                      <w14:textFill>
                        <w14:solidFill>
                          <w14:schemeClr w14:val="tx1"/>
                        </w14:solidFill>
                      </w14:textFill>
                    </w:rPr>
                    <w:t>公司厂区处理后回用。渗滤液池顶标高2072.0m，渗滤液导排管出口标高2046.5m。</w:t>
                  </w:r>
                </w:p>
              </w:tc>
              <w:tc>
                <w:tcPr>
                  <w:tcW w:w="395" w:type="pct"/>
                  <w:vMerge w:val="continue"/>
                  <w:vAlign w:val="center"/>
                </w:tcPr>
                <w:p w14:paraId="76BC00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6448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 w:type="pct"/>
                  <w:vMerge w:val="continue"/>
                  <w:vAlign w:val="center"/>
                </w:tcPr>
                <w:p w14:paraId="06E61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9" w:type="pct"/>
                  <w:vAlign w:val="center"/>
                </w:tcPr>
                <w:p w14:paraId="24E0C75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露采区回填恢复地貌</w:t>
                  </w:r>
                </w:p>
              </w:tc>
              <w:tc>
                <w:tcPr>
                  <w:tcW w:w="3946" w:type="pct"/>
                  <w:vAlign w:val="center"/>
                </w:tcPr>
                <w:p w14:paraId="779B26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令友采石场露天采场生态修复区设计采用改性磷石膏填料回填。矿坑堆填区从整平后的坑底2046m标高堆填至2081m标高，根据改性磷石膏填料特性、矿坑地形条件及雨水排水条件等因数，设计改性磷石膏填料回填堆排顺序为先填平采矿凹坑至</w:t>
                  </w:r>
                  <w:bookmarkStart w:id="13" w:name="_Hlk195476269"/>
                  <w:r>
                    <w:rPr>
                      <w:rFonts w:hint="default" w:ascii="Times New Roman" w:hAnsi="Times New Roman" w:eastAsia="宋体" w:cs="Times New Roman"/>
                      <w:color w:val="000000" w:themeColor="text1"/>
                      <w:sz w:val="21"/>
                      <w:szCs w:val="21"/>
                      <w:highlight w:val="none"/>
                      <w14:textFill>
                        <w14:solidFill>
                          <w14:schemeClr w14:val="tx1"/>
                        </w14:solidFill>
                      </w14:textFill>
                    </w:rPr>
                    <w:t>标高2070m，再由拦挡坝坝顶和周边采坑顶部按1:3.0的坡比放坡堆填，堆填体总外坡比控制缓于1:3.5。拦挡坝高度5m，拦挡坝以上堆填高度9m,最终堆填标高2081m。堆填每5m高，留设3m宽马道。</w:t>
                  </w:r>
                  <w:bookmarkEnd w:id="13"/>
                  <w:r>
                    <w:rPr>
                      <w:rFonts w:hint="default" w:ascii="Times New Roman" w:hAnsi="Times New Roman" w:eastAsia="宋体" w:cs="Times New Roman"/>
                      <w:color w:val="000000" w:themeColor="text1"/>
                      <w:sz w:val="21"/>
                      <w:szCs w:val="21"/>
                      <w:highlight w:val="none"/>
                      <w14:textFill>
                        <w14:solidFill>
                          <w14:schemeClr w14:val="tx1"/>
                        </w14:solidFill>
                      </w14:textFill>
                    </w:rPr>
                    <w:t>按场地地形初步测算回填量共计</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116.96</w:t>
                  </w:r>
                  <w:r>
                    <w:rPr>
                      <w:rFonts w:hint="default" w:ascii="Times New Roman" w:hAnsi="Times New Roman" w:eastAsia="宋体" w:cs="Times New Roman"/>
                      <w:color w:val="000000" w:themeColor="text1"/>
                      <w:sz w:val="21"/>
                      <w:szCs w:val="21"/>
                      <w:highlight w:val="none"/>
                      <w14:textFill>
                        <w14:solidFill>
                          <w14:schemeClr w14:val="tx1"/>
                        </w14:solidFill>
                      </w14:textFill>
                    </w:rPr>
                    <w:t>万m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163.744万t。</w:t>
                  </w:r>
                </w:p>
              </w:tc>
              <w:tc>
                <w:tcPr>
                  <w:tcW w:w="395" w:type="pct"/>
                  <w:vMerge w:val="continue"/>
                  <w:vAlign w:val="center"/>
                </w:tcPr>
                <w:p w14:paraId="340B31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758B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 w:type="pct"/>
                  <w:vMerge w:val="continue"/>
                  <w:vAlign w:val="center"/>
                </w:tcPr>
                <w:p w14:paraId="76F1E1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9" w:type="pct"/>
                  <w:vAlign w:val="center"/>
                </w:tcPr>
                <w:p w14:paraId="66AFD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顶部防渗层结构</w:t>
                  </w:r>
                </w:p>
              </w:tc>
              <w:tc>
                <w:tcPr>
                  <w:tcW w:w="3946" w:type="pct"/>
                  <w:vAlign w:val="center"/>
                </w:tcPr>
                <w:p w14:paraId="7E75D5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修复回填区按设计回填完成后，为了控制后期雨水下渗产生新的渗滤液，参照《一般工业固体废物贮存和填埋污染控制标准》（GB18599-2020）Ⅱ类填埋场封场技术要求进行封场，回填区顶部封场采用柔性结构防渗系统，防渗材料选用HDPE土工防渗膜。通过设置人工防渗系统阻隔雨水下渗，形成新的渗滤液造成环境风险</w:t>
                  </w:r>
                  <w:r>
                    <w:rPr>
                      <w:rFonts w:hint="default" w:ascii="Times New Roman" w:hAnsi="Times New Roman" w:eastAsia="宋体" w:cs="Times New Roman"/>
                      <w:bCs/>
                      <w:color w:val="000000" w:themeColor="text1"/>
                      <w:sz w:val="21"/>
                      <w:szCs w:val="21"/>
                      <w:highlight w:val="none"/>
                      <w14:textFill>
                        <w14:solidFill>
                          <w14:schemeClr w14:val="tx1"/>
                        </w14:solidFill>
                      </w14:textFill>
                    </w:rPr>
                    <w:t>，保护周边地下水水质。</w:t>
                  </w:r>
                </w:p>
                <w:p w14:paraId="11D0B55C">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修复回填区</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改性磷石膏填料</w:t>
                  </w:r>
                  <w:r>
                    <w:rPr>
                      <w:rFonts w:hint="default" w:ascii="Times New Roman" w:hAnsi="Times New Roman" w:eastAsia="宋体" w:cs="Times New Roman"/>
                      <w:color w:val="000000" w:themeColor="text1"/>
                      <w:sz w:val="21"/>
                      <w:szCs w:val="21"/>
                      <w:highlight w:val="none"/>
                      <w14:textFill>
                        <w14:solidFill>
                          <w14:schemeClr w14:val="tx1"/>
                        </w14:solidFill>
                      </w14:textFill>
                    </w:rPr>
                    <w:t>回填完成后，对回填区顶部采用土工防渗膜进行封场防渗，</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顶部防渗膜与底部全防渗土工膜可靠焊接，阻隔雨水下渗进入堆填体。</w:t>
                  </w:r>
                </w:p>
                <w:p w14:paraId="30AC8EE6">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顶部防渗处理结构由下至上构成如下：</w:t>
                  </w:r>
                </w:p>
                <w:p w14:paraId="5798B4A0">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（1）回填材料压实整平</w:t>
                  </w:r>
                </w:p>
                <w:p w14:paraId="30F437DC">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（2）膜下排气管</w:t>
                  </w:r>
                </w:p>
                <w:p w14:paraId="073457EB">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（3）400g/㎡长丝无纺土工布</w:t>
                  </w:r>
                </w:p>
                <w:p w14:paraId="3BD2D3A8">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bookmarkStart w:id="14" w:name="_Hlk192838016"/>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（4）1.5mm厚</w:t>
                  </w:r>
                  <w:r>
                    <w:rPr>
                      <w:rFonts w:hint="default" w:ascii="Times New Roman" w:hAnsi="Times New Roman" w:eastAsia="宋体" w:cs="Times New Roman"/>
                      <w:color w:val="000000" w:themeColor="text1"/>
                      <w:sz w:val="21"/>
                      <w:szCs w:val="21"/>
                      <w:highlight w:val="none"/>
                      <w:shd w:val="clear" w:color="auto" w:fill="FFFFFF"/>
                      <w:lang w:val="en-US" w:eastAsia="zh-CN"/>
                      <w14:textFill>
                        <w14:solidFill>
                          <w14:schemeClr w14:val="tx1"/>
                        </w14:solidFill>
                      </w14:textFill>
                    </w:rPr>
                    <w:t>双光面</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HDPE土工膜</w:t>
                  </w:r>
                </w:p>
                <w:bookmarkEnd w:id="14"/>
                <w:p w14:paraId="2BC1E988">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（5）4800g/㎡复合排水网格</w:t>
                  </w:r>
                </w:p>
                <w:p w14:paraId="399758F8">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（6）40cm厚阻隔支撑层填土（碎石盲沟排水网格布设其中）</w:t>
                  </w:r>
                </w:p>
                <w:p w14:paraId="14A3862D">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（7）覆土60cm，恢复为灌木林地</w:t>
                  </w:r>
                  <w:r>
                    <w:rPr>
                      <w:rFonts w:hint="default" w:ascii="Times New Roman" w:hAnsi="Times New Roman" w:eastAsia="宋体" w:cs="Times New Roman"/>
                      <w:color w:val="000000" w:themeColor="text1"/>
                      <w:sz w:val="21"/>
                      <w:szCs w:val="21"/>
                      <w:highlight w:val="none"/>
                      <w:shd w:val="clear" w:color="auto" w:fill="FFFFFF"/>
                      <w:lang w:eastAsia="zh-CN"/>
                      <w14:textFill>
                        <w14:solidFill>
                          <w14:schemeClr w14:val="tx1"/>
                        </w14:solidFill>
                      </w14:textFill>
                    </w:rPr>
                    <w:t>。</w:t>
                  </w:r>
                </w:p>
              </w:tc>
              <w:tc>
                <w:tcPr>
                  <w:tcW w:w="395" w:type="pct"/>
                  <w:vMerge w:val="continue"/>
                  <w:vAlign w:val="center"/>
                </w:tcPr>
                <w:p w14:paraId="39356B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53CE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 w:type="pct"/>
                  <w:vMerge w:val="continue"/>
                  <w:vAlign w:val="center"/>
                </w:tcPr>
                <w:p w14:paraId="0668F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9" w:type="pct"/>
                  <w:vAlign w:val="center"/>
                </w:tcPr>
                <w:p w14:paraId="31516F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排洪排水设施</w:t>
                  </w:r>
                </w:p>
              </w:tc>
              <w:tc>
                <w:tcPr>
                  <w:tcW w:w="3946" w:type="pct"/>
                  <w:vAlign w:val="center"/>
                </w:tcPr>
                <w:p w14:paraId="37E1D2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令友采石场位于汇水区顶部，周边汇水较少，基本为场地内汇水。为了提高修复区汇水截排效率，</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在修复区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红线范围内的</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西侧、北侧和西侧2076平台采用加大的Ⅰ型截水沟，长772米，</w:t>
                  </w:r>
                  <w:r>
                    <w:rPr>
                      <w:rFonts w:hint="default" w:ascii="Times New Roman" w:hAnsi="Times New Roman" w:eastAsia="宋体" w:cs="Times New Roman"/>
                      <w:bCs/>
                      <w:color w:val="000000" w:themeColor="text1"/>
                      <w:sz w:val="21"/>
                      <w:szCs w:val="21"/>
                      <w:highlight w:val="none"/>
                      <w14:textFill>
                        <w14:solidFill>
                          <w14:schemeClr w14:val="tx1"/>
                        </w14:solidFill>
                      </w14:textFill>
                    </w:rPr>
                    <w:t>净断面尺寸为B×H＝1.0m×1.2m，最小底坡2%，结构为钢筋砼结构。设计在</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修复区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红线范围内的</w:t>
                  </w:r>
                  <w:r>
                    <w:rPr>
                      <w:rFonts w:hint="default" w:ascii="Times New Roman" w:hAnsi="Times New Roman" w:eastAsia="宋体" w:cs="Times New Roman"/>
                      <w:bCs/>
                      <w:color w:val="000000" w:themeColor="text1"/>
                      <w:sz w:val="21"/>
                      <w:szCs w:val="21"/>
                      <w:highlight w:val="none"/>
                      <w14:textFill>
                        <w14:solidFill>
                          <w14:schemeClr w14:val="tx1"/>
                        </w14:solidFill>
                      </w14:textFill>
                    </w:rPr>
                    <w:t>东北侧和东侧设置Ⅱ型截水沟，长510米，净断面尺寸为B×H＝0.8m×1.0m，最小底坡2%，结构为素砼结构。在回填区最终堆填边坡平台上设置坡面雨水沟，净断面尺寸为B×H＝0.3m×0.4m，最小底坡1%，结构为砖砌结构。生态修复区汇水通过拦挡坝下游沟谷外排。</w:t>
                  </w:r>
                </w:p>
                <w:p w14:paraId="2B510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210" w:firstLineChars="1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Ⅱ型截水沟水力计算</w:t>
                  </w:r>
                </w:p>
                <w:p w14:paraId="23E13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宽度：0.8m</w:t>
                  </w:r>
                </w:p>
                <w:p w14:paraId="3096A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深度：1.0m</w:t>
                  </w:r>
                </w:p>
                <w:p w14:paraId="71671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最小纵坡度：i=0.02</w:t>
                  </w:r>
                </w:p>
                <w:p w14:paraId="43C6B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净过水面积：A=0.64m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p>
                <w:p w14:paraId="7CF99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水力糙度：n=0.014</w:t>
                  </w:r>
                </w:p>
                <w:p w14:paraId="795C8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湿周：x =2.4m</w:t>
                  </w:r>
                </w:p>
                <w:p w14:paraId="4E46E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水力半径：R =0.267</w:t>
                  </w:r>
                </w:p>
                <w:p w14:paraId="26C91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流速：</w:t>
                  </w:r>
                  <w:r>
                    <w:rPr>
                      <w:rFonts w:hint="default" w:ascii="Times New Roman" w:hAnsi="Times New Roman" w:eastAsia="宋体" w:cs="Times New Roman"/>
                      <w:i/>
                      <w:color w:val="000000" w:themeColor="text1"/>
                      <w:sz w:val="21"/>
                      <w:szCs w:val="21"/>
                      <w:highlight w:val="none"/>
                      <w14:textFill>
                        <w14:solidFill>
                          <w14:schemeClr w14:val="tx1"/>
                        </w14:solidFill>
                      </w14:textFill>
                    </w:rPr>
                    <w:t>v</w:t>
                  </w:r>
                  <w:r>
                    <w:rPr>
                      <w:rFonts w:hint="default" w:ascii="Times New Roman" w:hAnsi="Times New Roman" w:eastAsia="宋体" w:cs="Times New Roman"/>
                      <w:color w:val="000000" w:themeColor="text1"/>
                      <w:sz w:val="21"/>
                      <w:szCs w:val="21"/>
                      <w:highlight w:val="none"/>
                      <w14:textFill>
                        <w14:solidFill>
                          <w14:schemeClr w14:val="tx1"/>
                        </w14:solidFill>
                      </w14:textFill>
                    </w:rPr>
                    <w:t>=4.19m/s</w:t>
                  </w:r>
                </w:p>
                <w:p w14:paraId="232EB8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流量：Q=2.68m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/s＞1.89m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/s</w:t>
                  </w:r>
                </w:p>
                <w:p w14:paraId="4EE2EF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因此Ⅱ型截水沟满足行洪要求，Ⅰ型截水沟断面更大，排水保证率更高。</w:t>
                  </w:r>
                </w:p>
                <w:p w14:paraId="60E04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71" w:firstLineChars="177"/>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修复回填区场内设置纵横雨水沟，导排场内雨水进入周边截水沟外排。在堆填体每层平台上修建雨水沟，沟断面300mm×400mm，坡度不小于0.01，堆填体边坡纵向设雨水沟，纵向坡面雨水沟间隔30m设一条，断面300mm×400mm。纵向雨水沟采用预制U型槽。雨水沟导排至周边截水沟，直接外排或收集于地下水收集池，用于场地养护浇灌。</w:t>
                  </w:r>
                </w:p>
              </w:tc>
              <w:tc>
                <w:tcPr>
                  <w:tcW w:w="395" w:type="pct"/>
                  <w:vMerge w:val="continue"/>
                  <w:vAlign w:val="center"/>
                </w:tcPr>
                <w:p w14:paraId="1523A7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1832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vMerge w:val="continue"/>
                  <w:vAlign w:val="center"/>
                </w:tcPr>
                <w:p w14:paraId="1A150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399" w:type="pct"/>
                  <w:vMerge w:val="restart"/>
                  <w:vAlign w:val="center"/>
                </w:tcPr>
                <w:p w14:paraId="68CF09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改性磷石膏填料</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黏土、耕植土</w:t>
                  </w:r>
                </w:p>
              </w:tc>
              <w:tc>
                <w:tcPr>
                  <w:tcW w:w="3946" w:type="pct"/>
                  <w:vAlign w:val="center"/>
                </w:tcPr>
                <w:p w14:paraId="2EDC0087">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根据项目实施方案及堆填设计，令友采石场矿坑</w:t>
                  </w:r>
                  <w:r>
                    <w:rPr>
                      <w:rFonts w:hint="default" w:ascii="Times New Roman" w:hAnsi="Times New Roman" w:eastAsia="宋体" w:cs="Times New Roman"/>
                      <w:color w:val="000000" w:themeColor="text1"/>
                      <w:sz w:val="21"/>
                      <w:szCs w:val="21"/>
                      <w:highlight w:val="none"/>
                      <w14:textFill>
                        <w14:solidFill>
                          <w14:schemeClr w14:val="tx1"/>
                        </w14:solidFill>
                      </w14:textFill>
                    </w:rPr>
                    <w:t>回填量共计</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116.96</w:t>
                  </w:r>
                  <w:r>
                    <w:rPr>
                      <w:rFonts w:hint="default" w:ascii="Times New Roman" w:hAnsi="Times New Roman" w:eastAsia="宋体" w:cs="Times New Roman"/>
                      <w:color w:val="000000" w:themeColor="text1"/>
                      <w:sz w:val="21"/>
                      <w:szCs w:val="21"/>
                      <w:highlight w:val="none"/>
                      <w14:textFill>
                        <w14:solidFill>
                          <w14:schemeClr w14:val="tx1"/>
                        </w14:solidFill>
                      </w14:textFill>
                    </w:rPr>
                    <w:t>万m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163.744万t。根据《寻甸县常青树磷石膏库堆渣体积复核项目物探勘察中间成果》，常青树磷石膏渣库体积约为115.3万</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149.89万t，根据建设单位提供改性方案，磷石膏改性过程中改性剂（生石灰及固化剂）添加量为6%，则改性后的磷石膏总量为158.88万吨，本项目生态修复项目可全部接纳</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云南常青树化工有限公司磷石膏渣场库存量。改性后的磷石膏必须满足《一般工业固体废物贮存和填埋污染控制标准（GB18599-2020）》规定的第I类一般工业固体废物要求和《改性磷石膏用于矿山废弃地生态修复回填技术规范》（DB53/T1269-2024）要求方可入厂进行生态修复。</w:t>
                  </w:r>
                </w:p>
                <w:p w14:paraId="7480C1F2">
                  <w:pPr>
                    <w:pStyle w:val="27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待回填作业达到设计标高或既定存量全部处置完毕后，若矿坑仍有剩余容积，应立即终止回填作业，并严格按照封场技术规范开展顶部整平及生态恢复工作。本项目作为定向消纳工程，服务范围严格限定于处理常青树化工既有磷石膏库存，严禁接收其他单位或途径产生的改性磷石膏及其他固体废物，以确保环境管理的专一性与可控性。</w:t>
                  </w:r>
                </w:p>
              </w:tc>
              <w:tc>
                <w:tcPr>
                  <w:tcW w:w="395" w:type="pct"/>
                  <w:vAlign w:val="center"/>
                </w:tcPr>
                <w:p w14:paraId="02869D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w:t>
                  </w:r>
                </w:p>
              </w:tc>
            </w:tr>
            <w:tr w14:paraId="21F2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58" w:type="pct"/>
                  <w:vMerge w:val="continue"/>
                  <w:vAlign w:val="center"/>
                </w:tcPr>
                <w:p w14:paraId="18453B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399" w:type="pct"/>
                  <w:vMerge w:val="continue"/>
                  <w:vAlign w:val="center"/>
                </w:tcPr>
                <w:p w14:paraId="24E546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3946" w:type="pct"/>
                  <w:vAlign w:val="center"/>
                </w:tcPr>
                <w:p w14:paraId="24D0B32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80"/>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本项目生态修复工程措施完成后，顶部防渗层以上先覆盖40cm厚细粒土层作为阻隔支撑层。生态修复区生态恢复方向为耕地和林地。</w:t>
                  </w:r>
                </w:p>
                <w:p w14:paraId="473CEDA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80"/>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生态修复分区覆土情况如下：</w:t>
                  </w:r>
                </w:p>
                <w:p w14:paraId="49815F9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80"/>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（1）回填区堆填斜坡区：生态修复为灌木林地，先覆0.4m厚细粒土作为阻隔支撑层，再覆0.6m厚表土，覆土面积36417m</w:t>
                  </w:r>
                  <w:r>
                    <w:rPr>
                      <w:rFonts w:hint="default" w:ascii="Times New Roman" w:hAnsi="Times New Roman" w:eastAsia="宋体" w:cs="Times New Roman"/>
                      <w:b w:val="0"/>
                      <w:bCs w:val="0"/>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，覆土量36417m</w:t>
                  </w:r>
                  <w:r>
                    <w:rPr>
                      <w:rFonts w:hint="default" w:ascii="Times New Roman" w:hAnsi="Times New Roman" w:eastAsia="宋体" w:cs="Times New Roman"/>
                      <w:b w:val="0"/>
                      <w:bCs w:val="0"/>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p>
                <w:p w14:paraId="4CA1AD7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80"/>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（2）回填区顶部平台区：生态修复为旱地，先覆0.4m厚细粒土作为阻隔支撑层，再覆0.6m厚表土，覆土面积21658m</w:t>
                  </w:r>
                  <w:r>
                    <w:rPr>
                      <w:rFonts w:hint="default" w:ascii="Times New Roman" w:hAnsi="Times New Roman" w:eastAsia="宋体" w:cs="Times New Roman"/>
                      <w:b w:val="0"/>
                      <w:bCs w:val="0"/>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，覆土量21658m</w:t>
                  </w:r>
                  <w:r>
                    <w:rPr>
                      <w:rFonts w:hint="default" w:ascii="Times New Roman" w:hAnsi="Times New Roman" w:eastAsia="宋体" w:cs="Times New Roman"/>
                      <w:b w:val="0"/>
                      <w:bCs w:val="0"/>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p>
                <w:p w14:paraId="6FEDAC7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80"/>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（3）周边平缓区：生态修复为乔木林地，覆0.6m厚表土，覆土面积3886m</w:t>
                  </w:r>
                  <w:r>
                    <w:rPr>
                      <w:rFonts w:hint="default" w:ascii="Times New Roman" w:hAnsi="Times New Roman" w:eastAsia="宋体" w:cs="Times New Roman"/>
                      <w:b w:val="0"/>
                      <w:bCs w:val="0"/>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，覆土量2332m</w:t>
                  </w:r>
                  <w:r>
                    <w:rPr>
                      <w:rFonts w:hint="default" w:ascii="Times New Roman" w:hAnsi="Times New Roman" w:eastAsia="宋体" w:cs="Times New Roman"/>
                      <w:b w:val="0"/>
                      <w:bCs w:val="0"/>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p>
                <w:p w14:paraId="005EB0A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80"/>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（4）顶部采坑陡坡区：生态修复为其他草地，边坡坡度较陡，无法覆土。</w:t>
                  </w:r>
                </w:p>
                <w:p w14:paraId="5257846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480"/>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令友采石场生态修复区总覆土量61961m</w:t>
                  </w:r>
                  <w:r>
                    <w:rPr>
                      <w:rFonts w:hint="default" w:ascii="Times New Roman" w:hAnsi="Times New Roman" w:eastAsia="宋体" w:cs="Times New Roman"/>
                      <w:b w:val="0"/>
                      <w:bCs w:val="0"/>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，总修复面积6.2660hm</w:t>
                  </w:r>
                  <w:r>
                    <w:rPr>
                      <w:rFonts w:hint="default" w:ascii="Times New Roman" w:hAnsi="Times New Roman" w:eastAsia="宋体" w:cs="Times New Roman"/>
                      <w:b w:val="0"/>
                      <w:bCs w:val="0"/>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，按10%的损耗考虑，共需覆土68157m</w:t>
                  </w:r>
                  <w:r>
                    <w:rPr>
                      <w:rFonts w:hint="default" w:ascii="Times New Roman" w:hAnsi="Times New Roman" w:eastAsia="宋体" w:cs="Times New Roman"/>
                      <w:b w:val="0"/>
                      <w:bCs w:val="0"/>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p>
              </w:tc>
              <w:tc>
                <w:tcPr>
                  <w:tcW w:w="395" w:type="pct"/>
                  <w:vAlign w:val="center"/>
                </w:tcPr>
                <w:p w14:paraId="34BC44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w:t>
                  </w:r>
                </w:p>
              </w:tc>
            </w:tr>
            <w:tr w14:paraId="17F1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Merge w:val="restart"/>
                  <w:vAlign w:val="center"/>
                </w:tcPr>
                <w:p w14:paraId="7A3489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公用工程</w:t>
                  </w:r>
                </w:p>
              </w:tc>
              <w:tc>
                <w:tcPr>
                  <w:tcW w:w="399" w:type="pct"/>
                  <w:vAlign w:val="center"/>
                </w:tcPr>
                <w:p w14:paraId="357E74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给水</w:t>
                  </w:r>
                </w:p>
              </w:tc>
              <w:tc>
                <w:tcPr>
                  <w:tcW w:w="3946" w:type="pct"/>
                  <w:vAlign w:val="center"/>
                </w:tcPr>
                <w:p w14:paraId="0D48B690">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textAlignment w:val="auto"/>
                    <w:rPr>
                      <w:rFonts w:hint="default" w:ascii="Times New Roman" w:hAnsi="Times New Roman" w:eastAsia="宋体" w:cs="Times New Roman"/>
                      <w:color w:val="000000" w:themeColor="text1"/>
                      <w:kern w:val="0"/>
                      <w:sz w:val="21"/>
                      <w:szCs w:val="21"/>
                      <w:highlight w:val="none"/>
                      <w:lang w:val="en-US"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由于周边水源缺乏，为了堆填完成后场地恢复为林地后的灌溉，在场地内拦挡坝下游位置沉砂池（兼雨水收集池），收集下雨时的雨水，用于场地灌溉。容积2656m</w:t>
                  </w:r>
                  <w:r>
                    <w:rPr>
                      <w:rFonts w:hint="default" w:ascii="Times New Roman" w:hAnsi="Times New Roman" w:eastAsia="宋体" w:cs="Times New Roman"/>
                      <w:color w:val="000000" w:themeColor="text1"/>
                      <w:kern w:val="0"/>
                      <w:sz w:val="21"/>
                      <w:szCs w:val="21"/>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w:t>
                  </w:r>
                </w:p>
              </w:tc>
              <w:tc>
                <w:tcPr>
                  <w:tcW w:w="395" w:type="pct"/>
                  <w:vAlign w:val="center"/>
                </w:tcPr>
                <w:p w14:paraId="31B057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r w14:paraId="5DFA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vMerge w:val="continue"/>
                  <w:vAlign w:val="center"/>
                </w:tcPr>
                <w:p w14:paraId="23740D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399" w:type="pct"/>
                  <w:vAlign w:val="center"/>
                </w:tcPr>
                <w:p w14:paraId="1C0E3D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排水</w:t>
                  </w:r>
                </w:p>
              </w:tc>
              <w:tc>
                <w:tcPr>
                  <w:tcW w:w="3946" w:type="pct"/>
                  <w:vAlign w:val="center"/>
                </w:tcPr>
                <w:p w14:paraId="0581AB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施工废水经收集沉淀后回用于项目区洒水降尘，养护用水经土壤吸收、蒸发。</w:t>
                  </w:r>
                </w:p>
              </w:tc>
              <w:tc>
                <w:tcPr>
                  <w:tcW w:w="395" w:type="pct"/>
                  <w:vAlign w:val="center"/>
                </w:tcPr>
                <w:p w14:paraId="0638E1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r w14:paraId="5F4B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Merge w:val="continue"/>
                  <w:vAlign w:val="center"/>
                </w:tcPr>
                <w:p w14:paraId="07AAFF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399" w:type="pct"/>
                  <w:vAlign w:val="center"/>
                </w:tcPr>
                <w:p w14:paraId="2289E2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供电</w:t>
                  </w:r>
                </w:p>
              </w:tc>
              <w:tc>
                <w:tcPr>
                  <w:tcW w:w="3946" w:type="pct"/>
                  <w:vAlign w:val="center"/>
                </w:tcPr>
                <w:p w14:paraId="737F6A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项目用电从附近供电系统接入。</w:t>
                  </w:r>
                </w:p>
              </w:tc>
              <w:tc>
                <w:tcPr>
                  <w:tcW w:w="395" w:type="pct"/>
                  <w:vAlign w:val="center"/>
                </w:tcPr>
                <w:p w14:paraId="4DA47A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r w14:paraId="383E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Align w:val="center"/>
                </w:tcPr>
                <w:p w14:paraId="0425E5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依托工程</w:t>
                  </w:r>
                </w:p>
              </w:tc>
              <w:tc>
                <w:tcPr>
                  <w:tcW w:w="399" w:type="pct"/>
                  <w:vAlign w:val="center"/>
                </w:tcPr>
                <w:p w14:paraId="10B3E6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bidi="ar"/>
                      <w14:textFill>
                        <w14:solidFill>
                          <w14:schemeClr w14:val="tx1"/>
                        </w14:solidFill>
                      </w14:textFill>
                    </w:rPr>
                    <w:t>改性磷石膏生产线</w:t>
                  </w:r>
                </w:p>
              </w:tc>
              <w:tc>
                <w:tcPr>
                  <w:tcW w:w="3946" w:type="pct"/>
                  <w:vAlign w:val="center"/>
                </w:tcPr>
                <w:p w14:paraId="22113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val="en-US"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根据项目实施方案及堆填设计，改性磷石膏主要来源于《寻甸县常青树磷石膏库综合治理项目》生产的合格产品，目前改性工程环评正在办理中。</w:t>
                  </w:r>
                </w:p>
              </w:tc>
              <w:tc>
                <w:tcPr>
                  <w:tcW w:w="395" w:type="pct"/>
                  <w:vAlign w:val="center"/>
                </w:tcPr>
                <w:p w14:paraId="4DC6E5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r w14:paraId="2259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Align w:val="center"/>
                </w:tcPr>
                <w:p w14:paraId="50E29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辅助工程</w:t>
                  </w:r>
                </w:p>
              </w:tc>
              <w:tc>
                <w:tcPr>
                  <w:tcW w:w="399" w:type="pct"/>
                  <w:vAlign w:val="center"/>
                </w:tcPr>
                <w:p w14:paraId="64D0A4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运输工程</w:t>
                  </w:r>
                </w:p>
              </w:tc>
              <w:tc>
                <w:tcPr>
                  <w:tcW w:w="3946" w:type="pct"/>
                  <w:vAlign w:val="center"/>
                </w:tcPr>
                <w:p w14:paraId="2BB564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依托现有公路进行运输</w:t>
                  </w:r>
                </w:p>
              </w:tc>
              <w:tc>
                <w:tcPr>
                  <w:tcW w:w="395" w:type="pct"/>
                  <w:vAlign w:val="center"/>
                </w:tcPr>
                <w:p w14:paraId="3232C8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依托</w:t>
                  </w:r>
                </w:p>
              </w:tc>
            </w:tr>
            <w:tr w14:paraId="4F6F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58" w:type="pct"/>
                  <w:vMerge w:val="restart"/>
                  <w:vAlign w:val="center"/>
                </w:tcPr>
                <w:p w14:paraId="01F1B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环保工程</w:t>
                  </w:r>
                </w:p>
              </w:tc>
              <w:tc>
                <w:tcPr>
                  <w:tcW w:w="399" w:type="pct"/>
                  <w:vAlign w:val="center"/>
                </w:tcPr>
                <w:p w14:paraId="1C80DC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废气</w:t>
                  </w:r>
                </w:p>
              </w:tc>
              <w:tc>
                <w:tcPr>
                  <w:tcW w:w="3946" w:type="pct"/>
                  <w:vAlign w:val="center"/>
                </w:tcPr>
                <w:p w14:paraId="571D0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施工期</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配备一辆洒水车，对修复区施工面进行洒水降尘。</w:t>
                  </w:r>
                </w:p>
              </w:tc>
              <w:tc>
                <w:tcPr>
                  <w:tcW w:w="395" w:type="pct"/>
                  <w:vAlign w:val="center"/>
                </w:tcPr>
                <w:p w14:paraId="2DC1D3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r w14:paraId="3FF1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Merge w:val="continue"/>
                  <w:vAlign w:val="center"/>
                </w:tcPr>
                <w:p w14:paraId="79D2B7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399" w:type="pct"/>
                  <w:vAlign w:val="center"/>
                </w:tcPr>
                <w:p w14:paraId="19DB78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废水</w:t>
                  </w:r>
                </w:p>
              </w:tc>
              <w:tc>
                <w:tcPr>
                  <w:tcW w:w="3946" w:type="pct"/>
                  <w:vAlign w:val="center"/>
                </w:tcPr>
                <w:p w14:paraId="66D39E4B">
                  <w:pPr>
                    <w:pStyle w:val="8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14:textFill>
                        <w14:solidFill>
                          <w14:schemeClr w14:val="tx1"/>
                        </w14:solidFill>
                      </w14:textFill>
                    </w:rPr>
                    <w:t>①</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施工废水：</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在矿坑修复区设置1个</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3m³的临时沉淀池收集处理车辆冲洗等施工废水</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将施工废水收集沉淀后回用于施工用水、施工场地洒水等；施工人员洗手废水经收集后全部回用于施工场地降尘。</w:t>
                  </w:r>
                </w:p>
                <w:p w14:paraId="15A096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14:textFill>
                        <w14:solidFill>
                          <w14:schemeClr w14:val="tx1"/>
                        </w14:solidFill>
                      </w14:textFill>
                    </w:rPr>
                    <w:t>②</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渗滤液收集：</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在矿坑修复区新建</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个</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15.488</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m³（2.2×2.2×3.2m）的渗滤液收集井，</w:t>
                  </w:r>
                  <w:r>
                    <w:rPr>
                      <w:rFonts w:hint="default" w:ascii="Times New Roman" w:hAnsi="Times New Roman" w:eastAsia="宋体" w:cs="Times New Roman"/>
                      <w:color w:val="000000" w:themeColor="text1"/>
                      <w:sz w:val="21"/>
                      <w:szCs w:val="21"/>
                      <w:highlight w:val="none"/>
                      <w14:textFill>
                        <w14:solidFill>
                          <w14:schemeClr w14:val="tx1"/>
                        </w14:solidFill>
                      </w14:textFill>
                    </w:rPr>
                    <w:t>在采坑东侧山体坡脚</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建设</w:t>
                  </w:r>
                  <w:r>
                    <w:rPr>
                      <w:rFonts w:hint="default" w:ascii="Times New Roman" w:hAnsi="Times New Roman" w:eastAsia="宋体" w:cs="Times New Roman"/>
                      <w:color w:val="000000" w:themeColor="text1"/>
                      <w:sz w:val="21"/>
                      <w:szCs w:val="21"/>
                      <w:highlight w:val="none"/>
                      <w14:textFill>
                        <w14:solidFill>
                          <w14:schemeClr w14:val="tx1"/>
                        </w14:solidFill>
                      </w14:textFill>
                    </w:rPr>
                    <w:t>渗滤液收集池，采用钢筋混凝土矩形水池结构，尺寸长×宽×高=15×10×2.5m，容积375m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同时</w:t>
                  </w:r>
                  <w:r>
                    <w:rPr>
                      <w:rFonts w:hint="default" w:ascii="Times New Roman" w:hAnsi="Times New Roman" w:eastAsia="宋体" w:cs="Times New Roman"/>
                      <w:color w:val="000000" w:themeColor="text1"/>
                      <w:sz w:val="21"/>
                      <w:szCs w:val="21"/>
                      <w:highlight w:val="none"/>
                      <w14:textFill>
                        <w14:solidFill>
                          <w14:schemeClr w14:val="tx1"/>
                        </w14:solidFill>
                      </w14:textFill>
                    </w:rPr>
                    <w:t>在拦挡坝东北侧开挖35×20×2.5的渗滤液应急池，</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容积1750</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采用两布一膜进行防渗处理后，采用沙袋进行压重，用于雨季渗滤液突增的临时储存。</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由于高差，渗滤液在渗滤液收集井暂存后经管道提升至</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渗滤液收集池</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中。</w:t>
                  </w:r>
                </w:p>
                <w:p w14:paraId="1E0765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渗滤液处置：</w:t>
                  </w:r>
                  <w:r>
                    <w:rPr>
                      <w:rFonts w:hint="default"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t>施工期</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渗滤液收集于渗滤液收集井及收集池内，回用于修复区绿化及洒水抑尘，</w:t>
                  </w:r>
                  <w:r>
                    <w:rPr>
                      <w:rFonts w:hint="default"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t>管护期</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拉回</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云南常青树化工有限公司</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进行回用，不外排。</w:t>
                  </w:r>
                </w:p>
                <w:p w14:paraId="6FE83FA4">
                  <w:pPr>
                    <w:pStyle w:val="8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b w:val="0"/>
                      <w:bCs/>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t>③地下水观察与收集：</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在矿坑修复区新建容积10m³（2.0×2.0×2.5m）的地下水收集井</w:t>
                  </w:r>
                  <w:r>
                    <w:rPr>
                      <w:rFonts w:hint="default" w:ascii="Times New Roman" w:hAnsi="Times New Roman" w:eastAsia="宋体" w:cs="Times New Roman"/>
                      <w:color w:val="000000" w:themeColor="text1"/>
                      <w:kern w:val="0"/>
                      <w:sz w:val="21"/>
                      <w:szCs w:val="21"/>
                      <w:highlight w:val="none"/>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1个</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50</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m³（</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5</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5</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×2m）的地下水收集池，</w:t>
                  </w:r>
                  <w:r>
                    <w:rPr>
                      <w:rFonts w:hint="default" w:ascii="Times New Roman" w:hAnsi="Times New Roman" w:eastAsia="宋体" w:cs="Times New Roman"/>
                      <w:b w:val="0"/>
                      <w:bCs/>
                      <w:color w:val="000000" w:themeColor="text1"/>
                      <w:kern w:val="0"/>
                      <w:sz w:val="21"/>
                      <w:szCs w:val="21"/>
                      <w:highlight w:val="none"/>
                      <w:lang w:val="en-US" w:eastAsia="zh-CN" w:bidi="ar"/>
                      <w14:textFill>
                        <w14:solidFill>
                          <w14:schemeClr w14:val="tx1"/>
                        </w14:solidFill>
                      </w14:textFill>
                    </w:rPr>
                    <w:t>地下水收集井与地下水收集池同时具备收集和观察功能，通过地下水检测结果判断是否发生</w:t>
                  </w:r>
                  <w:r>
                    <w:rPr>
                      <w:rFonts w:hint="default" w:ascii="Times New Roman" w:hAnsi="Times New Roman" w:eastAsia="宋体" w:cs="Times New Roman"/>
                      <w:b w:val="0"/>
                      <w:bCs/>
                      <w:color w:val="000000" w:themeColor="text1"/>
                      <w:kern w:val="0"/>
                      <w:sz w:val="21"/>
                      <w:szCs w:val="21"/>
                      <w:highlight w:val="none"/>
                      <w:lang w:bidi="ar"/>
                      <w14:textFill>
                        <w14:solidFill>
                          <w14:schemeClr w14:val="tx1"/>
                        </w14:solidFill>
                      </w14:textFill>
                    </w:rPr>
                    <w:t>因防渗衬层破损</w:t>
                  </w:r>
                  <w:r>
                    <w:rPr>
                      <w:rFonts w:hint="default" w:ascii="Times New Roman" w:hAnsi="Times New Roman" w:eastAsia="宋体" w:cs="Times New Roman"/>
                      <w:b w:val="0"/>
                      <w:bCs/>
                      <w:color w:val="000000" w:themeColor="text1"/>
                      <w:kern w:val="0"/>
                      <w:sz w:val="21"/>
                      <w:szCs w:val="21"/>
                      <w:highlight w:val="none"/>
                      <w:lang w:val="en-US" w:eastAsia="zh-CN" w:bidi="ar"/>
                      <w14:textFill>
                        <w14:solidFill>
                          <w14:schemeClr w14:val="tx1"/>
                        </w14:solidFill>
                      </w14:textFill>
                    </w:rPr>
                    <w:t>而</w:t>
                  </w:r>
                  <w:r>
                    <w:rPr>
                      <w:rFonts w:hint="default" w:ascii="Times New Roman" w:hAnsi="Times New Roman" w:eastAsia="宋体" w:cs="Times New Roman"/>
                      <w:b w:val="0"/>
                      <w:bCs/>
                      <w:color w:val="000000" w:themeColor="text1"/>
                      <w:kern w:val="0"/>
                      <w:sz w:val="21"/>
                      <w:szCs w:val="21"/>
                      <w:highlight w:val="none"/>
                      <w:lang w:bidi="ar"/>
                      <w14:textFill>
                        <w14:solidFill>
                          <w14:schemeClr w14:val="tx1"/>
                        </w14:solidFill>
                      </w14:textFill>
                    </w:rPr>
                    <w:t>导致渗漏问题</w:t>
                  </w:r>
                  <w:r>
                    <w:rPr>
                      <w:rFonts w:hint="default" w:ascii="Times New Roman" w:hAnsi="Times New Roman" w:eastAsia="宋体" w:cs="Times New Roman"/>
                      <w:b w:val="0"/>
                      <w:bCs/>
                      <w:color w:val="000000" w:themeColor="text1"/>
                      <w:kern w:val="0"/>
                      <w:sz w:val="21"/>
                      <w:szCs w:val="21"/>
                      <w:highlight w:val="none"/>
                      <w:lang w:val="en-US" w:eastAsia="zh-CN" w:bidi="ar"/>
                      <w14:textFill>
                        <w14:solidFill>
                          <w14:schemeClr w14:val="tx1"/>
                        </w14:solidFill>
                      </w14:textFill>
                    </w:rPr>
                    <w:t>发生的情况，从而采取相关防治措施</w:t>
                  </w:r>
                  <w:r>
                    <w:rPr>
                      <w:rFonts w:hint="default" w:ascii="Times New Roman" w:hAnsi="Times New Roman" w:eastAsia="宋体" w:cs="Times New Roman"/>
                      <w:b w:val="0"/>
                      <w:bCs/>
                      <w:color w:val="000000" w:themeColor="text1"/>
                      <w:kern w:val="0"/>
                      <w:sz w:val="21"/>
                      <w:szCs w:val="21"/>
                      <w:highlight w:val="none"/>
                      <w:lang w:bidi="ar"/>
                      <w14:textFill>
                        <w14:solidFill>
                          <w14:schemeClr w14:val="tx1"/>
                        </w14:solidFill>
                      </w14:textFill>
                    </w:rPr>
                    <w:t>。</w:t>
                  </w:r>
                </w:p>
                <w:p w14:paraId="3CB1D91C">
                  <w:pPr>
                    <w:pStyle w:val="8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
                      <w:bCs w:val="0"/>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en-US" w:eastAsia="zh-CN" w:bidi="ar"/>
                      <w14:textFill>
                        <w14:solidFill>
                          <w14:schemeClr w14:val="tx1"/>
                        </w14:solidFill>
                      </w14:textFill>
                    </w:rPr>
                    <w:t>地下水处置：施工期</w:t>
                  </w:r>
                  <w:r>
                    <w:rPr>
                      <w:rFonts w:hint="default" w:ascii="Times New Roman" w:hAnsi="Times New Roman" w:eastAsia="宋体" w:cs="Times New Roman"/>
                      <w:b w:val="0"/>
                      <w:bCs/>
                      <w:color w:val="000000" w:themeColor="text1"/>
                      <w:kern w:val="0"/>
                      <w:sz w:val="21"/>
                      <w:szCs w:val="21"/>
                      <w:highlight w:val="none"/>
                      <w:lang w:val="en-US" w:eastAsia="zh-CN" w:bidi="ar"/>
                      <w14:textFill>
                        <w14:solidFill>
                          <w14:schemeClr w14:val="tx1"/>
                        </w14:solidFill>
                      </w14:textFill>
                    </w:rPr>
                    <w:t>地下导排水定期开展水质监测，达《城市污水再生利用 城市杂用水水质》（GB/T 18920-2020）中城市绿化标准限值的可回用绿化浇灌；不能达到《城市污水再生利用 城市杂用水水质》（GB/T 18920-2020）的拉回云南常青树化工有限公司回用，禁止外排。</w:t>
                  </w:r>
                  <w:r>
                    <w:rPr>
                      <w:rFonts w:hint="default" w:ascii="Times New Roman" w:hAnsi="Times New Roman" w:eastAsia="宋体" w:cs="Times New Roman"/>
                      <w:b/>
                      <w:bCs w:val="0"/>
                      <w:color w:val="000000" w:themeColor="text1"/>
                      <w:kern w:val="0"/>
                      <w:sz w:val="21"/>
                      <w:szCs w:val="21"/>
                      <w:highlight w:val="none"/>
                      <w:lang w:val="en-US" w:eastAsia="zh-CN" w:bidi="ar"/>
                      <w14:textFill>
                        <w14:solidFill>
                          <w14:schemeClr w14:val="tx1"/>
                        </w14:solidFill>
                      </w14:textFill>
                    </w:rPr>
                    <w:t>管护期</w:t>
                  </w:r>
                  <w:r>
                    <w:rPr>
                      <w:rFonts w:hint="default" w:ascii="Times New Roman" w:hAnsi="Times New Roman" w:eastAsia="宋体" w:cs="Times New Roman"/>
                      <w:b w:val="0"/>
                      <w:bCs/>
                      <w:color w:val="000000" w:themeColor="text1"/>
                      <w:kern w:val="0"/>
                      <w:sz w:val="21"/>
                      <w:szCs w:val="21"/>
                      <w:highlight w:val="none"/>
                      <w:lang w:val="en-US" w:eastAsia="zh-CN" w:bidi="ar"/>
                      <w14:textFill>
                        <w14:solidFill>
                          <w14:schemeClr w14:val="tx1"/>
                        </w14:solidFill>
                      </w14:textFill>
                    </w:rPr>
                    <w:t>地下导排水定期开展监测，达到《农田灌溉水质标准》（GB5084—2021）中表1、表2旱地作物限值的可回用于修复区绿化浇灌；不达标的拉运回云南常青树化工有限公司回用，禁止外排。</w:t>
                  </w:r>
                </w:p>
                <w:p w14:paraId="68974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t>④雨水收集：</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雨水收集池共设置</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个，</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在场地内拦挡坝下游位置沉砂池（兼雨水收集池），收集下雨时的雨水，用于场地灌溉，容积2656m</w:t>
                  </w:r>
                  <w:r>
                    <w:rPr>
                      <w:rFonts w:hint="default" w:ascii="Times New Roman" w:hAnsi="Times New Roman" w:eastAsia="宋体" w:cs="Times New Roman"/>
                      <w:color w:val="000000" w:themeColor="text1"/>
                      <w:kern w:val="0"/>
                      <w:sz w:val="21"/>
                      <w:szCs w:val="21"/>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。雨水在收集池中收集后用于修复区绿化及洒水抑尘。</w:t>
                  </w:r>
                </w:p>
                <w:p w14:paraId="5C05FD55">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4"/>
                      <w:kern w:val="0"/>
                      <w:sz w:val="21"/>
                      <w:szCs w:val="21"/>
                      <w:highlight w:val="none"/>
                      <w:lang w:val="en-US" w:eastAsia="zh-CN" w:bidi="ar"/>
                      <w14:textFill>
                        <w14:solidFill>
                          <w14:schemeClr w14:val="tx1"/>
                        </w14:solidFill>
                      </w14:textFill>
                    </w:rPr>
                    <w:t>雨水处置：</w:t>
                  </w:r>
                  <w:r>
                    <w:rPr>
                      <w:rFonts w:hint="default" w:ascii="Times New Roman" w:hAnsi="Times New Roman" w:eastAsia="宋体" w:cs="Times New Roman"/>
                      <w:b w:val="0"/>
                      <w:bCs/>
                      <w:color w:val="000000" w:themeColor="text1"/>
                      <w:spacing w:val="4"/>
                      <w:kern w:val="0"/>
                      <w:sz w:val="21"/>
                      <w:szCs w:val="21"/>
                      <w:highlight w:val="none"/>
                      <w:lang w:val="en-US" w:eastAsia="zh-CN" w:bidi="ar"/>
                      <w14:textFill>
                        <w14:solidFill>
                          <w14:schemeClr w14:val="tx1"/>
                        </w14:solidFill>
                      </w14:textFill>
                    </w:rPr>
                    <w:t>修复红线外围有地表水汇入修复区的区域按照实施方案规范建设截排水沟，防止修复区外雨水汇入修复区。修复区内按实施方案建设排水设施，施工期修复区内雨水收集后排入在拦挡坝下游建设的沉砂池。施工期用于修复区洒水降尘及绿化浇灌，禁止外排；管护期回用于修复植被浇灌，禁止外排。</w:t>
                  </w:r>
                </w:p>
              </w:tc>
              <w:tc>
                <w:tcPr>
                  <w:tcW w:w="395" w:type="pct"/>
                  <w:vAlign w:val="center"/>
                </w:tcPr>
                <w:p w14:paraId="00536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r w14:paraId="43F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Merge w:val="continue"/>
                  <w:vAlign w:val="center"/>
                </w:tcPr>
                <w:p w14:paraId="4E02A7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399" w:type="pct"/>
                  <w:vAlign w:val="center"/>
                </w:tcPr>
                <w:p w14:paraId="175D47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固体废物</w:t>
                  </w:r>
                </w:p>
              </w:tc>
              <w:tc>
                <w:tcPr>
                  <w:tcW w:w="3946" w:type="pct"/>
                  <w:vAlign w:val="center"/>
                </w:tcPr>
                <w:p w14:paraId="7CC5E9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1、生活垃圾：施工期生活垃圾集中收集后清运至就近村庄生活垃圾收集点堆存，委托环卫部门清运。</w:t>
                  </w:r>
                </w:p>
                <w:p w14:paraId="2C7B7E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2、旱厕粪便：</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依托原采石场办公用房已建</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旱厕，旱厕粪便</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定期委托当地居民清掏处理。</w:t>
                  </w:r>
                </w:p>
                <w:p w14:paraId="5F88E2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3、场地清理土石方：施工期场地清理及边坡整治产生的土石方用于场地平整回填。</w:t>
                  </w:r>
                </w:p>
              </w:tc>
              <w:tc>
                <w:tcPr>
                  <w:tcW w:w="395" w:type="pct"/>
                  <w:vAlign w:val="center"/>
                </w:tcPr>
                <w:p w14:paraId="228D4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r w14:paraId="2F6F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Merge w:val="continue"/>
                  <w:vAlign w:val="center"/>
                </w:tcPr>
                <w:p w14:paraId="4CFBA1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399" w:type="pct"/>
                  <w:vAlign w:val="center"/>
                </w:tcPr>
                <w:p w14:paraId="0710C8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地下水</w:t>
                  </w:r>
                </w:p>
              </w:tc>
              <w:tc>
                <w:tcPr>
                  <w:tcW w:w="3946" w:type="pct"/>
                  <w:vAlign w:val="center"/>
                </w:tcPr>
                <w:p w14:paraId="673D94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1、防渗</w:t>
                  </w:r>
                </w:p>
                <w:p w14:paraId="105F3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渗滤液收集池、地下水收集池均采用钢筋混凝土矩形水池。渗滤液收集池、地下水收集池均采用C30钢筋混凝土，周边壁厚300mm，底板厚度300mm，底板下设置100mm混凝土垫层，以素填土层作为基础持力层，渗滤液收集池、地下水收集池混凝土等级C30，钢筋等级选用HRB400，钢筋保护层厚度30mm，渗滤液收集池、地下水收集池内外壁涂刷一层沥青漆防腐，同时池内壁铺设复合HDPE防渗膜防渗，规格：400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土工布＋1.5mmHDPE膜+400g/m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土工布。</w:t>
                  </w:r>
                </w:p>
                <w:p w14:paraId="023543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2、监控井</w:t>
                  </w:r>
                </w:p>
                <w:p w14:paraId="6D728167">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lang w:bidi="ar"/>
                      <w14:textFill>
                        <w14:solidFill>
                          <w14:schemeClr w14:val="tx1"/>
                        </w14:solidFill>
                      </w14:textFill>
                    </w:rPr>
                    <w:t>根据《改性磷石膏用于矿山废弃地生态修复回填技术规范》（DB53/T1269-2024）</w:t>
                  </w:r>
                  <w:r>
                    <w:rPr>
                      <w:rFonts w:hint="default" w:ascii="Times New Roman" w:hAnsi="Times New Roman" w:eastAsia="宋体" w:cs="Times New Roman"/>
                      <w:b w:val="0"/>
                      <w:bCs/>
                      <w:color w:val="000000" w:themeColor="text1"/>
                      <w:kern w:val="0"/>
                      <w:sz w:val="21"/>
                      <w:szCs w:val="21"/>
                      <w:highlight w:val="none"/>
                      <w:lang w:eastAsia="zh-CN" w:bidi="ar"/>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《环境影响评价技术导则 地下水环境》（HJ610-2016）、《磷石膏利用和无害化贮存污染控制技术规范》（HJ1415—2025）</w:t>
                  </w:r>
                  <w:r>
                    <w:rPr>
                      <w:rFonts w:hint="default" w:ascii="Times New Roman" w:hAnsi="Times New Roman" w:eastAsia="宋体" w:cs="Times New Roman"/>
                      <w:b w:val="0"/>
                      <w:bCs/>
                      <w:color w:val="000000" w:themeColor="text1"/>
                      <w:kern w:val="0"/>
                      <w:sz w:val="21"/>
                      <w:szCs w:val="21"/>
                      <w:highlight w:val="none"/>
                      <w:lang w:bidi="ar"/>
                      <w14:textFill>
                        <w14:solidFill>
                          <w14:schemeClr w14:val="tx1"/>
                        </w14:solidFill>
                      </w14:textFill>
                    </w:rPr>
                    <w:t>，并结合项目水文地质调查情况，项目区</w:t>
                  </w:r>
                  <w:r>
                    <w:rPr>
                      <w:rFonts w:hint="default" w:ascii="Times New Roman" w:hAnsi="Times New Roman" w:eastAsia="宋体" w:cs="Times New Roman"/>
                      <w:b w:val="0"/>
                      <w:bCs/>
                      <w:color w:val="000000" w:themeColor="text1"/>
                      <w:kern w:val="0"/>
                      <w:sz w:val="21"/>
                      <w:szCs w:val="21"/>
                      <w:highlight w:val="none"/>
                      <w:lang w:val="en-US" w:eastAsia="zh-CN" w:bidi="ar"/>
                      <w14:textFill>
                        <w14:solidFill>
                          <w14:schemeClr w14:val="tx1"/>
                        </w14:solidFill>
                      </w14:textFill>
                    </w:rPr>
                    <w:t>共设置</w:t>
                  </w:r>
                  <w:r>
                    <w:rPr>
                      <w:rFonts w:hint="default" w:ascii="Times New Roman" w:hAnsi="Times New Roman" w:eastAsia="宋体" w:cs="Times New Roman"/>
                      <w:b w:val="0"/>
                      <w:bCs/>
                      <w:color w:val="000000" w:themeColor="text1"/>
                      <w:kern w:val="0"/>
                      <w:sz w:val="21"/>
                      <w:szCs w:val="21"/>
                      <w:highlight w:val="none"/>
                      <w:lang w:val="en-US" w:eastAsia="zh-CN"/>
                      <w14:textFill>
                        <w14:solidFill>
                          <w14:schemeClr w14:val="tx1"/>
                        </w14:solidFill>
                      </w14:textFill>
                    </w:rPr>
                    <w:t>设置8个地下水跟踪监测点（项目区上游1口、下游1口、侧面污染扩散监控3口，八角洞村现状分散式饮用水源（MJ2水井、Q1泉点）2个，龙潭村现状分散式饮用水源（MJ3水井）1个。</w:t>
                  </w:r>
                </w:p>
                <w:p w14:paraId="2D189582">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highlight w:val="none"/>
                      <w:lang w:bidi="ar"/>
                      <w14:textFill>
                        <w14:solidFill>
                          <w14:schemeClr w14:val="tx1"/>
                        </w14:solidFill>
                      </w14:textFill>
                    </w:rPr>
                    <w:t>根据《改性磷石膏用于矿山废弃地生态修复回填技术规范》（DB53/T1269-2024）</w:t>
                  </w:r>
                  <w:r>
                    <w:rPr>
                      <w:rFonts w:hint="default" w:ascii="Times New Roman" w:hAnsi="Times New Roman" w:eastAsia="宋体" w:cs="Times New Roman"/>
                      <w:b w:val="0"/>
                      <w:bCs/>
                      <w:color w:val="000000" w:themeColor="text1"/>
                      <w:kern w:val="0"/>
                      <w:sz w:val="21"/>
                      <w:szCs w:val="21"/>
                      <w:highlight w:val="none"/>
                      <w:lang w:val="en-US" w:eastAsia="zh-CN" w:bidi="ar"/>
                      <w14:textFill>
                        <w14:solidFill>
                          <w14:schemeClr w14:val="tx1"/>
                        </w14:solidFill>
                      </w14:textFill>
                    </w:rPr>
                    <w:t>在修复区设置1口地下水收集井（同时具备收集和观察功能），通过检测结果判断是否发生</w:t>
                  </w:r>
                  <w:r>
                    <w:rPr>
                      <w:rFonts w:hint="default" w:ascii="Times New Roman" w:hAnsi="Times New Roman" w:eastAsia="宋体" w:cs="Times New Roman"/>
                      <w:b w:val="0"/>
                      <w:bCs/>
                      <w:color w:val="000000" w:themeColor="text1"/>
                      <w:kern w:val="0"/>
                      <w:sz w:val="21"/>
                      <w:szCs w:val="21"/>
                      <w:highlight w:val="none"/>
                      <w:lang w:bidi="ar"/>
                      <w14:textFill>
                        <w14:solidFill>
                          <w14:schemeClr w14:val="tx1"/>
                        </w14:solidFill>
                      </w14:textFill>
                    </w:rPr>
                    <w:t>因防渗衬层破损</w:t>
                  </w:r>
                  <w:r>
                    <w:rPr>
                      <w:rFonts w:hint="default" w:ascii="Times New Roman" w:hAnsi="Times New Roman" w:eastAsia="宋体" w:cs="Times New Roman"/>
                      <w:b w:val="0"/>
                      <w:bCs/>
                      <w:color w:val="000000" w:themeColor="text1"/>
                      <w:kern w:val="0"/>
                      <w:sz w:val="21"/>
                      <w:szCs w:val="21"/>
                      <w:highlight w:val="none"/>
                      <w:lang w:val="en-US" w:eastAsia="zh-CN" w:bidi="ar"/>
                      <w14:textFill>
                        <w14:solidFill>
                          <w14:schemeClr w14:val="tx1"/>
                        </w14:solidFill>
                      </w14:textFill>
                    </w:rPr>
                    <w:t>而</w:t>
                  </w:r>
                  <w:r>
                    <w:rPr>
                      <w:rFonts w:hint="default" w:ascii="Times New Roman" w:hAnsi="Times New Roman" w:eastAsia="宋体" w:cs="Times New Roman"/>
                      <w:b w:val="0"/>
                      <w:bCs/>
                      <w:color w:val="000000" w:themeColor="text1"/>
                      <w:kern w:val="0"/>
                      <w:sz w:val="21"/>
                      <w:szCs w:val="21"/>
                      <w:highlight w:val="none"/>
                      <w:lang w:bidi="ar"/>
                      <w14:textFill>
                        <w14:solidFill>
                          <w14:schemeClr w14:val="tx1"/>
                        </w14:solidFill>
                      </w14:textFill>
                    </w:rPr>
                    <w:t>导致渗漏问题</w:t>
                  </w:r>
                  <w:r>
                    <w:rPr>
                      <w:rFonts w:hint="default" w:ascii="Times New Roman" w:hAnsi="Times New Roman" w:eastAsia="宋体" w:cs="Times New Roman"/>
                      <w:b w:val="0"/>
                      <w:bCs/>
                      <w:color w:val="000000" w:themeColor="text1"/>
                      <w:kern w:val="0"/>
                      <w:sz w:val="21"/>
                      <w:szCs w:val="21"/>
                      <w:highlight w:val="none"/>
                      <w:lang w:val="en-US" w:eastAsia="zh-CN" w:bidi="ar"/>
                      <w14:textFill>
                        <w14:solidFill>
                          <w14:schemeClr w14:val="tx1"/>
                        </w14:solidFill>
                      </w14:textFill>
                    </w:rPr>
                    <w:t>发生的情况</w:t>
                  </w:r>
                  <w:r>
                    <w:rPr>
                      <w:rFonts w:hint="default" w:ascii="Times New Roman" w:hAnsi="Times New Roman" w:eastAsia="宋体" w:cs="Times New Roman"/>
                      <w:b w:val="0"/>
                      <w:bCs/>
                      <w:color w:val="000000" w:themeColor="text1"/>
                      <w:kern w:val="0"/>
                      <w:sz w:val="21"/>
                      <w:szCs w:val="21"/>
                      <w:highlight w:val="none"/>
                      <w:lang w:bidi="ar"/>
                      <w14:textFill>
                        <w14:solidFill>
                          <w14:schemeClr w14:val="tx1"/>
                        </w14:solidFill>
                      </w14:textFill>
                    </w:rPr>
                    <w:t>。</w:t>
                  </w:r>
                </w:p>
              </w:tc>
              <w:tc>
                <w:tcPr>
                  <w:tcW w:w="395" w:type="pct"/>
                  <w:vAlign w:val="center"/>
                </w:tcPr>
                <w:p w14:paraId="05B0A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r w14:paraId="1015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Align w:val="center"/>
                </w:tcPr>
                <w:p w14:paraId="06D770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环境监测工程</w:t>
                  </w:r>
                </w:p>
              </w:tc>
              <w:tc>
                <w:tcPr>
                  <w:tcW w:w="4346" w:type="pct"/>
                  <w:gridSpan w:val="2"/>
                  <w:vAlign w:val="center"/>
                </w:tcPr>
                <w:p w14:paraId="2AB76B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位移监测：在项目竣工后，为监测堆填区堆填体稳定性，共设置</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个堆填体边坡变形监测点，</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14</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个位移监测</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桩</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w:t>
                  </w:r>
                </w:p>
                <w:p w14:paraId="6939AF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渗漏检测：项目回填区设置渗漏监控系统，监控防渗衬层完整性。设置防渗衬层渗漏监测设备。</w:t>
                  </w:r>
                </w:p>
                <w:p w14:paraId="3F75DE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地下水收集检测：项目地下水导排盲沟接地下水收集</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池</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，有地下水渗出时，需随时检测地下水水质情况。</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在采石场设置1口地下水收集井，通过检测结果判断是否发生</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因防渗衬层破损</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而</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导致渗漏问题</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发生的情况</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w:t>
                  </w:r>
                </w:p>
                <w:p w14:paraId="77A363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渗滤液监测：对渗滤液收集</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池</w:t>
                  </w: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的水质、出水量等进行定期观测并记录。</w:t>
                  </w:r>
                </w:p>
                <w:p w14:paraId="37372D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地下水水质监测：项目区</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共</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设置8个地下水跟踪监测点（项目区上游1口、下游1口、侧面污染扩散监控3口，八角洞村现状分散式饮用水源（MJ2水井、Q1泉点）2个，龙潭村现状分散式饮用水源（MJ3水井）1个。</w:t>
                  </w:r>
                  <w:r>
                    <w:rPr>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本项目管护期为3年。管护期结束后，应依据《HJ 1415—2025》等文件要求，继续对地下水进行跟踪监测。在满足连续5年监测数据均未超出上游地下水水质或区域本底水平的前提下，方可终止监测。</w:t>
                  </w:r>
                </w:p>
              </w:tc>
              <w:tc>
                <w:tcPr>
                  <w:tcW w:w="395" w:type="pct"/>
                  <w:vAlign w:val="center"/>
                </w:tcPr>
                <w:p w14:paraId="4817E9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t>新建</w:t>
                  </w:r>
                </w:p>
              </w:tc>
            </w:tr>
          </w:tbl>
          <w:p w14:paraId="14F7B48F">
            <w:pPr>
              <w:keepNext w:val="0"/>
              <w:keepLines w:val="0"/>
              <w:suppressLineNumbers w:val="0"/>
              <w:autoSpaceDE w:val="0"/>
              <w:autoSpaceDN w:val="0"/>
              <w:spacing w:before="0" w:beforeAutospacing="0" w:after="0" w:afterAutospacing="0" w:line="360" w:lineRule="auto"/>
              <w:ind w:left="0" w:right="0" w:firstLine="480" w:firstLineChars="200"/>
              <w:jc w:val="both"/>
              <w:rPr>
                <w:rFonts w:hint="default"/>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由上表可知，本次改性工程依托的令友采石场生态修复工程已取得环评批复，生态修复工程的主体工程明确、环保工程可靠，环境检测工程完善，本次改性工程依托该生态修复工程是可行的。</w:t>
            </w:r>
          </w:p>
          <w:p w14:paraId="7372C8E5">
            <w:pPr>
              <w:keepNext w:val="0"/>
              <w:keepLines w:val="0"/>
              <w:suppressLineNumbers w:val="0"/>
              <w:autoSpaceDE w:val="0"/>
              <w:autoSpaceDN w:val="0"/>
              <w:spacing w:before="0" w:beforeAutospacing="0" w:after="0" w:afterAutospacing="0" w:line="360" w:lineRule="auto"/>
              <w:ind w:left="0" w:right="0" w:firstLine="562" w:firstLineChars="200"/>
              <w:jc w:val="left"/>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2.10</w:t>
            </w:r>
            <w:r>
              <w:rPr>
                <w:rFonts w:hint="default"/>
                <w:b/>
                <w:color w:val="000000" w:themeColor="text1"/>
                <w:sz w:val="28"/>
                <w:szCs w:val="28"/>
                <w:highlight w:val="none"/>
                <w14:textFill>
                  <w14:solidFill>
                    <w14:schemeClr w14:val="tx1"/>
                  </w14:solidFill>
                </w14:textFill>
              </w:rPr>
              <w:t>环保投资</w:t>
            </w:r>
          </w:p>
          <w:p w14:paraId="4F52B40D">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kern w:val="0"/>
                <w:sz w:val="24"/>
                <w:szCs w:val="24"/>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本项目总投资</w:t>
            </w:r>
            <w:r>
              <w:rPr>
                <w:rFonts w:hint="eastAsia"/>
                <w:color w:val="000000" w:themeColor="text1"/>
                <w:kern w:val="0"/>
                <w:sz w:val="24"/>
                <w:szCs w:val="20"/>
                <w:highlight w:val="none"/>
                <w:lang w:val="en-US" w:eastAsia="zh-CN"/>
                <w14:textFill>
                  <w14:solidFill>
                    <w14:schemeClr w14:val="tx1"/>
                  </w14:solidFill>
                </w14:textFill>
              </w:rPr>
              <w:t>6029</w:t>
            </w:r>
            <w:r>
              <w:rPr>
                <w:rFonts w:hint="default"/>
                <w:color w:val="000000" w:themeColor="text1"/>
                <w:kern w:val="0"/>
                <w:sz w:val="24"/>
                <w:szCs w:val="20"/>
                <w:highlight w:val="none"/>
                <w14:textFill>
                  <w14:solidFill>
                    <w14:schemeClr w14:val="tx1"/>
                  </w14:solidFill>
                </w14:textFill>
              </w:rPr>
              <w:t>万元，环保投资</w:t>
            </w:r>
            <w:r>
              <w:rPr>
                <w:rFonts w:hint="eastAsia"/>
                <w:color w:val="000000" w:themeColor="text1"/>
                <w:kern w:val="0"/>
                <w:sz w:val="24"/>
                <w:szCs w:val="20"/>
                <w:highlight w:val="none"/>
                <w:lang w:val="en-US" w:eastAsia="zh-CN"/>
                <w14:textFill>
                  <w14:solidFill>
                    <w14:schemeClr w14:val="tx1"/>
                  </w14:solidFill>
                </w14:textFill>
              </w:rPr>
              <w:t>113</w:t>
            </w:r>
            <w:r>
              <w:rPr>
                <w:rFonts w:hint="default"/>
                <w:color w:val="000000" w:themeColor="text1"/>
                <w:kern w:val="0"/>
                <w:sz w:val="24"/>
                <w:szCs w:val="20"/>
                <w:highlight w:val="none"/>
                <w14:textFill>
                  <w14:solidFill>
                    <w14:schemeClr w14:val="tx1"/>
                  </w14:solidFill>
                </w14:textFill>
              </w:rPr>
              <w:t>万元，占总投资的</w:t>
            </w:r>
            <w:r>
              <w:rPr>
                <w:rFonts w:hint="eastAsia"/>
                <w:color w:val="000000" w:themeColor="text1"/>
                <w:kern w:val="0"/>
                <w:sz w:val="24"/>
                <w:szCs w:val="20"/>
                <w:highlight w:val="none"/>
                <w:lang w:val="en-US" w:eastAsia="zh-CN"/>
                <w14:textFill>
                  <w14:solidFill>
                    <w14:schemeClr w14:val="tx1"/>
                  </w14:solidFill>
                </w14:textFill>
              </w:rPr>
              <w:t>1.87</w:t>
            </w:r>
            <w:r>
              <w:rPr>
                <w:rFonts w:hint="default"/>
                <w:color w:val="000000" w:themeColor="text1"/>
                <w:kern w:val="0"/>
                <w:sz w:val="24"/>
                <w:szCs w:val="20"/>
                <w:highlight w:val="none"/>
                <w14:textFill>
                  <w14:solidFill>
                    <w14:schemeClr w14:val="tx1"/>
                  </w14:solidFill>
                </w14:textFill>
              </w:rPr>
              <w:t>%。环保投资情况见表2</w:t>
            </w:r>
            <w:r>
              <w:rPr>
                <w:rFonts w:hint="eastAsia"/>
                <w:color w:val="000000" w:themeColor="text1"/>
                <w:kern w:val="0"/>
                <w:sz w:val="24"/>
                <w:szCs w:val="20"/>
                <w:highlight w:val="none"/>
                <w:lang w:val="en-US" w:eastAsia="zh-CN"/>
                <w14:textFill>
                  <w14:solidFill>
                    <w14:schemeClr w14:val="tx1"/>
                  </w14:solidFill>
                </w14:textFill>
              </w:rPr>
              <w:t>-7</w:t>
            </w:r>
            <w:r>
              <w:rPr>
                <w:rFonts w:hint="default"/>
                <w:color w:val="000000" w:themeColor="text1"/>
                <w:kern w:val="0"/>
                <w:sz w:val="24"/>
                <w:szCs w:val="20"/>
                <w:highlight w:val="none"/>
                <w14:textFill>
                  <w14:solidFill>
                    <w14:schemeClr w14:val="tx1"/>
                  </w14:solidFill>
                </w14:textFill>
              </w:rPr>
              <w:t>。</w:t>
            </w:r>
          </w:p>
          <w:p w14:paraId="16D7C8B9">
            <w:pPr>
              <w:keepNext w:val="0"/>
              <w:keepLines w:val="0"/>
              <w:suppressLineNumbers w:val="0"/>
              <w:spacing w:before="0" w:beforeAutospacing="0" w:after="0" w:afterAutospacing="0"/>
              <w:ind w:left="0" w:right="0"/>
              <w:jc w:val="center"/>
              <w:rPr>
                <w:rStyle w:val="56"/>
                <w:rFonts w:hint="default"/>
                <w:color w:val="000000" w:themeColor="text1"/>
                <w:kern w:val="0"/>
                <w:sz w:val="24"/>
                <w:szCs w:val="24"/>
                <w:highlight w:val="none"/>
                <w14:textFill>
                  <w14:solidFill>
                    <w14:schemeClr w14:val="tx1"/>
                  </w14:solidFill>
                </w14:textFill>
              </w:rPr>
            </w:pPr>
            <w:r>
              <w:rPr>
                <w:rFonts w:hint="default"/>
                <w:b/>
                <w:bCs/>
                <w:color w:val="000000" w:themeColor="text1"/>
                <w:kern w:val="0"/>
                <w:sz w:val="24"/>
                <w:szCs w:val="24"/>
                <w:highlight w:val="none"/>
                <w14:textFill>
                  <w14:solidFill>
                    <w14:schemeClr w14:val="tx1"/>
                  </w14:solidFill>
                </w14:textFill>
              </w:rPr>
              <w:t>表2</w:t>
            </w:r>
            <w:r>
              <w:rPr>
                <w:rFonts w:hint="eastAsia"/>
                <w:b/>
                <w:bCs/>
                <w:color w:val="000000" w:themeColor="text1"/>
                <w:kern w:val="0"/>
                <w:sz w:val="24"/>
                <w:szCs w:val="24"/>
                <w:highlight w:val="none"/>
                <w:lang w:val="en-US" w:eastAsia="zh-CN"/>
                <w14:textFill>
                  <w14:solidFill>
                    <w14:schemeClr w14:val="tx1"/>
                  </w14:solidFill>
                </w14:textFill>
              </w:rPr>
              <w:t>-7</w:t>
            </w:r>
            <w:r>
              <w:rPr>
                <w:rFonts w:hint="eastAsia"/>
                <w:b/>
                <w:bCs/>
                <w:color w:val="000000" w:themeColor="text1"/>
                <w:kern w:val="0"/>
                <w:sz w:val="24"/>
                <w:szCs w:val="24"/>
                <w:highlight w:val="none"/>
                <w14:textFill>
                  <w14:solidFill>
                    <w14:schemeClr w14:val="tx1"/>
                  </w14:solidFill>
                </w14:textFill>
              </w:rPr>
              <w:t xml:space="preserve">  </w:t>
            </w:r>
            <w:r>
              <w:rPr>
                <w:rFonts w:hint="default"/>
                <w:b/>
                <w:bCs/>
                <w:color w:val="000000" w:themeColor="text1"/>
                <w:kern w:val="0"/>
                <w:sz w:val="24"/>
                <w:szCs w:val="24"/>
                <w:highlight w:val="none"/>
                <w14:textFill>
                  <w14:solidFill>
                    <w14:schemeClr w14:val="tx1"/>
                  </w14:solidFill>
                </w14:textFill>
              </w:rPr>
              <w:t>环保投资一览表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850"/>
              <w:gridCol w:w="5103"/>
              <w:gridCol w:w="1867"/>
            </w:tblGrid>
            <w:tr w14:paraId="28C8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5" w:type="pct"/>
                  <w:gridSpan w:val="3"/>
                  <w:vAlign w:val="center"/>
                </w:tcPr>
                <w:p w14:paraId="714D6C87">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项目</w:t>
                  </w:r>
                </w:p>
              </w:tc>
              <w:tc>
                <w:tcPr>
                  <w:tcW w:w="1114" w:type="pct"/>
                  <w:vAlign w:val="center"/>
                </w:tcPr>
                <w:p w14:paraId="424960B1">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金额（万元）</w:t>
                  </w:r>
                </w:p>
              </w:tc>
            </w:tr>
            <w:tr w14:paraId="0FEE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restart"/>
                  <w:vAlign w:val="center"/>
                </w:tcPr>
                <w:p w14:paraId="3F854E94">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施工期</w:t>
                  </w:r>
                </w:p>
              </w:tc>
              <w:tc>
                <w:tcPr>
                  <w:tcW w:w="507" w:type="pct"/>
                  <w:vAlign w:val="center"/>
                </w:tcPr>
                <w:p w14:paraId="78246877">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大气</w:t>
                  </w:r>
                </w:p>
              </w:tc>
              <w:tc>
                <w:tcPr>
                  <w:tcW w:w="3045" w:type="pct"/>
                  <w:vAlign w:val="center"/>
                </w:tcPr>
                <w:p w14:paraId="27C8A23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施工材料覆盖</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洒水降尘</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、围挡</w:t>
                  </w:r>
                </w:p>
              </w:tc>
              <w:tc>
                <w:tcPr>
                  <w:tcW w:w="1114" w:type="pct"/>
                  <w:vAlign w:val="center"/>
                </w:tcPr>
                <w:p w14:paraId="570474C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2</w:t>
                  </w:r>
                </w:p>
              </w:tc>
            </w:tr>
            <w:tr w14:paraId="55E2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vMerge w:val="continue"/>
                  <w:vAlign w:val="center"/>
                </w:tcPr>
                <w:p w14:paraId="4B56A723">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Align w:val="center"/>
                </w:tcPr>
                <w:p w14:paraId="5656CA26">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废水</w:t>
                  </w:r>
                </w:p>
              </w:tc>
              <w:tc>
                <w:tcPr>
                  <w:tcW w:w="3045" w:type="pct"/>
                  <w:vAlign w:val="center"/>
                </w:tcPr>
                <w:p w14:paraId="5A95E4E0">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1个2m</w:t>
                  </w:r>
                  <w:r>
                    <w:rPr>
                      <w:rFonts w:hint="eastAsia" w:ascii="Times New Roman" w:hAnsi="Times New Roman" w:eastAsia="宋体" w:cs="Times New Roman"/>
                      <w:bCs/>
                      <w:color w:val="000000" w:themeColor="text1"/>
                      <w:sz w:val="21"/>
                      <w:szCs w:val="21"/>
                      <w:highlight w:val="none"/>
                      <w:vertAlign w:val="superscript"/>
                      <w:lang w:eastAsia="zh-CN"/>
                      <w14:textFill>
                        <w14:solidFill>
                          <w14:schemeClr w14:val="tx1"/>
                        </w14:solidFill>
                      </w14:textFill>
                    </w:rPr>
                    <w:t>3</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的临时沉淀池</w:t>
                  </w:r>
                </w:p>
              </w:tc>
              <w:tc>
                <w:tcPr>
                  <w:tcW w:w="1114" w:type="pct"/>
                  <w:vAlign w:val="center"/>
                </w:tcPr>
                <w:p w14:paraId="437A53BF">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w:t>
                  </w:r>
                </w:p>
              </w:tc>
            </w:tr>
            <w:tr w14:paraId="39CF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5EF6473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Align w:val="center"/>
                </w:tcPr>
                <w:p w14:paraId="29178EB5">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固废</w:t>
                  </w:r>
                </w:p>
              </w:tc>
              <w:tc>
                <w:tcPr>
                  <w:tcW w:w="3045" w:type="pct"/>
                  <w:vAlign w:val="center"/>
                </w:tcPr>
                <w:p w14:paraId="07CA7B4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生活垃圾、废包装袋、废金属、</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建筑垃圾收集及处理</w:t>
                  </w:r>
                </w:p>
              </w:tc>
              <w:tc>
                <w:tcPr>
                  <w:tcW w:w="1114" w:type="pct"/>
                  <w:vAlign w:val="center"/>
                </w:tcPr>
                <w:p w14:paraId="7DE88EEF">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2</w:t>
                  </w:r>
                </w:p>
              </w:tc>
            </w:tr>
            <w:tr w14:paraId="7A99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restart"/>
                  <w:vAlign w:val="center"/>
                </w:tcPr>
                <w:p w14:paraId="773B7488">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运营期</w:t>
                  </w:r>
                </w:p>
              </w:tc>
              <w:tc>
                <w:tcPr>
                  <w:tcW w:w="507" w:type="pct"/>
                  <w:vMerge w:val="restart"/>
                  <w:vAlign w:val="center"/>
                </w:tcPr>
                <w:p w14:paraId="3EF284DC">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废气</w:t>
                  </w:r>
                </w:p>
              </w:tc>
              <w:tc>
                <w:tcPr>
                  <w:tcW w:w="3045" w:type="pct"/>
                  <w:vAlign w:val="center"/>
                </w:tcPr>
                <w:p w14:paraId="78DFC4B5">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筒仓自带仓顶除尘器</w:t>
                  </w:r>
                </w:p>
              </w:tc>
              <w:tc>
                <w:tcPr>
                  <w:tcW w:w="1114" w:type="pct"/>
                  <w:vAlign w:val="center"/>
                </w:tcPr>
                <w:p w14:paraId="3B8A5D53">
                  <w:pPr>
                    <w:keepNext w:val="0"/>
                    <w:keepLines w:val="0"/>
                    <w:suppressLineNumbers w:val="0"/>
                    <w:kinsoku/>
                    <w:overflowPunct w:val="0"/>
                    <w:autoSpaceDE/>
                    <w:autoSpaceDN/>
                    <w:adjustRightInd/>
                    <w:snapToGrid/>
                    <w:spacing w:before="0" w:beforeAutospacing="0" w:after="100" w:afterAutospacing="1"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w:t>
                  </w:r>
                </w:p>
              </w:tc>
            </w:tr>
            <w:tr w14:paraId="5E0A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5CAA70B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Merge w:val="continue"/>
                  <w:vAlign w:val="center"/>
                </w:tcPr>
                <w:p w14:paraId="11B395E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3045" w:type="pct"/>
                  <w:vAlign w:val="center"/>
                </w:tcPr>
                <w:p w14:paraId="318B25FF">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搅拌器自带除尘器</w:t>
                  </w:r>
                </w:p>
              </w:tc>
              <w:tc>
                <w:tcPr>
                  <w:tcW w:w="1114" w:type="pct"/>
                  <w:vAlign w:val="center"/>
                </w:tcPr>
                <w:p w14:paraId="423D885F">
                  <w:pPr>
                    <w:keepNext w:val="0"/>
                    <w:keepLines w:val="0"/>
                    <w:suppressLineNumbers w:val="0"/>
                    <w:kinsoku/>
                    <w:overflowPunct w:val="0"/>
                    <w:autoSpaceDE/>
                    <w:autoSpaceDN/>
                    <w:adjustRightInd/>
                    <w:snapToGrid/>
                    <w:spacing w:before="0" w:beforeAutospacing="0" w:after="100" w:afterAutospacing="1"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w:t>
                  </w:r>
                </w:p>
              </w:tc>
            </w:tr>
            <w:tr w14:paraId="6585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2036D5E9">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Merge w:val="continue"/>
                  <w:vAlign w:val="center"/>
                </w:tcPr>
                <w:p w14:paraId="72B90496">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3045" w:type="pct"/>
                  <w:vAlign w:val="center"/>
                </w:tcPr>
                <w:p w14:paraId="3EF1F07E">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密闭皮带</w:t>
                  </w:r>
                </w:p>
              </w:tc>
              <w:tc>
                <w:tcPr>
                  <w:tcW w:w="1114" w:type="pct"/>
                  <w:vAlign w:val="center"/>
                </w:tcPr>
                <w:p w14:paraId="62A3F14E">
                  <w:pPr>
                    <w:keepNext w:val="0"/>
                    <w:keepLines w:val="0"/>
                    <w:suppressLineNumbers w:val="0"/>
                    <w:kinsoku/>
                    <w:overflowPunct w:val="0"/>
                    <w:autoSpaceDE/>
                    <w:autoSpaceDN/>
                    <w:adjustRightInd/>
                    <w:snapToGrid/>
                    <w:spacing w:before="0" w:beforeAutospacing="0" w:after="100" w:afterAutospacing="1"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2</w:t>
                  </w:r>
                </w:p>
              </w:tc>
            </w:tr>
            <w:tr w14:paraId="6E17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5C824D13">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Merge w:val="continue"/>
                  <w:vAlign w:val="center"/>
                </w:tcPr>
                <w:p w14:paraId="0DD3C4EC">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3045" w:type="pct"/>
                  <w:vAlign w:val="center"/>
                </w:tcPr>
                <w:p w14:paraId="10363E3F">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改性车间全密闭、待检区全密闭</w:t>
                  </w:r>
                </w:p>
              </w:tc>
              <w:tc>
                <w:tcPr>
                  <w:tcW w:w="1114" w:type="pct"/>
                  <w:vAlign w:val="center"/>
                </w:tcPr>
                <w:p w14:paraId="0BFEA652">
                  <w:pPr>
                    <w:keepNext w:val="0"/>
                    <w:keepLines w:val="0"/>
                    <w:suppressLineNumbers w:val="0"/>
                    <w:kinsoku/>
                    <w:overflowPunct w:val="0"/>
                    <w:autoSpaceDE/>
                    <w:autoSpaceDN/>
                    <w:adjustRightInd/>
                    <w:snapToGrid/>
                    <w:spacing w:before="0" w:beforeAutospacing="0" w:after="100" w:afterAutospacing="1"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w:t>
                  </w:r>
                </w:p>
              </w:tc>
            </w:tr>
            <w:tr w14:paraId="02BD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249B2D48">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Merge w:val="continue"/>
                  <w:vAlign w:val="center"/>
                </w:tcPr>
                <w:p w14:paraId="0FE59291">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3045" w:type="pct"/>
                  <w:vAlign w:val="center"/>
                </w:tcPr>
                <w:p w14:paraId="65DA7522">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改性车间内及待检区车间内自动喷雾装置</w:t>
                  </w:r>
                </w:p>
              </w:tc>
              <w:tc>
                <w:tcPr>
                  <w:tcW w:w="1114" w:type="pct"/>
                  <w:vAlign w:val="center"/>
                </w:tcPr>
                <w:p w14:paraId="12C8D3E7">
                  <w:pPr>
                    <w:keepNext w:val="0"/>
                    <w:keepLines w:val="0"/>
                    <w:suppressLineNumbers w:val="0"/>
                    <w:kinsoku/>
                    <w:overflowPunct w:val="0"/>
                    <w:autoSpaceDE/>
                    <w:autoSpaceDN/>
                    <w:adjustRightInd/>
                    <w:snapToGrid/>
                    <w:spacing w:before="0" w:beforeAutospacing="0" w:after="100" w:afterAutospacing="1" w:line="276" w:lineRule="auto"/>
                    <w:ind w:left="0" w:right="0"/>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8</w:t>
                  </w:r>
                </w:p>
              </w:tc>
            </w:tr>
            <w:tr w14:paraId="277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516C4C83">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Merge w:val="continue"/>
                  <w:vAlign w:val="center"/>
                </w:tcPr>
                <w:p w14:paraId="7AA3A60D">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3045" w:type="pct"/>
                  <w:vAlign w:val="center"/>
                </w:tcPr>
                <w:p w14:paraId="754A0F2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厂区内雾炮机</w:t>
                  </w:r>
                </w:p>
              </w:tc>
              <w:tc>
                <w:tcPr>
                  <w:tcW w:w="1114" w:type="pct"/>
                  <w:vAlign w:val="center"/>
                </w:tcPr>
                <w:p w14:paraId="026631DB">
                  <w:pPr>
                    <w:keepNext w:val="0"/>
                    <w:keepLines w:val="0"/>
                    <w:suppressLineNumbers w:val="0"/>
                    <w:kinsoku/>
                    <w:overflowPunct w:val="0"/>
                    <w:autoSpaceDE/>
                    <w:autoSpaceDN/>
                    <w:adjustRightInd/>
                    <w:snapToGrid/>
                    <w:spacing w:before="0" w:beforeAutospacing="0" w:after="100" w:afterAutospacing="1" w:line="276" w:lineRule="auto"/>
                    <w:ind w:left="0" w:right="0"/>
                    <w:jc w:val="center"/>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10</w:t>
                  </w:r>
                </w:p>
              </w:tc>
            </w:tr>
            <w:tr w14:paraId="3EA0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5AD4A1A2">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Align w:val="center"/>
                </w:tcPr>
                <w:p w14:paraId="575A2BF5">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废水</w:t>
                  </w:r>
                </w:p>
              </w:tc>
              <w:tc>
                <w:tcPr>
                  <w:tcW w:w="3045" w:type="pct"/>
                  <w:vAlign w:val="center"/>
                </w:tcPr>
                <w:p w14:paraId="39553C82">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1个2</w:t>
                  </w:r>
                  <w:r>
                    <w:rPr>
                      <w:rFonts w:hint="eastAsia" w:cs="Times New Roman"/>
                      <w:bCs/>
                      <w:color w:val="000000" w:themeColor="text1"/>
                      <w:sz w:val="21"/>
                      <w:szCs w:val="21"/>
                      <w:highlight w:val="none"/>
                      <w:lang w:val="en-US" w:eastAsia="zh-CN"/>
                      <w14:textFill>
                        <w14:solidFill>
                          <w14:schemeClr w14:val="tx1"/>
                        </w14:solidFill>
                      </w14:textFill>
                    </w:rPr>
                    <w:t>80</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m</w:t>
                  </w:r>
                  <w:r>
                    <w:rPr>
                      <w:rFonts w:hint="eastAsia" w:ascii="Times New Roman" w:hAnsi="Times New Roman" w:eastAsia="宋体" w:cs="Times New Roman"/>
                      <w:bCs/>
                      <w:color w:val="000000" w:themeColor="text1"/>
                      <w:sz w:val="21"/>
                      <w:szCs w:val="21"/>
                      <w:highlight w:val="none"/>
                      <w:vertAlign w:val="superscript"/>
                      <w:lang w:eastAsia="zh-CN"/>
                      <w14:textFill>
                        <w14:solidFill>
                          <w14:schemeClr w14:val="tx1"/>
                        </w14:solidFill>
                      </w14:textFill>
                    </w:rPr>
                    <w:t>3</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的初期雨水收集池</w:t>
                  </w:r>
                </w:p>
              </w:tc>
              <w:tc>
                <w:tcPr>
                  <w:tcW w:w="1114" w:type="pct"/>
                  <w:vAlign w:val="center"/>
                </w:tcPr>
                <w:p w14:paraId="15FF0D4A">
                  <w:pPr>
                    <w:keepNext w:val="0"/>
                    <w:keepLines w:val="0"/>
                    <w:suppressLineNumbers w:val="0"/>
                    <w:kinsoku/>
                    <w:overflowPunct w:val="0"/>
                    <w:autoSpaceDE/>
                    <w:autoSpaceDN/>
                    <w:adjustRightInd/>
                    <w:snapToGrid/>
                    <w:spacing w:before="0" w:beforeAutospacing="0" w:after="100" w:afterAutospacing="1" w:line="276" w:lineRule="auto"/>
                    <w:ind w:left="0" w:right="0"/>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20</w:t>
                  </w:r>
                </w:p>
              </w:tc>
            </w:tr>
            <w:tr w14:paraId="7681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5AE32C6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Align w:val="center"/>
                </w:tcPr>
                <w:p w14:paraId="582BED05">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噪声</w:t>
                  </w:r>
                </w:p>
              </w:tc>
              <w:tc>
                <w:tcPr>
                  <w:tcW w:w="3045" w:type="pct"/>
                  <w:vAlign w:val="center"/>
                </w:tcPr>
                <w:p w14:paraId="2830C517">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减振基础、厂房隔音</w:t>
                  </w:r>
                </w:p>
              </w:tc>
              <w:tc>
                <w:tcPr>
                  <w:tcW w:w="1114" w:type="pct"/>
                  <w:vAlign w:val="center"/>
                </w:tcPr>
                <w:p w14:paraId="7205C8E3">
                  <w:pPr>
                    <w:keepNext w:val="0"/>
                    <w:keepLines w:val="0"/>
                    <w:suppressLineNumbers w:val="0"/>
                    <w:kinsoku/>
                    <w:overflowPunct w:val="0"/>
                    <w:autoSpaceDE/>
                    <w:autoSpaceDN/>
                    <w:adjustRightInd/>
                    <w:snapToGrid/>
                    <w:spacing w:before="0" w:beforeAutospacing="0" w:after="100" w:afterAutospacing="1"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w:t>
                  </w:r>
                </w:p>
              </w:tc>
            </w:tr>
            <w:tr w14:paraId="254B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4F89967F">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Merge w:val="restart"/>
                  <w:vAlign w:val="center"/>
                </w:tcPr>
                <w:p w14:paraId="6C5F6F8F">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000000" w:themeColor="text1"/>
                      <w:sz w:val="21"/>
                      <w:szCs w:val="21"/>
                      <w:highlight w:val="none"/>
                      <w14:textFill>
                        <w14:solidFill>
                          <w14:schemeClr w14:val="tx1"/>
                        </w14:solidFill>
                      </w14:textFill>
                    </w:rPr>
                    <w:t>固废</w:t>
                  </w:r>
                </w:p>
              </w:tc>
              <w:tc>
                <w:tcPr>
                  <w:tcW w:w="3045" w:type="pct"/>
                  <w:vAlign w:val="center"/>
                </w:tcPr>
                <w:p w14:paraId="2447B098">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1个10m</w:t>
                  </w:r>
                  <w:r>
                    <w:rPr>
                      <w:rFonts w:hint="eastAsia" w:ascii="Times New Roman" w:hAnsi="Times New Roman" w:eastAsia="宋体" w:cs="Times New Roman"/>
                      <w:bCs/>
                      <w:color w:val="000000" w:themeColor="text1"/>
                      <w:sz w:val="21"/>
                      <w:szCs w:val="21"/>
                      <w:highlight w:val="none"/>
                      <w:vertAlign w:val="superscript"/>
                      <w:lang w:eastAsia="zh-CN"/>
                      <w14:textFill>
                        <w14:solidFill>
                          <w14:schemeClr w14:val="tx1"/>
                        </w14:solidFill>
                      </w14:textFill>
                    </w:rPr>
                    <w:t>2</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的危废贮存库</w:t>
                  </w:r>
                </w:p>
              </w:tc>
              <w:tc>
                <w:tcPr>
                  <w:tcW w:w="1114" w:type="pct"/>
                  <w:vAlign w:val="center"/>
                </w:tcPr>
                <w:p w14:paraId="6D4E8391">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10</w:t>
                  </w:r>
                </w:p>
              </w:tc>
            </w:tr>
            <w:tr w14:paraId="534D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4BC42436">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Merge w:val="continue"/>
                  <w:vAlign w:val="center"/>
                </w:tcPr>
                <w:p w14:paraId="3EAE0A2D">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3045" w:type="pct"/>
                  <w:vAlign w:val="center"/>
                </w:tcPr>
                <w:p w14:paraId="35C94307">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垃圾收集桶、生活垃圾委托环卫部门清运</w:t>
                  </w:r>
                </w:p>
              </w:tc>
              <w:tc>
                <w:tcPr>
                  <w:tcW w:w="1114" w:type="pct"/>
                  <w:vAlign w:val="center"/>
                </w:tcPr>
                <w:p w14:paraId="051D45DA">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0.5</w:t>
                  </w:r>
                </w:p>
              </w:tc>
            </w:tr>
            <w:tr w14:paraId="1FFA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5C92BF3F">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Merge w:val="continue"/>
                  <w:vAlign w:val="center"/>
                </w:tcPr>
                <w:p w14:paraId="04BFC7B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3045" w:type="pct"/>
                  <w:vAlign w:val="center"/>
                </w:tcPr>
                <w:p w14:paraId="4C5DFD5E">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危险废物委托</w:t>
                  </w:r>
                  <w:r>
                    <w:rPr>
                      <w:rFonts w:hint="eastAsia" w:cs="Times New Roman"/>
                      <w:bCs/>
                      <w:color w:val="000000" w:themeColor="text1"/>
                      <w:sz w:val="21"/>
                      <w:szCs w:val="21"/>
                      <w:highlight w:val="none"/>
                      <w:lang w:val="en-US" w:eastAsia="zh-CN"/>
                      <w14:textFill>
                        <w14:solidFill>
                          <w14:schemeClr w14:val="tx1"/>
                        </w14:solidFill>
                      </w14:textFill>
                    </w:rPr>
                    <w:t>资质单位</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清运</w:t>
                  </w:r>
                </w:p>
              </w:tc>
              <w:tc>
                <w:tcPr>
                  <w:tcW w:w="1114" w:type="pct"/>
                  <w:vAlign w:val="center"/>
                </w:tcPr>
                <w:p w14:paraId="4CCDCDF9">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000000" w:themeColor="text1"/>
                      <w:sz w:val="21"/>
                      <w:szCs w:val="21"/>
                      <w:highlight w:val="none"/>
                      <w14:textFill>
                        <w14:solidFill>
                          <w14:schemeClr w14:val="tx1"/>
                        </w14:solidFill>
                      </w14:textFill>
                    </w:rPr>
                    <w:t>3</w:t>
                  </w:r>
                </w:p>
              </w:tc>
            </w:tr>
            <w:tr w14:paraId="0497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35E01654">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Merge w:val="restart"/>
                  <w:vAlign w:val="center"/>
                </w:tcPr>
                <w:p w14:paraId="70C555B4">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000000" w:themeColor="text1"/>
                      <w:sz w:val="21"/>
                      <w:szCs w:val="21"/>
                      <w:highlight w:val="none"/>
                      <w14:textFill>
                        <w14:solidFill>
                          <w14:schemeClr w14:val="tx1"/>
                        </w14:solidFill>
                      </w14:textFill>
                    </w:rPr>
                    <w:t>其他</w:t>
                  </w:r>
                </w:p>
              </w:tc>
              <w:tc>
                <w:tcPr>
                  <w:tcW w:w="3045" w:type="pct"/>
                  <w:vAlign w:val="center"/>
                </w:tcPr>
                <w:p w14:paraId="5D75C3AA">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000000" w:themeColor="text1"/>
                      <w:sz w:val="21"/>
                      <w:szCs w:val="21"/>
                      <w:highlight w:val="none"/>
                      <w14:textFill>
                        <w14:solidFill>
                          <w14:schemeClr w14:val="tx1"/>
                        </w14:solidFill>
                      </w14:textFill>
                    </w:rPr>
                    <w:t>环境管理费</w:t>
                  </w:r>
                </w:p>
              </w:tc>
              <w:tc>
                <w:tcPr>
                  <w:tcW w:w="1114" w:type="pct"/>
                  <w:vAlign w:val="center"/>
                </w:tcPr>
                <w:p w14:paraId="09E0328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4</w:t>
                  </w:r>
                  <w:r>
                    <w:rPr>
                      <w:rFonts w:hint="eastAsia" w:ascii="Times New Roman" w:hAnsi="Times New Roman" w:eastAsia="宋体" w:cs="Times New Roman"/>
                      <w:bCs/>
                      <w:color w:val="000000" w:themeColor="text1"/>
                      <w:sz w:val="21"/>
                      <w:szCs w:val="21"/>
                      <w:highlight w:val="none"/>
                      <w14:textFill>
                        <w14:solidFill>
                          <w14:schemeClr w14:val="tx1"/>
                        </w14:solidFill>
                      </w14:textFill>
                    </w:rPr>
                    <w:t>.5</w:t>
                  </w:r>
                </w:p>
              </w:tc>
            </w:tr>
            <w:tr w14:paraId="5879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vAlign w:val="center"/>
                </w:tcPr>
                <w:p w14:paraId="3CC526CB">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507" w:type="pct"/>
                  <w:vMerge w:val="continue"/>
                  <w:vAlign w:val="center"/>
                </w:tcPr>
                <w:p w14:paraId="10F8C929">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eastAsia" w:ascii="Times New Roman" w:hAnsi="Times New Roman" w:eastAsia="宋体" w:cs="Times New Roman"/>
                      <w:bCs/>
                      <w:color w:val="000000" w:themeColor="text1"/>
                      <w:sz w:val="21"/>
                      <w:szCs w:val="21"/>
                      <w:highlight w:val="none"/>
                      <w14:textFill>
                        <w14:solidFill>
                          <w14:schemeClr w14:val="tx1"/>
                        </w14:solidFill>
                      </w14:textFill>
                    </w:rPr>
                  </w:pPr>
                </w:p>
              </w:tc>
              <w:tc>
                <w:tcPr>
                  <w:tcW w:w="3045" w:type="pct"/>
                  <w:vAlign w:val="center"/>
                </w:tcPr>
                <w:p w14:paraId="6EBF9FF2">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环境风险防控措施、地下水土壤污染防控措施</w:t>
                  </w:r>
                </w:p>
              </w:tc>
              <w:tc>
                <w:tcPr>
                  <w:tcW w:w="1114" w:type="pct"/>
                  <w:vAlign w:val="center"/>
                </w:tcPr>
                <w:p w14:paraId="7649AE0F">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50</w:t>
                  </w:r>
                </w:p>
              </w:tc>
            </w:tr>
            <w:tr w14:paraId="4CB4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5" w:type="pct"/>
                  <w:gridSpan w:val="3"/>
                  <w:vAlign w:val="center"/>
                </w:tcPr>
                <w:p w14:paraId="4E89CE28">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合计</w:t>
                  </w:r>
                </w:p>
              </w:tc>
              <w:tc>
                <w:tcPr>
                  <w:tcW w:w="1114" w:type="pct"/>
                  <w:vAlign w:val="center"/>
                </w:tcPr>
                <w:p w14:paraId="17B6B198">
                  <w:pPr>
                    <w:keepNext w:val="0"/>
                    <w:keepLines w:val="0"/>
                    <w:suppressLineNumbers w:val="0"/>
                    <w:kinsoku/>
                    <w:overflowPunct w:val="0"/>
                    <w:autoSpaceDE/>
                    <w:autoSpaceDN/>
                    <w:adjustRightInd/>
                    <w:snapToGrid/>
                    <w:spacing w:before="0" w:beforeAutospacing="0" w:after="0" w:afterAutospacing="0" w:line="276" w:lineRule="auto"/>
                    <w:ind w:left="0" w:right="0"/>
                    <w:jc w:val="cente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113</w:t>
                  </w:r>
                </w:p>
              </w:tc>
            </w:tr>
          </w:tbl>
          <w:p w14:paraId="242E1537">
            <w:pPr>
              <w:keepNext w:val="0"/>
              <w:keepLines w:val="0"/>
              <w:suppressLineNumbers w:val="0"/>
              <w:spacing w:before="0" w:beforeAutospacing="0" w:after="0" w:afterAutospacing="0"/>
              <w:ind w:left="0" w:right="0"/>
              <w:jc w:val="left"/>
              <w:rPr>
                <w:rFonts w:hint="default" w:eastAsia="宋体"/>
                <w:b w:val="0"/>
                <w:bCs w:val="0"/>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2.11  物料平衡</w:t>
            </w:r>
          </w:p>
          <w:p w14:paraId="6659AEA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snapToGrid/>
                <w:color w:val="auto"/>
                <w:kern w:val="2"/>
                <w:sz w:val="24"/>
                <w:szCs w:val="24"/>
                <w:lang w:val="en-US" w:eastAsia="zh-CN" w:bidi="ar"/>
              </w:rPr>
            </w:pPr>
            <w:r>
              <w:rPr>
                <w:rFonts w:hint="eastAsia" w:cs="Times New Roman"/>
                <w:b w:val="0"/>
                <w:bCs w:val="0"/>
                <w:snapToGrid/>
                <w:color w:val="auto"/>
                <w:kern w:val="2"/>
                <w:sz w:val="24"/>
                <w:szCs w:val="24"/>
                <w:lang w:val="en-US" w:eastAsia="zh-CN" w:bidi="ar"/>
              </w:rPr>
              <w:t>本项目物料平衡见下表。</w:t>
            </w:r>
          </w:p>
          <w:p w14:paraId="2F148ED6">
            <w:pPr>
              <w:keepNext w:val="0"/>
              <w:keepLines w:val="0"/>
              <w:suppressLineNumbers w:val="0"/>
              <w:kinsoku/>
              <w:overflowPunct w:val="0"/>
              <w:autoSpaceDE/>
              <w:autoSpaceDN/>
              <w:adjustRightInd/>
              <w:snapToGrid/>
              <w:spacing w:before="0" w:beforeAutospacing="0" w:after="0" w:afterAutospacing="0"/>
              <w:ind w:left="0" w:right="0"/>
              <w:jc w:val="center"/>
              <w:textAlignment w:val="auto"/>
              <w:rPr>
                <w:rFonts w:hint="default" w:ascii="Times New Roman" w:hAnsi="Times New Roman" w:eastAsia="宋体" w:cs="Times New Roman"/>
                <w:b/>
                <w:snapToGrid/>
                <w:color w:val="auto"/>
                <w:kern w:val="2"/>
                <w:sz w:val="24"/>
                <w:szCs w:val="24"/>
                <w:lang w:eastAsia="zh-CN" w:bidi="ar"/>
              </w:rPr>
            </w:pPr>
            <w:r>
              <w:rPr>
                <w:rFonts w:hint="eastAsia" w:ascii="Times New Roman" w:hAnsi="Times New Roman" w:eastAsia="宋体" w:cs="Times New Roman"/>
                <w:b/>
                <w:snapToGrid/>
                <w:color w:val="auto"/>
                <w:kern w:val="2"/>
                <w:sz w:val="24"/>
                <w:szCs w:val="24"/>
                <w:lang w:eastAsia="zh-CN" w:bidi="ar"/>
              </w:rPr>
              <w:t>表2-</w:t>
            </w:r>
            <w:r>
              <w:rPr>
                <w:rFonts w:hint="eastAsia" w:ascii="Times New Roman" w:hAnsi="Times New Roman" w:eastAsia="宋体" w:cs="Times New Roman"/>
                <w:b/>
                <w:snapToGrid/>
                <w:color w:val="auto"/>
                <w:kern w:val="2"/>
                <w:sz w:val="24"/>
                <w:szCs w:val="24"/>
                <w:lang w:val="en-US" w:eastAsia="zh-CN" w:bidi="ar"/>
              </w:rPr>
              <w:t>8</w:t>
            </w:r>
            <w:r>
              <w:rPr>
                <w:rFonts w:hint="eastAsia" w:ascii="Times New Roman" w:hAnsi="Times New Roman" w:eastAsia="宋体" w:cs="Times New Roman"/>
                <w:b/>
                <w:snapToGrid/>
                <w:color w:val="auto"/>
                <w:kern w:val="2"/>
                <w:sz w:val="24"/>
                <w:szCs w:val="24"/>
                <w:lang w:eastAsia="zh-CN" w:bidi="ar"/>
              </w:rPr>
              <w:t xml:space="preserve"> </w:t>
            </w:r>
            <w:r>
              <w:rPr>
                <w:rFonts w:hint="eastAsia" w:cs="Times New Roman"/>
                <w:b/>
                <w:snapToGrid/>
                <w:color w:val="auto"/>
                <w:kern w:val="2"/>
                <w:sz w:val="24"/>
                <w:szCs w:val="24"/>
                <w:lang w:val="en-US" w:eastAsia="zh-CN" w:bidi="ar"/>
              </w:rPr>
              <w:t xml:space="preserve"> 项目全厂</w:t>
            </w:r>
            <w:r>
              <w:rPr>
                <w:rFonts w:hint="eastAsia" w:ascii="Times New Roman" w:hAnsi="Times New Roman" w:eastAsia="宋体" w:cs="Times New Roman"/>
                <w:b/>
                <w:snapToGrid/>
                <w:color w:val="auto"/>
                <w:kern w:val="2"/>
                <w:sz w:val="24"/>
                <w:szCs w:val="24"/>
                <w:lang w:eastAsia="zh-CN" w:bidi="ar"/>
              </w:rPr>
              <w:t>物料平衡表</w:t>
            </w:r>
          </w:p>
          <w:tbl>
            <w:tblPr>
              <w:tblStyle w:val="257"/>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0"/>
              <w:gridCol w:w="1910"/>
              <w:gridCol w:w="1910"/>
              <w:gridCol w:w="1910"/>
              <w:gridCol w:w="1910"/>
            </w:tblGrid>
            <w:tr w14:paraId="0321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0" w:type="dxa"/>
                  <w:vMerge w:val="restart"/>
                  <w:vAlign w:val="center"/>
                </w:tcPr>
                <w:p w14:paraId="42B87598">
                  <w:pPr>
                    <w:pStyle w:val="273"/>
                    <w:kinsoku/>
                    <w:overflowPunct w:val="0"/>
                    <w:autoSpaceDE/>
                    <w:autoSpaceDN/>
                    <w:adjustRightInd/>
                    <w:snapToGrid/>
                    <w:jc w:val="center"/>
                    <w:rPr>
                      <w:rFonts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序号</w:t>
                  </w:r>
                </w:p>
              </w:tc>
              <w:tc>
                <w:tcPr>
                  <w:tcW w:w="3820" w:type="dxa"/>
                  <w:gridSpan w:val="2"/>
                  <w:vAlign w:val="center"/>
                </w:tcPr>
                <w:p w14:paraId="3984177E">
                  <w:pPr>
                    <w:pStyle w:val="273"/>
                    <w:kinsoku/>
                    <w:overflowPunct w:val="0"/>
                    <w:autoSpaceDE/>
                    <w:autoSpaceDN/>
                    <w:adjustRightInd/>
                    <w:snapToGrid/>
                    <w:jc w:val="center"/>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物料输入</w:t>
                  </w:r>
                </w:p>
              </w:tc>
              <w:tc>
                <w:tcPr>
                  <w:tcW w:w="3820" w:type="dxa"/>
                  <w:gridSpan w:val="2"/>
                  <w:vAlign w:val="center"/>
                </w:tcPr>
                <w:p w14:paraId="1B861D5C">
                  <w:pPr>
                    <w:pStyle w:val="273"/>
                    <w:kinsoku/>
                    <w:overflowPunct w:val="0"/>
                    <w:autoSpaceDE/>
                    <w:autoSpaceDN/>
                    <w:adjustRightInd/>
                    <w:snapToGrid/>
                    <w:jc w:val="center"/>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物料输出</w:t>
                  </w:r>
                </w:p>
              </w:tc>
            </w:tr>
            <w:tr w14:paraId="4871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0" w:type="dxa"/>
                  <w:vMerge w:val="continue"/>
                  <w:vAlign w:val="center"/>
                </w:tcPr>
                <w:p w14:paraId="25B2714E">
                  <w:pPr>
                    <w:pStyle w:val="273"/>
                    <w:kinsoku/>
                    <w:overflowPunct w:val="0"/>
                    <w:autoSpaceDE/>
                    <w:autoSpaceDN/>
                    <w:adjustRightInd/>
                    <w:snapToGrid/>
                    <w:jc w:val="center"/>
                    <w:rPr>
                      <w:rFonts w:ascii="Times New Roman" w:hAnsi="Times New Roman" w:eastAsia="宋体" w:cs="Times New Roman"/>
                      <w:b/>
                      <w:bCs/>
                      <w:color w:val="auto"/>
                      <w:sz w:val="21"/>
                      <w:szCs w:val="21"/>
                    </w:rPr>
                  </w:pPr>
                </w:p>
              </w:tc>
              <w:tc>
                <w:tcPr>
                  <w:tcW w:w="1910" w:type="dxa"/>
                  <w:vAlign w:val="center"/>
                </w:tcPr>
                <w:p w14:paraId="49B186EB">
                  <w:pPr>
                    <w:pStyle w:val="273"/>
                    <w:kinsoku/>
                    <w:overflowPunct w:val="0"/>
                    <w:autoSpaceDE/>
                    <w:autoSpaceDN/>
                    <w:adjustRightInd/>
                    <w:snapToGrid/>
                    <w:jc w:val="center"/>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物料名称</w:t>
                  </w:r>
                </w:p>
              </w:tc>
              <w:tc>
                <w:tcPr>
                  <w:tcW w:w="1910" w:type="dxa"/>
                  <w:vAlign w:val="center"/>
                </w:tcPr>
                <w:p w14:paraId="3A91BE16">
                  <w:pPr>
                    <w:pStyle w:val="273"/>
                    <w:kinsoku/>
                    <w:overflowPunct w:val="0"/>
                    <w:autoSpaceDE/>
                    <w:autoSpaceDN/>
                    <w:adjustRightInd/>
                    <w:snapToGrid/>
                    <w:jc w:val="center"/>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数量（t/a）</w:t>
                  </w:r>
                </w:p>
              </w:tc>
              <w:tc>
                <w:tcPr>
                  <w:tcW w:w="1910" w:type="dxa"/>
                  <w:vAlign w:val="center"/>
                </w:tcPr>
                <w:p w14:paraId="04362E3C">
                  <w:pPr>
                    <w:pStyle w:val="273"/>
                    <w:kinsoku/>
                    <w:overflowPunct w:val="0"/>
                    <w:autoSpaceDE/>
                    <w:autoSpaceDN/>
                    <w:adjustRightInd/>
                    <w:snapToGrid/>
                    <w:jc w:val="center"/>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物料名称</w:t>
                  </w:r>
                </w:p>
              </w:tc>
              <w:tc>
                <w:tcPr>
                  <w:tcW w:w="1910" w:type="dxa"/>
                  <w:vAlign w:val="center"/>
                </w:tcPr>
                <w:p w14:paraId="2D9857EA">
                  <w:pPr>
                    <w:pStyle w:val="273"/>
                    <w:kinsoku/>
                    <w:overflowPunct w:val="0"/>
                    <w:autoSpaceDE/>
                    <w:autoSpaceDN/>
                    <w:adjustRightInd/>
                    <w:snapToGrid/>
                    <w:jc w:val="center"/>
                    <w:rPr>
                      <w:rFonts w:ascii="Times New Roman" w:hAnsi="Times New Roman" w:eastAsia="宋体" w:cs="Times New Roman"/>
                      <w:color w:val="auto"/>
                      <w:sz w:val="21"/>
                      <w:szCs w:val="21"/>
                    </w:rPr>
                  </w:pPr>
                  <w:r>
                    <w:rPr>
                      <w:rFonts w:ascii="Times New Roman" w:hAnsi="Times New Roman" w:eastAsia="宋体" w:cs="Times New Roman"/>
                      <w:b/>
                      <w:bCs/>
                      <w:color w:val="auto"/>
                      <w:sz w:val="21"/>
                      <w:szCs w:val="21"/>
                    </w:rPr>
                    <w:t>数量（t/a）</w:t>
                  </w:r>
                </w:p>
              </w:tc>
            </w:tr>
            <w:tr w14:paraId="5CC4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0" w:type="dxa"/>
                  <w:vAlign w:val="center"/>
                </w:tcPr>
                <w:p w14:paraId="43938540">
                  <w:pPr>
                    <w:pStyle w:val="273"/>
                    <w:kinsoku/>
                    <w:overflowPunct w:val="0"/>
                    <w:autoSpaceDE/>
                    <w:autoSpaceDN/>
                    <w:adjustRightInd/>
                    <w:snapToGrid/>
                    <w:jc w:val="center"/>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1</w:t>
                  </w:r>
                </w:p>
              </w:tc>
              <w:tc>
                <w:tcPr>
                  <w:tcW w:w="1910" w:type="dxa"/>
                  <w:vAlign w:val="center"/>
                </w:tcPr>
                <w:p w14:paraId="0D6BB667">
                  <w:pPr>
                    <w:pStyle w:val="273"/>
                    <w:kinsoku/>
                    <w:overflowPunct w:val="0"/>
                    <w:autoSpaceDE/>
                    <w:autoSpaceDN/>
                    <w:adjustRightInd/>
                    <w:snapToGrid/>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原料</w:t>
                  </w:r>
                  <w:r>
                    <w:rPr>
                      <w:rFonts w:ascii="Times New Roman" w:hAnsi="Times New Roman" w:eastAsia="宋体" w:cs="Times New Roman"/>
                      <w:color w:val="auto"/>
                      <w:sz w:val="21"/>
                      <w:szCs w:val="21"/>
                    </w:rPr>
                    <w:t>磷石膏</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干基</w:t>
                  </w:r>
                  <w:r>
                    <w:rPr>
                      <w:rFonts w:hint="eastAsia" w:ascii="Times New Roman" w:hAnsi="Times New Roman" w:cs="Times New Roman"/>
                      <w:color w:val="auto"/>
                      <w:sz w:val="21"/>
                      <w:szCs w:val="21"/>
                      <w:lang w:eastAsia="zh-CN"/>
                    </w:rPr>
                    <w:t>）</w:t>
                  </w:r>
                </w:p>
              </w:tc>
              <w:tc>
                <w:tcPr>
                  <w:tcW w:w="1910" w:type="dxa"/>
                  <w:vAlign w:val="center"/>
                </w:tcPr>
                <w:p w14:paraId="78415233">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rPr>
                      <w:rFonts w:hint="default" w:ascii="Times New Roman" w:hAnsi="Times New Roman" w:eastAsia="宋体" w:cs="Times New Roman"/>
                      <w:color w:val="auto"/>
                      <w:lang w:val="en-US"/>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1614200</w:t>
                  </w:r>
                </w:p>
              </w:tc>
              <w:tc>
                <w:tcPr>
                  <w:tcW w:w="1910" w:type="dxa"/>
                  <w:vAlign w:val="center"/>
                </w:tcPr>
                <w:p w14:paraId="7CFB64FC">
                  <w:pPr>
                    <w:pStyle w:val="273"/>
                    <w:kinsoku/>
                    <w:overflowPunct w:val="0"/>
                    <w:autoSpaceDE/>
                    <w:autoSpaceDN/>
                    <w:adjustRightInd/>
                    <w:snapToGrid/>
                    <w:jc w:val="center"/>
                    <w:rPr>
                      <w:rFonts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改性磷石膏</w:t>
                  </w:r>
                </w:p>
              </w:tc>
              <w:tc>
                <w:tcPr>
                  <w:tcW w:w="1910" w:type="dxa"/>
                  <w:vAlign w:val="center"/>
                </w:tcPr>
                <w:p w14:paraId="535E1E7E">
                  <w:pPr>
                    <w:kinsoku/>
                    <w:overflowPunct w:val="0"/>
                    <w:autoSpaceDE/>
                    <w:autoSpaceDN/>
                    <w:adjustRightInd/>
                    <w:snapToGrid/>
                    <w:jc w:val="center"/>
                    <w:rPr>
                      <w:rFonts w:hint="default" w:ascii="Times New Roman" w:hAnsi="Times New Roman" w:eastAsia="宋体" w:cs="Times New Roman"/>
                      <w:color w:val="auto"/>
                      <w:sz w:val="22"/>
                      <w:szCs w:val="22"/>
                      <w:lang w:val="en-US" w:eastAsia="zh-CN"/>
                    </w:rPr>
                  </w:pPr>
                  <w:r>
                    <w:rPr>
                      <w:rFonts w:hint="eastAsia" w:cs="Times New Roman"/>
                      <w:color w:val="auto"/>
                      <w:sz w:val="22"/>
                      <w:szCs w:val="22"/>
                      <w:lang w:val="en-US" w:eastAsia="zh-CN"/>
                    </w:rPr>
                    <w:t>1958615.102</w:t>
                  </w:r>
                </w:p>
              </w:tc>
            </w:tr>
            <w:tr w14:paraId="3BE0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0" w:type="dxa"/>
                  <w:vAlign w:val="center"/>
                </w:tcPr>
                <w:p w14:paraId="7F420CA7">
                  <w:pPr>
                    <w:pStyle w:val="273"/>
                    <w:kinsoku/>
                    <w:overflowPunct w:val="0"/>
                    <w:autoSpaceDE/>
                    <w:autoSpaceDN/>
                    <w:adjustRightInd/>
                    <w:snapToGrid/>
                    <w:jc w:val="center"/>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2</w:t>
                  </w:r>
                </w:p>
              </w:tc>
              <w:tc>
                <w:tcPr>
                  <w:tcW w:w="1910" w:type="dxa"/>
                  <w:vAlign w:val="center"/>
                </w:tcPr>
                <w:p w14:paraId="23EC4E7E">
                  <w:pPr>
                    <w:pStyle w:val="273"/>
                    <w:kinsoku/>
                    <w:overflowPunct w:val="0"/>
                    <w:autoSpaceDE/>
                    <w:autoSpaceDN/>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固化剂</w:t>
                  </w:r>
                </w:p>
              </w:tc>
              <w:tc>
                <w:tcPr>
                  <w:tcW w:w="1910" w:type="dxa"/>
                  <w:vAlign w:val="center"/>
                </w:tcPr>
                <w:p w14:paraId="3B8BF9F0">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000000" w:themeColor="text1"/>
                      <w:sz w:val="21"/>
                      <w:szCs w:val="21"/>
                      <w:highlight w:val="none"/>
                      <w14:textFill>
                        <w14:solidFill>
                          <w14:schemeClr w14:val="tx1"/>
                        </w14:solidFill>
                      </w14:textFill>
                    </w:rPr>
                    <w:t>646</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w:t>
                  </w:r>
                </w:p>
              </w:tc>
              <w:tc>
                <w:tcPr>
                  <w:tcW w:w="1910" w:type="dxa"/>
                  <w:vAlign w:val="center"/>
                </w:tcPr>
                <w:p w14:paraId="04002E94">
                  <w:pPr>
                    <w:pStyle w:val="273"/>
                    <w:kinsoku/>
                    <w:overflowPunct w:val="0"/>
                    <w:autoSpaceDE/>
                    <w:autoSpaceDN/>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无组织排放</w:t>
                  </w:r>
                  <w:r>
                    <w:rPr>
                      <w:rFonts w:hint="eastAsia" w:ascii="Times New Roman" w:hAnsi="Times New Roman" w:cs="Times New Roman"/>
                      <w:color w:val="auto"/>
                      <w:sz w:val="21"/>
                      <w:szCs w:val="21"/>
                      <w:lang w:val="en-US" w:eastAsia="zh-CN"/>
                    </w:rPr>
                    <w:t>粉尘</w:t>
                  </w:r>
                </w:p>
              </w:tc>
              <w:tc>
                <w:tcPr>
                  <w:tcW w:w="1910" w:type="dxa"/>
                  <w:vAlign w:val="center"/>
                </w:tcPr>
                <w:p w14:paraId="160794B2">
                  <w:pPr>
                    <w:kinsoku/>
                    <w:overflowPunct w:val="0"/>
                    <w:autoSpaceDE/>
                    <w:autoSpaceDN/>
                    <w:adjustRightInd/>
                    <w:snapToGrid/>
                    <w:jc w:val="center"/>
                    <w:rPr>
                      <w:rFonts w:hint="default" w:ascii="Times New Roman" w:hAnsi="Times New Roman" w:eastAsia="宋体" w:cs="Times New Roman"/>
                      <w:color w:val="auto"/>
                      <w:lang w:val="en-US" w:eastAsia="zh-CN"/>
                    </w:rPr>
                  </w:pPr>
                  <w:r>
                    <w:rPr>
                      <w:rFonts w:hint="eastAsia" w:cs="Times New Roman"/>
                      <w:color w:val="auto"/>
                      <w:lang w:val="en-US" w:eastAsia="zh-CN"/>
                    </w:rPr>
                    <w:t>11.898</w:t>
                  </w:r>
                </w:p>
              </w:tc>
            </w:tr>
            <w:tr w14:paraId="30AC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0" w:type="dxa"/>
                  <w:vAlign w:val="center"/>
                </w:tcPr>
                <w:p w14:paraId="5731BEEB">
                  <w:pPr>
                    <w:pStyle w:val="273"/>
                    <w:kinsoku/>
                    <w:overflowPunct w:val="0"/>
                    <w:autoSpaceDE/>
                    <w:autoSpaceDN/>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910" w:type="dxa"/>
                  <w:vAlign w:val="center"/>
                </w:tcPr>
                <w:p w14:paraId="68C0BCFC">
                  <w:pPr>
                    <w:pStyle w:val="273"/>
                    <w:kinsoku/>
                    <w:overflowPunct w:val="0"/>
                    <w:autoSpaceDE/>
                    <w:autoSpaceDN/>
                    <w:adjustRightInd/>
                    <w:snapToGrid/>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生石灰</w:t>
                  </w:r>
                </w:p>
              </w:tc>
              <w:tc>
                <w:tcPr>
                  <w:tcW w:w="1910" w:type="dxa"/>
                  <w:vAlign w:val="center"/>
                </w:tcPr>
                <w:p w14:paraId="7533F203">
                  <w:pPr>
                    <w:pStyle w:val="8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000000" w:themeColor="text1"/>
                      <w:sz w:val="21"/>
                      <w:szCs w:val="21"/>
                      <w:highlight w:val="none"/>
                      <w14:textFill>
                        <w14:solidFill>
                          <w14:schemeClr w14:val="tx1"/>
                        </w14:solidFill>
                      </w14:textFill>
                    </w:rPr>
                    <w:t>323</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w:t>
                  </w:r>
                </w:p>
              </w:tc>
              <w:tc>
                <w:tcPr>
                  <w:tcW w:w="1910" w:type="dxa"/>
                  <w:vAlign w:val="center"/>
                </w:tcPr>
                <w:p w14:paraId="0DA244D9">
                  <w:pPr>
                    <w:pStyle w:val="273"/>
                    <w:kinsoku/>
                    <w:overflowPunct w:val="0"/>
                    <w:autoSpaceDE/>
                    <w:autoSpaceDN/>
                    <w:adjustRightInd/>
                    <w:snapToGrid/>
                    <w:jc w:val="center"/>
                    <w:rPr>
                      <w:rFonts w:hint="eastAsia" w:ascii="Times New Roman" w:hAnsi="Times New Roman" w:eastAsia="宋体" w:cs="Times New Roman"/>
                      <w:color w:val="auto"/>
                      <w:sz w:val="21"/>
                      <w:szCs w:val="21"/>
                      <w:lang w:eastAsia="zh-CN"/>
                    </w:rPr>
                  </w:pPr>
                </w:p>
              </w:tc>
              <w:tc>
                <w:tcPr>
                  <w:tcW w:w="1910" w:type="dxa"/>
                  <w:vAlign w:val="center"/>
                </w:tcPr>
                <w:p w14:paraId="02D21FCC">
                  <w:pPr>
                    <w:kinsoku/>
                    <w:overflowPunct w:val="0"/>
                    <w:autoSpaceDE/>
                    <w:autoSpaceDN/>
                    <w:adjustRightInd/>
                    <w:snapToGrid/>
                    <w:jc w:val="center"/>
                    <w:rPr>
                      <w:rFonts w:hint="eastAsia" w:ascii="Times New Roman" w:hAnsi="Times New Roman" w:eastAsia="宋体" w:cs="Times New Roman"/>
                      <w:color w:val="auto"/>
                      <w:lang w:eastAsia="zh-CN"/>
                    </w:rPr>
                  </w:pPr>
                </w:p>
              </w:tc>
            </w:tr>
            <w:tr w14:paraId="1526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0" w:type="dxa"/>
                  <w:vAlign w:val="center"/>
                </w:tcPr>
                <w:p w14:paraId="245B0246">
                  <w:pPr>
                    <w:pStyle w:val="273"/>
                    <w:kinsoku/>
                    <w:overflowPunct w:val="0"/>
                    <w:autoSpaceDE/>
                    <w:autoSpaceDN/>
                    <w:adjustRightInd/>
                    <w:snapToGrid/>
                    <w:jc w:val="center"/>
                    <w:rPr>
                      <w:rFonts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4</w:t>
                  </w:r>
                </w:p>
              </w:tc>
              <w:tc>
                <w:tcPr>
                  <w:tcW w:w="1910" w:type="dxa"/>
                  <w:vAlign w:val="center"/>
                </w:tcPr>
                <w:p w14:paraId="5272F8EB">
                  <w:pPr>
                    <w:pStyle w:val="273"/>
                    <w:kinsoku/>
                    <w:overflowPunct w:val="0"/>
                    <w:autoSpaceDE/>
                    <w:autoSpaceDN/>
                    <w:adjustRightInd/>
                    <w:snapToGrid/>
                    <w:jc w:val="center"/>
                    <w:rPr>
                      <w:rFonts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水</w:t>
                  </w:r>
                </w:p>
              </w:tc>
              <w:tc>
                <w:tcPr>
                  <w:tcW w:w="1910" w:type="dxa"/>
                  <w:vAlign w:val="center"/>
                </w:tcPr>
                <w:p w14:paraId="1FC41FC5">
                  <w:pPr>
                    <w:kinsoku/>
                    <w:overflowPunct w:val="0"/>
                    <w:autoSpaceDE/>
                    <w:autoSpaceDN/>
                    <w:adjustRightInd/>
                    <w:snapToGrid/>
                    <w:jc w:val="center"/>
                    <w:rPr>
                      <w:rFonts w:hint="default" w:ascii="Times New Roman" w:hAnsi="Times New Roman" w:eastAsia="宋体" w:cs="Times New Roman"/>
                      <w:color w:val="auto"/>
                      <w:lang w:val="en-US" w:eastAsia="zh-CN"/>
                    </w:rPr>
                  </w:pPr>
                  <w:r>
                    <w:rPr>
                      <w:rFonts w:hint="eastAsia" w:cs="Times New Roman"/>
                      <w:color w:val="auto"/>
                      <w:lang w:val="en-US" w:eastAsia="zh-CN"/>
                    </w:rPr>
                    <w:t>247527</w:t>
                  </w:r>
                </w:p>
              </w:tc>
              <w:tc>
                <w:tcPr>
                  <w:tcW w:w="1910" w:type="dxa"/>
                  <w:vAlign w:val="center"/>
                </w:tcPr>
                <w:p w14:paraId="42039E96">
                  <w:pPr>
                    <w:pStyle w:val="273"/>
                    <w:kinsoku/>
                    <w:overflowPunct w:val="0"/>
                    <w:autoSpaceDE/>
                    <w:autoSpaceDN/>
                    <w:adjustRightInd/>
                    <w:snapToGrid/>
                    <w:jc w:val="center"/>
                    <w:rPr>
                      <w:rFonts w:ascii="Times New Roman" w:hAnsi="Times New Roman" w:eastAsia="宋体" w:cs="Times New Roman"/>
                      <w:color w:val="auto"/>
                      <w:sz w:val="21"/>
                      <w:szCs w:val="21"/>
                      <w:lang w:eastAsia="zh-CN"/>
                    </w:rPr>
                  </w:pPr>
                </w:p>
              </w:tc>
              <w:tc>
                <w:tcPr>
                  <w:tcW w:w="1910" w:type="dxa"/>
                  <w:vAlign w:val="center"/>
                </w:tcPr>
                <w:p w14:paraId="1FE7A80D">
                  <w:pPr>
                    <w:kinsoku/>
                    <w:overflowPunct w:val="0"/>
                    <w:autoSpaceDE/>
                    <w:autoSpaceDN/>
                    <w:adjustRightInd/>
                    <w:snapToGrid/>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0.</w:t>
                  </w:r>
                  <w:r>
                    <w:rPr>
                      <w:rFonts w:hint="eastAsia" w:ascii="Times New Roman" w:hAnsi="Times New Roman" w:eastAsia="宋体" w:cs="Times New Roman"/>
                      <w:color w:val="auto"/>
                      <w:lang w:val="en-US" w:eastAsia="zh-CN"/>
                    </w:rPr>
                    <w:t>744</w:t>
                  </w:r>
                </w:p>
              </w:tc>
            </w:tr>
            <w:tr w14:paraId="48EB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0" w:type="dxa"/>
                  <w:vAlign w:val="center"/>
                </w:tcPr>
                <w:p w14:paraId="5E00A536">
                  <w:pPr>
                    <w:pStyle w:val="273"/>
                    <w:kinsoku/>
                    <w:overflowPunct w:val="0"/>
                    <w:autoSpaceDE/>
                    <w:autoSpaceDN/>
                    <w:adjustRightInd/>
                    <w:snapToGrid/>
                    <w:jc w:val="center"/>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合计</w:t>
                  </w:r>
                </w:p>
              </w:tc>
              <w:tc>
                <w:tcPr>
                  <w:tcW w:w="1910" w:type="dxa"/>
                  <w:vAlign w:val="center"/>
                </w:tcPr>
                <w:p w14:paraId="59CEE42E">
                  <w:pPr>
                    <w:pStyle w:val="273"/>
                    <w:kinsoku/>
                    <w:overflowPunct w:val="0"/>
                    <w:autoSpaceDE/>
                    <w:autoSpaceDN/>
                    <w:adjustRightInd/>
                    <w:snapToGrid/>
                    <w:jc w:val="center"/>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w:t>
                  </w:r>
                </w:p>
              </w:tc>
              <w:tc>
                <w:tcPr>
                  <w:tcW w:w="1910" w:type="dxa"/>
                  <w:vAlign w:val="center"/>
                </w:tcPr>
                <w:p w14:paraId="71149133">
                  <w:pPr>
                    <w:kinsoku/>
                    <w:overflowPunct w:val="0"/>
                    <w:autoSpaceDE/>
                    <w:autoSpaceDN/>
                    <w:adjustRightInd/>
                    <w:snapToGrid/>
                    <w:jc w:val="center"/>
                    <w:rPr>
                      <w:rFonts w:ascii="Times New Roman" w:hAnsi="Times New Roman" w:eastAsia="宋体" w:cs="Times New Roman"/>
                      <w:color w:val="auto"/>
                      <w:lang w:eastAsia="zh-CN"/>
                    </w:rPr>
                  </w:pPr>
                  <w:r>
                    <w:rPr>
                      <w:rFonts w:hint="eastAsia" w:cs="Times New Roman"/>
                      <w:color w:val="auto"/>
                      <w:lang w:val="en-US" w:eastAsia="zh-CN"/>
                    </w:rPr>
                    <w:t>1958627</w:t>
                  </w:r>
                </w:p>
              </w:tc>
              <w:tc>
                <w:tcPr>
                  <w:tcW w:w="1910" w:type="dxa"/>
                  <w:vAlign w:val="center"/>
                </w:tcPr>
                <w:p w14:paraId="3D133F39">
                  <w:pPr>
                    <w:kinsoku/>
                    <w:overflowPunct w:val="0"/>
                    <w:autoSpaceDE/>
                    <w:autoSpaceDN/>
                    <w:adjustRightInd/>
                    <w:snapToGrid/>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w:t>
                  </w:r>
                </w:p>
              </w:tc>
              <w:tc>
                <w:tcPr>
                  <w:tcW w:w="1910" w:type="dxa"/>
                  <w:vAlign w:val="center"/>
                </w:tcPr>
                <w:p w14:paraId="266D448D">
                  <w:pPr>
                    <w:kinsoku/>
                    <w:overflowPunct w:val="0"/>
                    <w:autoSpaceDE/>
                    <w:autoSpaceDN/>
                    <w:adjustRightInd/>
                    <w:snapToGrid/>
                    <w:jc w:val="center"/>
                    <w:rPr>
                      <w:rFonts w:hint="default" w:ascii="Times New Roman" w:hAnsi="Times New Roman" w:eastAsia="宋体" w:cs="Times New Roman"/>
                      <w:color w:val="auto"/>
                      <w:lang w:val="en-US" w:eastAsia="zh-CN"/>
                    </w:rPr>
                  </w:pPr>
                  <w:r>
                    <w:rPr>
                      <w:rFonts w:hint="eastAsia" w:cs="Times New Roman"/>
                      <w:color w:val="auto"/>
                      <w:lang w:val="en-US" w:eastAsia="zh-CN"/>
                    </w:rPr>
                    <w:t>1958627</w:t>
                  </w:r>
                </w:p>
              </w:tc>
            </w:tr>
          </w:tbl>
          <w:p w14:paraId="4C5C542C">
            <w:pPr>
              <w:pStyle w:val="17"/>
              <w:keepNext w:val="0"/>
              <w:keepLines w:val="0"/>
              <w:suppressLineNumbers w:val="0"/>
              <w:spacing w:beforeAutospacing="0" w:afterAutospacing="0"/>
              <w:ind w:left="0"/>
              <w:rPr>
                <w:rFonts w:hint="default"/>
                <w:szCs w:val="20"/>
              </w:rPr>
            </w:pPr>
          </w:p>
        </w:tc>
      </w:tr>
      <w:tr w14:paraId="70E7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bottom w:val="single" w:color="auto" w:sz="4" w:space="0"/>
            </w:tcBorders>
            <w:shd w:val="clear" w:color="auto" w:fill="auto"/>
            <w:vAlign w:val="top"/>
          </w:tcPr>
          <w:p w14:paraId="4FF31DE2">
            <w:pPr>
              <w:pStyle w:val="40"/>
              <w:keepNext w:val="0"/>
              <w:keepLines w:val="0"/>
              <w:suppressLineNumbers w:val="0"/>
              <w:spacing w:before="0" w:beforeAutospacing="0" w:after="0" w:afterAutospacing="0"/>
              <w:ind w:left="0" w:right="0"/>
              <w:jc w:val="center"/>
              <w:outlineLvl w:val="0"/>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color w:val="000000" w:themeColor="text1"/>
                <w:szCs w:val="24"/>
                <w:highlight w:val="none"/>
                <w14:textFill>
                  <w14:solidFill>
                    <w14:schemeClr w14:val="tx1"/>
                  </w14:solidFill>
                </w14:textFill>
              </w:rPr>
              <w:t>工艺流程和产排污环节</w:t>
            </w:r>
          </w:p>
        </w:tc>
        <w:tc>
          <w:tcPr>
            <w:tcW w:w="8604" w:type="dxa"/>
            <w:tcBorders>
              <w:top w:val="single" w:color="auto" w:sz="4" w:space="0"/>
              <w:bottom w:val="single" w:color="auto" w:sz="4" w:space="0"/>
            </w:tcBorders>
          </w:tcPr>
          <w:p w14:paraId="10B27097">
            <w:pPr>
              <w:keepNext w:val="0"/>
              <w:keepLines w:val="0"/>
              <w:suppressLineNumbers w:val="0"/>
              <w:adjustRightInd w:val="0"/>
              <w:snapToGrid w:val="0"/>
              <w:spacing w:before="0" w:beforeAutospacing="0" w:after="0" w:afterAutospacing="0" w:line="360" w:lineRule="auto"/>
              <w:ind w:left="0" w:right="0"/>
              <w:rPr>
                <w:rFonts w:hint="default"/>
                <w:b/>
                <w:color w:val="000000" w:themeColor="text1"/>
                <w:kern w:val="0"/>
                <w:sz w:val="28"/>
                <w:szCs w:val="21"/>
                <w:highlight w:val="none"/>
                <w14:textFill>
                  <w14:solidFill>
                    <w14:schemeClr w14:val="tx1"/>
                  </w14:solidFill>
                </w14:textFill>
              </w:rPr>
            </w:pPr>
            <w:r>
              <w:rPr>
                <w:rFonts w:hint="eastAsia"/>
                <w:b/>
                <w:color w:val="000000" w:themeColor="text1"/>
                <w:kern w:val="0"/>
                <w:sz w:val="28"/>
                <w:szCs w:val="21"/>
                <w:highlight w:val="none"/>
                <w:lang w:val="en-US" w:eastAsia="zh-CN"/>
                <w14:textFill>
                  <w14:solidFill>
                    <w14:schemeClr w14:val="tx1"/>
                  </w14:solidFill>
                </w14:textFill>
              </w:rPr>
              <w:t>2.12</w:t>
            </w:r>
            <w:r>
              <w:rPr>
                <w:rFonts w:hint="default"/>
                <w:b/>
                <w:color w:val="000000" w:themeColor="text1"/>
                <w:kern w:val="0"/>
                <w:sz w:val="28"/>
                <w:szCs w:val="21"/>
                <w:highlight w:val="none"/>
                <w14:textFill>
                  <w14:solidFill>
                    <w14:schemeClr w14:val="tx1"/>
                  </w14:solidFill>
                </w14:textFill>
              </w:rPr>
              <w:t>工艺流程及产污分析</w:t>
            </w:r>
          </w:p>
          <w:p w14:paraId="21C5E080">
            <w:pPr>
              <w:keepNext w:val="0"/>
              <w:keepLines w:val="0"/>
              <w:suppressLineNumbers w:val="0"/>
              <w:adjustRightInd w:val="0"/>
              <w:snapToGrid w:val="0"/>
              <w:spacing w:before="0" w:beforeAutospacing="0" w:after="0" w:afterAutospacing="0" w:line="348" w:lineRule="auto"/>
              <w:ind w:left="0" w:right="0" w:firstLine="482" w:firstLineChars="200"/>
              <w:rPr>
                <w:rFonts w:hint="default"/>
                <w:b/>
                <w:color w:val="000000" w:themeColor="text1"/>
                <w:kern w:val="0"/>
                <w:sz w:val="24"/>
                <w:szCs w:val="20"/>
                <w:highlight w:val="none"/>
                <w:lang w:val="en-US" w:eastAsia="zh-CN"/>
                <w14:textFill>
                  <w14:solidFill>
                    <w14:schemeClr w14:val="tx1"/>
                  </w14:solidFill>
                </w14:textFill>
              </w:rPr>
            </w:pPr>
            <w:r>
              <w:rPr>
                <w:rFonts w:hint="eastAsia"/>
                <w:b/>
                <w:color w:val="000000" w:themeColor="text1"/>
                <w:kern w:val="0"/>
                <w:sz w:val="24"/>
                <w:szCs w:val="20"/>
                <w:highlight w:val="none"/>
                <w:lang w:val="en-US" w:eastAsia="zh-CN"/>
                <w14:textFill>
                  <w14:solidFill>
                    <w14:schemeClr w14:val="tx1"/>
                  </w14:solidFill>
                </w14:textFill>
              </w:rPr>
              <w:t>一、施工期工艺流程简述</w:t>
            </w:r>
          </w:p>
          <w:p w14:paraId="24E5739B">
            <w:pPr>
              <w:keepNext w:val="0"/>
              <w:keepLines w:val="0"/>
              <w:suppressLineNumbers w:val="0"/>
              <w:adjustRightInd w:val="0"/>
              <w:snapToGrid w:val="0"/>
              <w:spacing w:before="0" w:beforeAutospacing="0" w:after="0" w:afterAutospacing="0" w:line="348" w:lineRule="auto"/>
              <w:ind w:left="0" w:right="0" w:firstLine="480" w:firstLineChars="200"/>
              <w:rPr>
                <w:rFonts w:hint="eastAsia"/>
                <w:b w:val="0"/>
                <w:bCs w:val="0"/>
                <w:color w:val="000000" w:themeColor="text1"/>
                <w:sz w:val="24"/>
                <w:szCs w:val="20"/>
                <w:highlight w:val="none"/>
                <w:lang w:eastAsia="zh-CN"/>
                <w14:textFill>
                  <w14:solidFill>
                    <w14:schemeClr w14:val="tx1"/>
                  </w14:solidFill>
                </w14:textFill>
              </w:rPr>
            </w:pPr>
            <w:r>
              <w:rPr>
                <w:rFonts w:hint="eastAsia"/>
                <w:b w:val="0"/>
                <w:bCs w:val="0"/>
                <w:color w:val="000000" w:themeColor="text1"/>
                <w:sz w:val="24"/>
                <w:szCs w:val="20"/>
                <w:highlight w:val="no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891540</wp:posOffset>
                  </wp:positionH>
                  <wp:positionV relativeFrom="paragraph">
                    <wp:posOffset>615315</wp:posOffset>
                  </wp:positionV>
                  <wp:extent cx="3257550" cy="999490"/>
                  <wp:effectExtent l="0" t="0" r="0" b="1016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0"/>
                          <a:stretch>
                            <a:fillRect/>
                          </a:stretch>
                        </pic:blipFill>
                        <pic:spPr>
                          <a:xfrm>
                            <a:off x="0" y="0"/>
                            <a:ext cx="3257550" cy="999490"/>
                          </a:xfrm>
                          <a:prstGeom prst="rect">
                            <a:avLst/>
                          </a:prstGeom>
                          <a:noFill/>
                          <a:ln>
                            <a:noFill/>
                          </a:ln>
                        </pic:spPr>
                      </pic:pic>
                    </a:graphicData>
                  </a:graphic>
                </wp:anchor>
              </w:drawing>
            </w:r>
            <w:r>
              <w:rPr>
                <w:rFonts w:hint="eastAsia"/>
                <w:b w:val="0"/>
                <w:bCs w:val="0"/>
                <w:color w:val="000000" w:themeColor="text1"/>
                <w:sz w:val="24"/>
                <w:szCs w:val="20"/>
                <w:highlight w:val="none"/>
                <w:lang w:eastAsia="zh-CN"/>
                <w14:textFill>
                  <w14:solidFill>
                    <w14:schemeClr w14:val="tx1"/>
                  </w14:solidFill>
                </w14:textFill>
              </w:rPr>
              <w:t>本项目依托</w:t>
            </w:r>
            <w:r>
              <w:rPr>
                <w:rFonts w:hint="eastAsia"/>
                <w:b w:val="0"/>
                <w:bCs w:val="0"/>
                <w:color w:val="000000" w:themeColor="text1"/>
                <w:sz w:val="24"/>
                <w:szCs w:val="20"/>
                <w:highlight w:val="none"/>
                <w:lang w:val="en-US" w:eastAsia="zh-CN"/>
                <w14:textFill>
                  <w14:solidFill>
                    <w14:schemeClr w14:val="tx1"/>
                  </w14:solidFill>
                </w14:textFill>
              </w:rPr>
              <w:t>租赁场地</w:t>
            </w:r>
            <w:r>
              <w:rPr>
                <w:rFonts w:hint="eastAsia"/>
                <w:b w:val="0"/>
                <w:bCs w:val="0"/>
                <w:color w:val="000000" w:themeColor="text1"/>
                <w:sz w:val="24"/>
                <w:szCs w:val="20"/>
                <w:highlight w:val="none"/>
                <w:lang w:eastAsia="zh-CN"/>
                <w14:textFill>
                  <w14:solidFill>
                    <w14:schemeClr w14:val="tx1"/>
                  </w14:solidFill>
                </w14:textFill>
              </w:rPr>
              <w:t>进行建设，施工期内容主要包括车间改造、设备安装等工程；施工期工艺流程及产污环节见下图：</w:t>
            </w:r>
          </w:p>
          <w:p w14:paraId="4E77CB53">
            <w:pPr>
              <w:keepNext w:val="0"/>
              <w:keepLines w:val="0"/>
              <w:suppressLineNumbers w:val="0"/>
              <w:adjustRightInd w:val="0"/>
              <w:snapToGrid w:val="0"/>
              <w:spacing w:before="0" w:beforeAutospacing="0" w:after="0" w:afterAutospacing="0" w:line="348" w:lineRule="auto"/>
              <w:ind w:left="0" w:right="0" w:firstLine="480" w:firstLineChars="200"/>
              <w:rPr>
                <w:rFonts w:hint="eastAsia"/>
                <w:b w:val="0"/>
                <w:bCs w:val="0"/>
                <w:color w:val="000000" w:themeColor="text1"/>
                <w:sz w:val="24"/>
                <w:szCs w:val="20"/>
                <w:highlight w:val="none"/>
                <w:lang w:eastAsia="zh-CN"/>
                <w14:textFill>
                  <w14:solidFill>
                    <w14:schemeClr w14:val="tx1"/>
                  </w14:solidFill>
                </w14:textFill>
              </w:rPr>
            </w:pPr>
          </w:p>
          <w:p w14:paraId="6422D84F">
            <w:pPr>
              <w:keepNext w:val="0"/>
              <w:keepLines w:val="0"/>
              <w:suppressLineNumbers w:val="0"/>
              <w:adjustRightInd w:val="0"/>
              <w:snapToGrid w:val="0"/>
              <w:spacing w:before="0" w:beforeAutospacing="0" w:after="0" w:afterAutospacing="0" w:line="348" w:lineRule="auto"/>
              <w:ind w:left="0" w:right="0" w:firstLine="480" w:firstLineChars="200"/>
              <w:rPr>
                <w:rFonts w:hint="eastAsia"/>
                <w:b w:val="0"/>
                <w:bCs w:val="0"/>
                <w:color w:val="000000" w:themeColor="text1"/>
                <w:sz w:val="24"/>
                <w:szCs w:val="20"/>
                <w:highlight w:val="none"/>
                <w:lang w:eastAsia="zh-CN"/>
                <w14:textFill>
                  <w14:solidFill>
                    <w14:schemeClr w14:val="tx1"/>
                  </w14:solidFill>
                </w14:textFill>
              </w:rPr>
            </w:pPr>
          </w:p>
          <w:p w14:paraId="5A01CD24">
            <w:pPr>
              <w:keepNext w:val="0"/>
              <w:keepLines w:val="0"/>
              <w:suppressLineNumbers w:val="0"/>
              <w:adjustRightInd w:val="0"/>
              <w:snapToGrid w:val="0"/>
              <w:spacing w:before="0" w:beforeAutospacing="0" w:after="0" w:afterAutospacing="0" w:line="348" w:lineRule="auto"/>
              <w:ind w:left="0" w:right="0" w:firstLine="480" w:firstLineChars="200"/>
              <w:rPr>
                <w:rFonts w:hint="eastAsia"/>
                <w:b w:val="0"/>
                <w:bCs w:val="0"/>
                <w:color w:val="000000" w:themeColor="text1"/>
                <w:sz w:val="24"/>
                <w:szCs w:val="20"/>
                <w:highlight w:val="none"/>
                <w:lang w:eastAsia="zh-CN"/>
                <w14:textFill>
                  <w14:solidFill>
                    <w14:schemeClr w14:val="tx1"/>
                  </w14:solidFill>
                </w14:textFill>
              </w:rPr>
            </w:pPr>
          </w:p>
          <w:p w14:paraId="60CD73D2">
            <w:pPr>
              <w:keepNext w:val="0"/>
              <w:keepLines w:val="0"/>
              <w:suppressLineNumbers w:val="0"/>
              <w:adjustRightInd w:val="0"/>
              <w:snapToGrid w:val="0"/>
              <w:spacing w:before="0" w:beforeAutospacing="0" w:after="0" w:afterAutospacing="0" w:line="348" w:lineRule="auto"/>
              <w:ind w:left="0" w:right="0" w:firstLine="480" w:firstLineChars="200"/>
              <w:rPr>
                <w:rFonts w:hint="eastAsia"/>
                <w:b w:val="0"/>
                <w:bCs w:val="0"/>
                <w:color w:val="000000" w:themeColor="text1"/>
                <w:sz w:val="24"/>
                <w:szCs w:val="20"/>
                <w:highlight w:val="none"/>
                <w:lang w:eastAsia="zh-CN"/>
                <w14:textFill>
                  <w14:solidFill>
                    <w14:schemeClr w14:val="tx1"/>
                  </w14:solidFill>
                </w14:textFill>
              </w:rPr>
            </w:pPr>
          </w:p>
          <w:p w14:paraId="3F0A6FAE">
            <w:pPr>
              <w:keepNext w:val="0"/>
              <w:keepLines w:val="0"/>
              <w:suppressLineNumbers w:val="0"/>
              <w:adjustRightInd w:val="0"/>
              <w:snapToGrid w:val="0"/>
              <w:spacing w:before="0" w:beforeAutospacing="0" w:after="0" w:afterAutospacing="0" w:line="348" w:lineRule="auto"/>
              <w:ind w:left="0" w:right="0" w:firstLine="482" w:firstLineChars="200"/>
              <w:jc w:val="center"/>
              <w:rPr>
                <w:rFonts w:hint="eastAsia"/>
                <w:b/>
                <w:bCs/>
                <w:color w:val="000000" w:themeColor="text1"/>
                <w:sz w:val="24"/>
                <w:szCs w:val="20"/>
                <w:highlight w:val="none"/>
                <w:lang w:eastAsia="zh-CN"/>
                <w14:textFill>
                  <w14:solidFill>
                    <w14:schemeClr w14:val="tx1"/>
                  </w14:solidFill>
                </w14:textFill>
              </w:rPr>
            </w:pPr>
          </w:p>
          <w:p w14:paraId="4A37D55C">
            <w:pPr>
              <w:keepNext w:val="0"/>
              <w:keepLines w:val="0"/>
              <w:suppressLineNumbers w:val="0"/>
              <w:adjustRightInd w:val="0"/>
              <w:snapToGrid w:val="0"/>
              <w:spacing w:before="0" w:beforeAutospacing="0" w:after="0" w:afterAutospacing="0" w:line="348" w:lineRule="auto"/>
              <w:ind w:left="0" w:right="0" w:firstLine="482" w:firstLineChars="200"/>
              <w:jc w:val="center"/>
              <w:rPr>
                <w:rFonts w:hint="eastAsia"/>
                <w:b/>
                <w:bCs/>
                <w:color w:val="000000" w:themeColor="text1"/>
                <w:sz w:val="24"/>
                <w:szCs w:val="20"/>
                <w:highlight w:val="none"/>
                <w:lang w:eastAsia="zh-CN"/>
                <w14:textFill>
                  <w14:solidFill>
                    <w14:schemeClr w14:val="tx1"/>
                  </w14:solidFill>
                </w14:textFill>
              </w:rPr>
            </w:pPr>
            <w:r>
              <w:rPr>
                <w:rFonts w:hint="eastAsia"/>
                <w:b/>
                <w:bCs/>
                <w:color w:val="000000" w:themeColor="text1"/>
                <w:sz w:val="24"/>
                <w:szCs w:val="20"/>
                <w:highlight w:val="none"/>
                <w:lang w:eastAsia="zh-CN"/>
                <w14:textFill>
                  <w14:solidFill>
                    <w14:schemeClr w14:val="tx1"/>
                  </w14:solidFill>
                </w14:textFill>
              </w:rPr>
              <w:t>图2-</w:t>
            </w:r>
            <w:r>
              <w:rPr>
                <w:rFonts w:hint="eastAsia"/>
                <w:b/>
                <w:bCs/>
                <w:color w:val="000000" w:themeColor="text1"/>
                <w:sz w:val="24"/>
                <w:szCs w:val="20"/>
                <w:highlight w:val="none"/>
                <w:lang w:val="en-US" w:eastAsia="zh-CN"/>
                <w14:textFill>
                  <w14:solidFill>
                    <w14:schemeClr w14:val="tx1"/>
                  </w14:solidFill>
                </w14:textFill>
              </w:rPr>
              <w:t>3</w:t>
            </w:r>
            <w:r>
              <w:rPr>
                <w:rFonts w:hint="eastAsia"/>
                <w:b/>
                <w:bCs/>
                <w:color w:val="000000" w:themeColor="text1"/>
                <w:sz w:val="24"/>
                <w:szCs w:val="20"/>
                <w:highlight w:val="none"/>
                <w:lang w:eastAsia="zh-CN"/>
                <w14:textFill>
                  <w14:solidFill>
                    <w14:schemeClr w14:val="tx1"/>
                  </w14:solidFill>
                </w14:textFill>
              </w:rPr>
              <w:t xml:space="preserve">  项目施工期工艺流程图</w:t>
            </w:r>
          </w:p>
          <w:p w14:paraId="0A2A9C4A">
            <w:pPr>
              <w:keepNext w:val="0"/>
              <w:keepLines w:val="0"/>
              <w:suppressLineNumbers w:val="0"/>
              <w:adjustRightInd w:val="0"/>
              <w:snapToGrid w:val="0"/>
              <w:spacing w:before="0" w:beforeAutospacing="0" w:after="0" w:afterAutospacing="0" w:line="348" w:lineRule="auto"/>
              <w:ind w:left="0" w:right="0" w:firstLine="480" w:firstLineChars="200"/>
              <w:rPr>
                <w:rFonts w:hint="eastAsia"/>
                <w:b w:val="0"/>
                <w:bCs w:val="0"/>
                <w:color w:val="000000" w:themeColor="text1"/>
                <w:sz w:val="24"/>
                <w:szCs w:val="20"/>
                <w:highlight w:val="none"/>
                <w:lang w:eastAsia="zh-CN"/>
                <w14:textFill>
                  <w14:solidFill>
                    <w14:schemeClr w14:val="tx1"/>
                  </w14:solidFill>
                </w14:textFill>
              </w:rPr>
            </w:pPr>
            <w:r>
              <w:rPr>
                <w:rFonts w:hint="eastAsia"/>
                <w:b w:val="0"/>
                <w:bCs w:val="0"/>
                <w:color w:val="000000" w:themeColor="text1"/>
                <w:sz w:val="24"/>
                <w:szCs w:val="20"/>
                <w:highlight w:val="none"/>
                <w:lang w:eastAsia="zh-CN"/>
                <w14:textFill>
                  <w14:solidFill>
                    <w14:schemeClr w14:val="tx1"/>
                  </w14:solidFill>
                </w14:textFill>
              </w:rPr>
              <w:t>施工期间主要污染物为施工材料、设备在运输装卸过程中及施工过程中产生的扬尘、施工人员生活污水、施工废水、施工噪声及施工生活垃圾和建筑垃圾。</w:t>
            </w:r>
          </w:p>
          <w:p w14:paraId="43B3689C">
            <w:pPr>
              <w:keepNext w:val="0"/>
              <w:keepLines w:val="0"/>
              <w:suppressLineNumbers w:val="0"/>
              <w:adjustRightInd w:val="0"/>
              <w:snapToGrid w:val="0"/>
              <w:spacing w:before="0" w:beforeAutospacing="0" w:after="0" w:afterAutospacing="0" w:line="348" w:lineRule="auto"/>
              <w:ind w:left="0" w:right="0" w:firstLine="482" w:firstLineChars="200"/>
              <w:rPr>
                <w:rFonts w:hint="default"/>
                <w:b/>
                <w:color w:val="000000" w:themeColor="text1"/>
                <w:kern w:val="0"/>
                <w:sz w:val="24"/>
                <w:szCs w:val="20"/>
                <w:highlight w:val="none"/>
                <w:lang w:val="en-US" w:eastAsia="zh-CN"/>
                <w14:textFill>
                  <w14:solidFill>
                    <w14:schemeClr w14:val="tx1"/>
                  </w14:solidFill>
                </w14:textFill>
              </w:rPr>
            </w:pPr>
            <w:r>
              <w:rPr>
                <w:rFonts w:hint="eastAsia"/>
                <w:b/>
                <w:color w:val="000000" w:themeColor="text1"/>
                <w:kern w:val="0"/>
                <w:sz w:val="24"/>
                <w:szCs w:val="20"/>
                <w:highlight w:val="none"/>
                <w:lang w:val="en-US" w:eastAsia="zh-CN"/>
                <w14:textFill>
                  <w14:solidFill>
                    <w14:schemeClr w14:val="tx1"/>
                  </w14:solidFill>
                </w14:textFill>
              </w:rPr>
              <w:t>二、运营期工艺流程及产排污</w:t>
            </w:r>
          </w:p>
          <w:p w14:paraId="7DCD512B">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改性工程工艺流程如下：</w:t>
            </w:r>
          </w:p>
          <w:p w14:paraId="1EF59776">
            <w:pPr>
              <w:keepNext w:val="0"/>
              <w:keepLines w:val="0"/>
              <w:suppressLineNumbers w:val="0"/>
              <w:adjustRightInd w:val="0"/>
              <w:snapToGrid w:val="0"/>
              <w:spacing w:before="0" w:beforeAutospacing="0" w:after="0" w:afterAutospacing="0" w:line="348" w:lineRule="auto"/>
              <w:ind w:left="0" w:right="0" w:firstLine="482" w:firstLineChars="200"/>
              <w:rPr>
                <w:rFonts w:hint="default" w:eastAsia="宋体"/>
                <w:color w:val="000000" w:themeColor="text1"/>
                <w:sz w:val="24"/>
                <w:szCs w:val="20"/>
                <w:highlight w:val="none"/>
                <w:lang w:val="en-US" w:eastAsia="zh-CN"/>
                <w14:textFill>
                  <w14:solidFill>
                    <w14:schemeClr w14:val="tx1"/>
                  </w14:solidFill>
                </w14:textFill>
              </w:rPr>
            </w:pP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1</w:t>
            </w: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磷石膏运输：</w:t>
            </w:r>
            <w:r>
              <w:rPr>
                <w:rFonts w:hint="eastAsia"/>
                <w:color w:val="000000" w:themeColor="text1"/>
                <w:sz w:val="24"/>
                <w:szCs w:val="20"/>
                <w:highlight w:val="none"/>
                <w:lang w:val="en-US" w:eastAsia="zh-CN"/>
                <w14:textFill>
                  <w14:solidFill>
                    <w14:schemeClr w14:val="tx1"/>
                  </w14:solidFill>
                </w14:textFill>
              </w:rPr>
              <w:t>本项目改性工程原料磷石膏来自于常青树公司磷石膏渣场堆存的磷石膏，项目改性车间与磷石膏渣场仅一墙之隔，距离较近，</w:t>
            </w:r>
            <w:r>
              <w:rPr>
                <w:rFonts w:hint="eastAsia"/>
                <w:color w:val="000000" w:themeColor="text1"/>
                <w:sz w:val="24"/>
                <w:szCs w:val="20"/>
                <w:highlight w:val="none"/>
                <w14:textFill>
                  <w14:solidFill>
                    <w14:schemeClr w14:val="tx1"/>
                  </w14:solidFill>
                </w14:textFill>
              </w:rPr>
              <w:t>磷石膏根据与改性区的距离采取差异化运输方式：距离较近区域采用装载机直接转运，不使用车辆；距离较远区域使用自卸车运输至改性区卸料仓。</w:t>
            </w:r>
            <w:r>
              <w:rPr>
                <w:rFonts w:hint="eastAsia"/>
                <w:color w:val="000000" w:themeColor="text1"/>
                <w:sz w:val="24"/>
                <w:szCs w:val="20"/>
                <w:highlight w:val="none"/>
                <w:lang w:val="en-US" w:eastAsia="zh-CN"/>
                <w14:textFill>
                  <w14:solidFill>
                    <w14:schemeClr w14:val="tx1"/>
                  </w14:solidFill>
                </w14:textFill>
              </w:rPr>
              <w:t>改性工程占地范围内不设磷石膏暂存设施，物料运输</w:t>
            </w:r>
            <w:r>
              <w:rPr>
                <w:rFonts w:hint="eastAsia"/>
                <w:color w:val="000000" w:themeColor="text1"/>
                <w:sz w:val="24"/>
                <w:szCs w:val="20"/>
                <w:highlight w:val="none"/>
                <w14:textFill>
                  <w14:solidFill>
                    <w14:schemeClr w14:val="tx1"/>
                  </w14:solidFill>
                </w14:textFill>
              </w:rPr>
              <w:t>较近区域采用装载机直接转运</w:t>
            </w:r>
            <w:r>
              <w:rPr>
                <w:rFonts w:hint="eastAsia"/>
                <w:color w:val="000000" w:themeColor="text1"/>
                <w:sz w:val="24"/>
                <w:szCs w:val="20"/>
                <w:highlight w:val="none"/>
                <w:lang w:val="en-US" w:eastAsia="zh-CN"/>
                <w14:textFill>
                  <w14:solidFill>
                    <w14:schemeClr w14:val="tx1"/>
                  </w14:solidFill>
                </w14:textFill>
              </w:rPr>
              <w:t>投入卸料仓进行生产，</w:t>
            </w:r>
            <w:r>
              <w:rPr>
                <w:rFonts w:hint="eastAsia"/>
                <w:color w:val="000000" w:themeColor="text1"/>
                <w:sz w:val="24"/>
                <w:szCs w:val="20"/>
                <w:highlight w:val="none"/>
                <w14:textFill>
                  <w14:solidFill>
                    <w14:schemeClr w14:val="tx1"/>
                  </w14:solidFill>
                </w14:textFill>
              </w:rPr>
              <w:t>距离较远区域使用自卸车运输至改性区卸料仓</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再由装载机进行上料。</w:t>
            </w:r>
          </w:p>
          <w:p w14:paraId="55346700">
            <w:pPr>
              <w:keepNext w:val="0"/>
              <w:keepLines w:val="0"/>
              <w:suppressLineNumbers w:val="0"/>
              <w:adjustRightInd w:val="0"/>
              <w:snapToGrid w:val="0"/>
              <w:spacing w:before="0" w:beforeAutospacing="0" w:after="0" w:afterAutospacing="0" w:line="348" w:lineRule="auto"/>
              <w:ind w:left="0" w:right="0" w:firstLine="482" w:firstLineChars="200"/>
              <w:rPr>
                <w:rFonts w:hint="eastAsia" w:eastAsia="宋体"/>
                <w:color w:val="000000" w:themeColor="text1"/>
                <w:sz w:val="24"/>
                <w:szCs w:val="20"/>
                <w:highlight w:val="none"/>
                <w:lang w:eastAsia="zh-CN"/>
                <w14:textFill>
                  <w14:solidFill>
                    <w14:schemeClr w14:val="tx1"/>
                  </w14:solidFill>
                </w14:textFill>
              </w:rPr>
            </w:pP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2</w:t>
            </w: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破碎：</w:t>
            </w:r>
            <w:r>
              <w:rPr>
                <w:rFonts w:hint="eastAsia"/>
                <w:color w:val="000000" w:themeColor="text1"/>
                <w:sz w:val="24"/>
                <w:szCs w:val="20"/>
                <w:highlight w:val="none"/>
                <w14:textFill>
                  <w14:solidFill>
                    <w14:schemeClr w14:val="tx1"/>
                  </w14:solidFill>
                </w14:textFill>
              </w:rPr>
              <w:t>卸料后首先进入破碎机进行预处理，将块状磷石膏破碎至颗粒尺寸≤60 mm；</w:t>
            </w:r>
            <w:r>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磷石膏破碎程度大有利于后续与改性药剂的充分混合接触，一般要求磷石膏颗粒最大的尺寸不宜大于60mm</w:t>
            </w:r>
            <w:r>
              <w:rPr>
                <w:rFonts w:hint="eastAsia" w:cs="Times New Roman"/>
                <w:color w:val="000000" w:themeColor="text1"/>
                <w:kern w:val="0"/>
                <w:sz w:val="24"/>
                <w:szCs w:val="20"/>
                <w:highlight w:val="none"/>
                <w:lang w:val="en-US"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破碎后的磷石膏经皮带输送至三仓配料系统</w:t>
            </w:r>
            <w:r>
              <w:rPr>
                <w:rFonts w:hint="eastAsia"/>
                <w:color w:val="000000" w:themeColor="text1"/>
                <w:sz w:val="24"/>
                <w:szCs w:val="20"/>
                <w:highlight w:val="none"/>
                <w:lang w:eastAsia="zh-CN"/>
                <w14:textFill>
                  <w14:solidFill>
                    <w14:schemeClr w14:val="tx1"/>
                  </w14:solidFill>
                </w14:textFill>
              </w:rPr>
              <w:t>。</w:t>
            </w:r>
          </w:p>
          <w:p w14:paraId="69781409">
            <w:pPr>
              <w:keepNext w:val="0"/>
              <w:keepLines w:val="0"/>
              <w:suppressLineNumbers w:val="0"/>
              <w:adjustRightInd w:val="0"/>
              <w:snapToGrid w:val="0"/>
              <w:spacing w:before="0" w:beforeAutospacing="0" w:after="0" w:afterAutospacing="0" w:line="348" w:lineRule="auto"/>
              <w:ind w:left="0" w:right="0" w:firstLine="482" w:firstLineChars="200"/>
              <w:rPr>
                <w:rFonts w:hint="eastAsia" w:eastAsia="宋体"/>
                <w:color w:val="000000" w:themeColor="text1"/>
                <w:sz w:val="24"/>
                <w:szCs w:val="20"/>
                <w:highlight w:val="none"/>
                <w:lang w:eastAsia="zh-CN"/>
                <w14:textFill>
                  <w14:solidFill>
                    <w14:schemeClr w14:val="tx1"/>
                  </w14:solidFill>
                </w14:textFill>
              </w:rPr>
            </w:pP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3</w:t>
            </w: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配料：</w:t>
            </w:r>
            <w:r>
              <w:rPr>
                <w:rFonts w:hint="eastAsia"/>
                <w:color w:val="000000" w:themeColor="text1"/>
                <w:sz w:val="24"/>
                <w:szCs w:val="20"/>
                <w:highlight w:val="none"/>
                <w14:textFill>
                  <w14:solidFill>
                    <w14:schemeClr w14:val="tx1"/>
                  </w14:solidFill>
                </w14:textFill>
              </w:rPr>
              <w:t xml:space="preserve">根据原料含水率实时补水，将磷石膏含水率调节至 </w:t>
            </w:r>
            <w:r>
              <w:rPr>
                <w:rFonts w:hint="eastAsia"/>
                <w:color w:val="000000" w:themeColor="text1"/>
                <w:sz w:val="24"/>
                <w:szCs w:val="20"/>
                <w:highlight w:val="none"/>
                <w:lang w:eastAsia="zh-CN"/>
                <w14:textFill>
                  <w14:solidFill>
                    <w14:schemeClr w14:val="tx1"/>
                  </w14:solidFill>
                </w14:textFill>
              </w:rPr>
              <w:t>20%～25%</w:t>
            </w:r>
            <w:r>
              <w:rPr>
                <w:rFonts w:hint="eastAsia"/>
                <w:color w:val="000000" w:themeColor="text1"/>
                <w:sz w:val="24"/>
                <w:szCs w:val="20"/>
                <w:highlight w:val="none"/>
                <w14:textFill>
                  <w14:solidFill>
                    <w14:schemeClr w14:val="tx1"/>
                  </w14:solidFill>
                </w14:textFill>
              </w:rPr>
              <w:t>；同时按比例自动添加固化剂和生石灰（其中生石灰2%、固化剂4%；药剂暂存于</w:t>
            </w:r>
            <w:r>
              <w:rPr>
                <w:rFonts w:hint="eastAsia"/>
                <w:color w:val="000000" w:themeColor="text1"/>
                <w:sz w:val="24"/>
                <w:szCs w:val="20"/>
                <w:highlight w:val="none"/>
                <w:lang w:val="en-US" w:eastAsia="zh-CN"/>
                <w14:textFill>
                  <w14:solidFill>
                    <w14:schemeClr w14:val="tx1"/>
                  </w14:solidFill>
                </w14:textFill>
              </w:rPr>
              <w:t>6</w:t>
            </w:r>
            <w:r>
              <w:rPr>
                <w:rFonts w:hint="eastAsia"/>
                <w:color w:val="000000" w:themeColor="text1"/>
                <w:sz w:val="24"/>
                <w:szCs w:val="20"/>
                <w:highlight w:val="none"/>
                <w14:textFill>
                  <w14:solidFill>
                    <w14:schemeClr w14:val="tx1"/>
                  </w14:solidFill>
                </w14:textFill>
              </w:rPr>
              <w:t>个密闭储罐）</w:t>
            </w:r>
            <w:r>
              <w:rPr>
                <w:rFonts w:hint="eastAsia"/>
                <w:color w:val="000000" w:themeColor="text1"/>
                <w:sz w:val="24"/>
                <w:szCs w:val="20"/>
                <w:highlight w:val="none"/>
                <w:lang w:eastAsia="zh-CN"/>
                <w14:textFill>
                  <w14:solidFill>
                    <w14:schemeClr w14:val="tx1"/>
                  </w14:solidFill>
                </w14:textFill>
              </w:rPr>
              <w:t>。</w:t>
            </w:r>
          </w:p>
          <w:p w14:paraId="7F6890C9">
            <w:pPr>
              <w:keepNext w:val="0"/>
              <w:keepLines w:val="0"/>
              <w:suppressLineNumbers w:val="0"/>
              <w:adjustRightInd w:val="0"/>
              <w:snapToGrid w:val="0"/>
              <w:spacing w:before="0" w:beforeAutospacing="0" w:after="0" w:afterAutospacing="0" w:line="348" w:lineRule="auto"/>
              <w:ind w:left="0" w:right="0" w:firstLine="482" w:firstLineChars="200"/>
              <w:rPr>
                <w:rFonts w:hint="eastAsia"/>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4</w:t>
            </w: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混合搅拌：</w:t>
            </w:r>
            <w:r>
              <w:rPr>
                <w:rFonts w:hint="eastAsia"/>
                <w:color w:val="000000" w:themeColor="text1"/>
                <w:sz w:val="24"/>
                <w:szCs w:val="20"/>
                <w:highlight w:val="none"/>
                <w14:textFill>
                  <w14:solidFill>
                    <w14:schemeClr w14:val="tx1"/>
                  </w14:solidFill>
                </w14:textFill>
              </w:rPr>
              <w:t>随后通过计量皮带输送机均匀给料至振动双轴搅拌机，在搅拌机内进行强力混合，使药剂与磷石膏充分接触反应；混合均匀的改性磷石膏经全封闭皮带输送系统转运至待检区堆存养护。</w:t>
            </w:r>
          </w:p>
          <w:p w14:paraId="0BF9C3D8">
            <w:pPr>
              <w:keepNext w:val="0"/>
              <w:keepLines w:val="0"/>
              <w:suppressLineNumbers w:val="0"/>
              <w:adjustRightInd w:val="0"/>
              <w:snapToGrid w:val="0"/>
              <w:spacing w:before="0" w:beforeAutospacing="0" w:after="0" w:afterAutospacing="0" w:line="348" w:lineRule="auto"/>
              <w:ind w:left="0" w:right="0" w:firstLine="482" w:firstLineChars="200"/>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pP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5</w:t>
            </w: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养护：</w:t>
            </w:r>
            <w:r>
              <w:rPr>
                <w:rFonts w:hint="eastAsia"/>
                <w:color w:val="000000" w:themeColor="text1"/>
                <w:sz w:val="24"/>
                <w:szCs w:val="20"/>
                <w:highlight w:val="none"/>
                <w14:textFill>
                  <w14:solidFill>
                    <w14:schemeClr w14:val="tx1"/>
                  </w14:solidFill>
                </w14:textFill>
              </w:rPr>
              <w:t>改性磷石膏需在待检区堆存养护</w:t>
            </w:r>
            <w:r>
              <w:rPr>
                <w:rFonts w:hint="eastAsia"/>
                <w:color w:val="000000" w:themeColor="text1"/>
                <w:sz w:val="24"/>
                <w:szCs w:val="20"/>
                <w:highlight w:val="none"/>
                <w:lang w:val="en-US" w:eastAsia="zh-CN"/>
                <w14:textFill>
                  <w14:solidFill>
                    <w14:schemeClr w14:val="tx1"/>
                  </w14:solidFill>
                </w14:textFill>
              </w:rPr>
              <w:t>3天</w:t>
            </w:r>
            <w:r>
              <w:rPr>
                <w:rFonts w:hint="eastAsia"/>
                <w:color w:val="000000" w:themeColor="text1"/>
                <w:sz w:val="24"/>
                <w:szCs w:val="20"/>
                <w:highlight w:val="none"/>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车间内设置喷雾装置进行洒水降尘</w:t>
            </w:r>
            <w:r>
              <w:rPr>
                <w:rFonts w:hint="eastAsia"/>
                <w:color w:val="000000" w:themeColor="text1"/>
                <w:sz w:val="24"/>
                <w:szCs w:val="20"/>
                <w:highlight w:val="none"/>
                <w14:textFill>
                  <w14:solidFill>
                    <w14:schemeClr w14:val="tx1"/>
                  </w14:solidFill>
                </w14:textFill>
              </w:rPr>
              <w:t>。养护完成后改性磷石膏需按《改性磷石膏用于矿山废弃地生态修复回填技术规范》（DB53/T 1269-2024）要求进行检测，每3万吨或每批次（以先到为准）检测一次，检测指标包括浸出毒性（氟化物、总磷等）、放射性等。不合格产品返回搅拌机重新改性，直至达标。浸出液指标须满足《污水综合排放标准》（GB 8978-1996）一级标准且pH值在6~9范围内，同时符合GB 18599-2020第I类一般工业固体废物要求。检测合格后外运至</w:t>
            </w:r>
            <w:r>
              <w:rPr>
                <w:rFonts w:hint="eastAsia"/>
                <w:color w:val="000000" w:themeColor="text1"/>
                <w:sz w:val="24"/>
                <w:szCs w:val="20"/>
                <w:highlight w:val="none"/>
                <w:lang w:val="en-US" w:eastAsia="zh-CN"/>
                <w14:textFill>
                  <w14:solidFill>
                    <w14:schemeClr w14:val="tx1"/>
                  </w14:solidFill>
                </w14:textFill>
              </w:rPr>
              <w:t>令友采石场</w:t>
            </w:r>
            <w:r>
              <w:rPr>
                <w:rFonts w:hint="eastAsia"/>
                <w:color w:val="000000" w:themeColor="text1"/>
                <w:sz w:val="24"/>
                <w:szCs w:val="20"/>
                <w:highlight w:val="none"/>
                <w14:textFill>
                  <w14:solidFill>
                    <w14:schemeClr w14:val="tx1"/>
                  </w14:solidFill>
                </w14:textFill>
              </w:rPr>
              <w:t>废弃矿坑回填；不合格批次全部返回搅拌机重新改性，直至达标。</w:t>
            </w:r>
          </w:p>
          <w:p w14:paraId="3610B6F5">
            <w:pPr>
              <w:keepNext w:val="0"/>
              <w:keepLines w:val="0"/>
              <w:suppressLineNumbers w:val="0"/>
              <w:adjustRightInd w:val="0"/>
              <w:snapToGrid w:val="0"/>
              <w:spacing w:before="0" w:beforeAutospacing="0" w:after="0" w:afterAutospacing="0" w:line="348" w:lineRule="auto"/>
              <w:ind w:left="0" w:right="0" w:firstLine="482" w:firstLineChars="200"/>
              <w:rPr>
                <w:rFonts w:hint="eastAsia" w:ascii="Times New Roman" w:hAnsi="Times New Roman" w:eastAsia="宋体" w:cs="Times New Roman"/>
                <w:b/>
                <w:bCs/>
                <w:color w:val="000000" w:themeColor="text1"/>
                <w:kern w:val="0"/>
                <w:sz w:val="24"/>
                <w:szCs w:val="20"/>
                <w:highlight w:val="none"/>
                <w:lang w:val="en-US" w:eastAsia="zh-CN"/>
                <w14:textFill>
                  <w14:solidFill>
                    <w14:schemeClr w14:val="tx1"/>
                  </w14:solidFill>
                </w14:textFill>
              </w:rPr>
            </w:pPr>
            <w:r>
              <w:rPr>
                <w:rFonts w:hint="eastAsia" w:cs="Times New Roman"/>
                <w:b/>
                <w:bCs/>
                <w:color w:val="000000" w:themeColor="text1"/>
                <w:kern w:val="0"/>
                <w:sz w:val="24"/>
                <w:szCs w:val="20"/>
                <w:highlight w:val="none"/>
                <w:lang w:val="en-US" w:eastAsia="zh-CN"/>
                <w14:textFill>
                  <w14:solidFill>
                    <w14:schemeClr w14:val="tx1"/>
                  </w14:solidFill>
                </w14:textFill>
              </w:rPr>
              <w:t>（6）</w:t>
            </w:r>
            <w:r>
              <w:rPr>
                <w:rFonts w:hint="eastAsia" w:ascii="Times New Roman" w:hAnsi="Times New Roman" w:eastAsia="宋体" w:cs="Times New Roman"/>
                <w:b/>
                <w:bCs/>
                <w:color w:val="000000" w:themeColor="text1"/>
                <w:kern w:val="0"/>
                <w:sz w:val="24"/>
                <w:szCs w:val="20"/>
                <w:highlight w:val="none"/>
                <w:lang w:val="en-US" w:eastAsia="zh-CN"/>
                <w14:textFill>
                  <w14:solidFill>
                    <w14:schemeClr w14:val="tx1"/>
                  </w14:solidFill>
                </w14:textFill>
              </w:rPr>
              <w:t>检测</w:t>
            </w:r>
          </w:p>
          <w:p w14:paraId="2D3A896E">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改性完成的磷石膏</w:t>
            </w:r>
            <w:r>
              <w:rPr>
                <w:rFonts w:hint="eastAsia"/>
                <w:color w:val="000000" w:themeColor="text1"/>
                <w:kern w:val="0"/>
                <w:sz w:val="24"/>
                <w:szCs w:val="20"/>
                <w:highlight w:val="none"/>
                <w:lang w:eastAsia="zh-CN"/>
                <w14:textFill>
                  <w14:solidFill>
                    <w14:schemeClr w14:val="tx1"/>
                  </w14:solidFill>
                </w14:textFill>
              </w:rPr>
              <w:t>由</w:t>
            </w:r>
            <w:r>
              <w:rPr>
                <w:rFonts w:hint="eastAsia"/>
                <w:color w:val="000000" w:themeColor="text1"/>
                <w:kern w:val="0"/>
                <w:sz w:val="24"/>
                <w:szCs w:val="20"/>
                <w:highlight w:val="none"/>
                <w14:textFill>
                  <w14:solidFill>
                    <w14:schemeClr w14:val="tx1"/>
                  </w14:solidFill>
                </w14:textFill>
              </w:rPr>
              <w:t>皮带输送至待检区内等待监测，</w:t>
            </w:r>
            <w:r>
              <w:rPr>
                <w:rFonts w:hint="default"/>
                <w:color w:val="000000" w:themeColor="text1"/>
                <w:kern w:val="0"/>
                <w:sz w:val="24"/>
                <w:szCs w:val="20"/>
                <w:highlight w:val="none"/>
                <w14:textFill>
                  <w14:solidFill>
                    <w14:schemeClr w14:val="tx1"/>
                  </w14:solidFill>
                </w14:textFill>
              </w:rPr>
              <w:t>堆置待检区的</w:t>
            </w:r>
            <w:r>
              <w:rPr>
                <w:rFonts w:hint="eastAsia"/>
                <w:color w:val="000000" w:themeColor="text1"/>
                <w:kern w:val="0"/>
                <w:sz w:val="24"/>
                <w:szCs w:val="20"/>
                <w:highlight w:val="none"/>
                <w14:textFill>
                  <w14:solidFill>
                    <w14:schemeClr w14:val="tx1"/>
                  </w14:solidFill>
                </w14:textFill>
              </w:rPr>
              <w:t>改性磷石膏</w:t>
            </w:r>
            <w:r>
              <w:rPr>
                <w:rFonts w:hint="default"/>
                <w:color w:val="000000" w:themeColor="text1"/>
                <w:kern w:val="0"/>
                <w:sz w:val="24"/>
                <w:szCs w:val="20"/>
                <w:highlight w:val="none"/>
                <w14:textFill>
                  <w14:solidFill>
                    <w14:schemeClr w14:val="tx1"/>
                  </w14:solidFill>
                </w14:textFill>
              </w:rPr>
              <w:t>需</w:t>
            </w:r>
            <w:r>
              <w:rPr>
                <w:rFonts w:hint="eastAsia"/>
                <w:color w:val="000000" w:themeColor="text1"/>
                <w:kern w:val="0"/>
                <w:sz w:val="24"/>
                <w:szCs w:val="20"/>
                <w:highlight w:val="none"/>
                <w14:textFill>
                  <w14:solidFill>
                    <w14:schemeClr w14:val="tx1"/>
                  </w14:solidFill>
                </w14:textFill>
              </w:rPr>
              <w:t>按批/30000t进行检测，</w:t>
            </w:r>
            <w:r>
              <w:rPr>
                <w:rStyle w:val="56"/>
                <w:rFonts w:hint="eastAsia"/>
                <w:color w:val="000000" w:themeColor="text1"/>
                <w:kern w:val="0"/>
                <w:sz w:val="24"/>
                <w:szCs w:val="20"/>
                <w:highlight w:val="none"/>
                <w14:textFill>
                  <w14:solidFill>
                    <w14:schemeClr w14:val="tx1"/>
                  </w14:solidFill>
                </w14:textFill>
              </w:rPr>
              <w:t>经</w:t>
            </w:r>
            <w:r>
              <w:rPr>
                <w:rFonts w:hint="eastAsia"/>
                <w:color w:val="000000" w:themeColor="text1"/>
                <w:kern w:val="0"/>
                <w:sz w:val="24"/>
                <w:szCs w:val="20"/>
                <w:highlight w:val="none"/>
                <w14:textFill>
                  <w14:solidFill>
                    <w14:schemeClr w14:val="tx1"/>
                  </w14:solidFill>
                </w14:textFill>
              </w:rPr>
              <w:t>检测满足《改性磷石膏用于矿山废弃地生态修复回填技术规范》</w:t>
            </w:r>
            <w:r>
              <w:rPr>
                <w:rFonts w:hint="default"/>
                <w:color w:val="000000" w:themeColor="text1"/>
                <w:kern w:val="0"/>
                <w:sz w:val="24"/>
                <w:szCs w:val="20"/>
                <w:highlight w:val="none"/>
                <w14:textFill>
                  <w14:solidFill>
                    <w14:schemeClr w14:val="tx1"/>
                  </w14:solidFill>
                </w14:textFill>
              </w:rPr>
              <w:t>（DB53/T</w:t>
            </w:r>
            <w:r>
              <w:rPr>
                <w:rFonts w:hint="eastAsia"/>
                <w:color w:val="000000" w:themeColor="text1"/>
                <w:kern w:val="0"/>
                <w:sz w:val="24"/>
                <w:szCs w:val="20"/>
                <w:highlight w:val="none"/>
                <w14:textFill>
                  <w14:solidFill>
                    <w14:schemeClr w14:val="tx1"/>
                  </w14:solidFill>
                </w14:textFill>
              </w:rPr>
              <w:t>1269</w:t>
            </w:r>
            <w:r>
              <w:rPr>
                <w:rFonts w:hint="default"/>
                <w:color w:val="000000" w:themeColor="text1"/>
                <w:kern w:val="0"/>
                <w:sz w:val="24"/>
                <w:szCs w:val="20"/>
                <w:highlight w:val="none"/>
                <w14:textFill>
                  <w14:solidFill>
                    <w14:schemeClr w14:val="tx1"/>
                  </w14:solidFill>
                </w14:textFill>
              </w:rPr>
              <w:t>—202</w:t>
            </w:r>
            <w:r>
              <w:rPr>
                <w:rFonts w:hint="eastAsia"/>
                <w:color w:val="000000" w:themeColor="text1"/>
                <w:kern w:val="0"/>
                <w:sz w:val="24"/>
                <w:szCs w:val="20"/>
                <w:highlight w:val="none"/>
                <w14:textFill>
                  <w14:solidFill>
                    <w14:schemeClr w14:val="tx1"/>
                  </w14:solidFill>
                </w14:textFill>
              </w:rPr>
              <w:t>4</w:t>
            </w:r>
            <w:r>
              <w:rPr>
                <w:rFonts w:hint="default"/>
                <w:color w:val="000000" w:themeColor="text1"/>
                <w:kern w:val="0"/>
                <w:sz w:val="24"/>
                <w:szCs w:val="20"/>
                <w:highlight w:val="none"/>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中改性磷石膏要求</w:t>
            </w:r>
            <w:r>
              <w:rPr>
                <w:rFonts w:hint="default"/>
                <w:color w:val="000000" w:themeColor="text1"/>
                <w:kern w:val="0"/>
                <w:sz w:val="24"/>
                <w:szCs w:val="20"/>
                <w:highlight w:val="none"/>
                <w14:textFill>
                  <w14:solidFill>
                    <w14:schemeClr w14:val="tx1"/>
                  </w14:solidFill>
                </w14:textFill>
              </w:rPr>
              <w:t>的规定后，</w:t>
            </w:r>
            <w:r>
              <w:rPr>
                <w:rFonts w:hint="eastAsia"/>
                <w:color w:val="000000" w:themeColor="text1"/>
                <w:kern w:val="0"/>
                <w:sz w:val="24"/>
                <w:szCs w:val="20"/>
                <w:highlight w:val="none"/>
                <w14:textFill>
                  <w14:solidFill>
                    <w14:schemeClr w14:val="tx1"/>
                  </w14:solidFill>
                </w14:textFill>
              </w:rPr>
              <w:t>及时运输至</w:t>
            </w:r>
            <w:r>
              <w:rPr>
                <w:rFonts w:hint="eastAsia"/>
                <w:color w:val="000000" w:themeColor="text1"/>
                <w:kern w:val="0"/>
                <w:sz w:val="24"/>
                <w:szCs w:val="20"/>
                <w:highlight w:val="none"/>
                <w:lang w:val="en-US" w:eastAsia="zh-CN"/>
                <w14:textFill>
                  <w14:solidFill>
                    <w14:schemeClr w14:val="tx1"/>
                  </w14:solidFill>
                </w14:textFill>
              </w:rPr>
              <w:t>令有采石场</w:t>
            </w:r>
            <w:r>
              <w:rPr>
                <w:rFonts w:hint="eastAsia"/>
                <w:color w:val="000000" w:themeColor="text1"/>
                <w:kern w:val="0"/>
                <w:sz w:val="24"/>
                <w:szCs w:val="20"/>
                <w:highlight w:val="none"/>
                <w14:textFill>
                  <w14:solidFill>
                    <w14:schemeClr w14:val="tx1"/>
                  </w14:solidFill>
                </w14:textFill>
              </w:rPr>
              <w:t>环境污染综合治理及生态修复工程</w:t>
            </w:r>
            <w:r>
              <w:rPr>
                <w:rFonts w:hint="default"/>
                <w:color w:val="000000" w:themeColor="text1"/>
                <w:kern w:val="0"/>
                <w:sz w:val="24"/>
                <w:szCs w:val="20"/>
                <w:highlight w:val="none"/>
                <w14:textFill>
                  <w14:solidFill>
                    <w14:schemeClr w14:val="tx1"/>
                  </w14:solidFill>
                </w14:textFill>
              </w:rPr>
              <w:t>矿坑</w:t>
            </w:r>
            <w:r>
              <w:rPr>
                <w:rFonts w:hint="eastAsia"/>
                <w:color w:val="000000" w:themeColor="text1"/>
                <w:kern w:val="0"/>
                <w:sz w:val="24"/>
                <w:szCs w:val="20"/>
                <w:highlight w:val="none"/>
                <w14:textFill>
                  <w14:solidFill>
                    <w14:schemeClr w14:val="tx1"/>
                  </w14:solidFill>
                </w14:textFill>
              </w:rPr>
              <w:t>回填，当发现</w:t>
            </w:r>
            <w:r>
              <w:rPr>
                <w:rFonts w:hint="default"/>
                <w:color w:val="000000" w:themeColor="text1"/>
                <w:kern w:val="0"/>
                <w:sz w:val="24"/>
                <w:szCs w:val="20"/>
                <w:highlight w:val="none"/>
                <w14:textFill>
                  <w14:solidFill>
                    <w14:schemeClr w14:val="tx1"/>
                  </w14:solidFill>
                </w14:textFill>
              </w:rPr>
              <w:t>检测不合格的改性磷石膏</w:t>
            </w:r>
            <w:r>
              <w:rPr>
                <w:rFonts w:hint="eastAsia"/>
                <w:color w:val="000000" w:themeColor="text1"/>
                <w:kern w:val="0"/>
                <w:sz w:val="24"/>
                <w:szCs w:val="20"/>
                <w:highlight w:val="none"/>
                <w14:textFill>
                  <w14:solidFill>
                    <w14:schemeClr w14:val="tx1"/>
                  </w14:solidFill>
                </w14:textFill>
              </w:rPr>
              <w:t>，同一批次全部由装载机直接送回</w:t>
            </w:r>
            <w:r>
              <w:rPr>
                <w:rFonts w:hint="eastAsia"/>
                <w:color w:val="000000" w:themeColor="text1"/>
                <w:kern w:val="0"/>
                <w:sz w:val="24"/>
                <w:szCs w:val="20"/>
                <w:highlight w:val="none"/>
                <w:lang w:val="en-US" w:eastAsia="zh-CN"/>
                <w14:textFill>
                  <w14:solidFill>
                    <w14:schemeClr w14:val="tx1"/>
                  </w14:solidFill>
                </w14:textFill>
              </w:rPr>
              <w:t>配料工段</w:t>
            </w:r>
            <w:r>
              <w:rPr>
                <w:rFonts w:hint="default"/>
                <w:color w:val="000000" w:themeColor="text1"/>
                <w:kern w:val="0"/>
                <w:sz w:val="24"/>
                <w:szCs w:val="20"/>
                <w:highlight w:val="none"/>
                <w14:textFill>
                  <w14:solidFill>
                    <w14:schemeClr w14:val="tx1"/>
                  </w14:solidFill>
                </w14:textFill>
              </w:rPr>
              <w:t>重新改性。</w:t>
            </w:r>
          </w:p>
          <w:p w14:paraId="25372F86">
            <w:pPr>
              <w:keepNext w:val="0"/>
              <w:keepLines w:val="0"/>
              <w:suppressLineNumbers w:val="0"/>
              <w:adjustRightInd w:val="0"/>
              <w:snapToGrid w:val="0"/>
              <w:spacing w:before="0" w:beforeAutospacing="0" w:after="0" w:afterAutospacing="0" w:line="348" w:lineRule="auto"/>
              <w:ind w:left="0" w:right="0" w:firstLine="480" w:firstLineChars="200"/>
              <w:rPr>
                <w:rFonts w:hint="eastAsia" w:eastAsia="宋体"/>
                <w:color w:val="000000" w:themeColor="text1"/>
                <w:kern w:val="0"/>
                <w:sz w:val="24"/>
                <w:szCs w:val="20"/>
                <w:highlight w:val="none"/>
                <w:lang w:eastAsia="zh-CN"/>
                <w14:textFill>
                  <w14:solidFill>
                    <w14:schemeClr w14:val="tx1"/>
                  </w14:solidFill>
                </w14:textFill>
              </w:rPr>
            </w:pPr>
            <w:r>
              <w:rPr>
                <w:rFonts w:hint="eastAsia" w:eastAsia="宋体"/>
                <w:color w:val="000000" w:themeColor="text1"/>
                <w:kern w:val="0"/>
                <w:sz w:val="24"/>
                <w:szCs w:val="20"/>
                <w:highlight w:val="none"/>
                <w:lang w:eastAsia="zh-CN"/>
                <w14:textFill>
                  <w14:solidFill>
                    <w14:schemeClr w14:val="tx1"/>
                  </w14:solidFill>
                </w14:textFill>
              </w:rPr>
              <w:object>
                <v:shape id="_x0000_i1028" o:spt="75" type="#_x0000_t75" style="height:418.85pt;width:385.45pt;" o:ole="t" filled="f" o:preferrelative="t" stroked="f" coordsize="21600,21600">
                  <v:path/>
                  <v:fill on="f" focussize="0,0"/>
                  <v:stroke on="f"/>
                  <v:imagedata r:id="rId22" o:title=""/>
                  <o:lock v:ext="edit" aspectratio="f"/>
                  <w10:wrap type="none"/>
                  <w10:anchorlock/>
                </v:shape>
                <o:OLEObject Type="Embed" ProgID="Visio.Drawing.11" ShapeID="_x0000_i1028" DrawAspect="Content" ObjectID="_1468075728" r:id="rId21">
                  <o:LockedField>false</o:LockedField>
                </o:OLEObject>
              </w:object>
            </w:r>
          </w:p>
          <w:p w14:paraId="5ECC2D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center"/>
              <w:textAlignment w:val="auto"/>
              <w:rPr>
                <w:rFonts w:hint="default"/>
                <w:b/>
                <w:bCs/>
                <w:color w:val="000000" w:themeColor="text1"/>
                <w:sz w:val="24"/>
                <w:szCs w:val="24"/>
                <w:highlight w:val="none"/>
                <w14:textFill>
                  <w14:solidFill>
                    <w14:schemeClr w14:val="tx1"/>
                  </w14:solidFill>
                </w14:textFill>
              </w:rPr>
            </w:pPr>
            <w:r>
              <w:rPr>
                <w:rFonts w:hint="default"/>
                <w:b/>
                <w:bCs/>
                <w:color w:val="000000" w:themeColor="text1"/>
                <w:sz w:val="24"/>
                <w:szCs w:val="24"/>
                <w:highlight w:val="none"/>
                <w14:textFill>
                  <w14:solidFill>
                    <w14:schemeClr w14:val="tx1"/>
                  </w14:solidFill>
                </w14:textFill>
              </w:rPr>
              <w:t>图</w:t>
            </w:r>
            <w:r>
              <w:rPr>
                <w:rFonts w:hint="eastAsia"/>
                <w:b/>
                <w:bCs/>
                <w:color w:val="000000" w:themeColor="text1"/>
                <w:sz w:val="24"/>
                <w:szCs w:val="24"/>
                <w:highlight w:val="none"/>
                <w:lang w:val="en-US" w:eastAsia="zh-CN"/>
                <w14:textFill>
                  <w14:solidFill>
                    <w14:schemeClr w14:val="tx1"/>
                  </w14:solidFill>
                </w14:textFill>
              </w:rPr>
              <w:t>2-4</w:t>
            </w:r>
            <w:r>
              <w:rPr>
                <w:rFonts w:hint="default"/>
                <w:b/>
                <w:bCs/>
                <w:color w:val="000000" w:themeColor="text1"/>
                <w:sz w:val="24"/>
                <w:szCs w:val="24"/>
                <w:highlight w:val="none"/>
                <w14:textFill>
                  <w14:solidFill>
                    <w14:schemeClr w14:val="tx1"/>
                  </w14:solidFill>
                </w14:textFill>
              </w:rPr>
              <w:t xml:space="preserve">  磷石膏无害化工艺流程</w:t>
            </w:r>
            <w:r>
              <w:rPr>
                <w:rFonts w:hint="eastAsia"/>
                <w:b/>
                <w:bCs/>
                <w:color w:val="000000" w:themeColor="text1"/>
                <w:sz w:val="24"/>
                <w:szCs w:val="24"/>
                <w:highlight w:val="none"/>
                <w:lang w:eastAsia="zh-CN"/>
                <w14:textFill>
                  <w14:solidFill>
                    <w14:schemeClr w14:val="tx1"/>
                  </w14:solidFill>
                </w14:textFill>
              </w:rPr>
              <w:t>及产污环节</w:t>
            </w:r>
            <w:r>
              <w:rPr>
                <w:rFonts w:hint="default"/>
                <w:b/>
                <w:bCs/>
                <w:color w:val="000000" w:themeColor="text1"/>
                <w:sz w:val="24"/>
                <w:szCs w:val="24"/>
                <w:highlight w:val="none"/>
                <w14:textFill>
                  <w14:solidFill>
                    <w14:schemeClr w14:val="tx1"/>
                  </w14:solidFill>
                </w14:textFill>
              </w:rPr>
              <w:t>图</w:t>
            </w:r>
          </w:p>
          <w:p w14:paraId="653237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b/>
                <w:color w:val="000000" w:themeColor="text1"/>
                <w:kern w:val="0"/>
                <w:sz w:val="24"/>
                <w:szCs w:val="20"/>
                <w:highlight w:val="none"/>
                <w14:textFill>
                  <w14:solidFill>
                    <w14:schemeClr w14:val="tx1"/>
                  </w14:solidFill>
                </w14:textFill>
              </w:rPr>
            </w:pPr>
            <w:r>
              <w:rPr>
                <w:rFonts w:hint="eastAsia"/>
                <w:b/>
                <w:color w:val="000000" w:themeColor="text1"/>
                <w:kern w:val="0"/>
                <w:sz w:val="24"/>
                <w:szCs w:val="20"/>
                <w:highlight w:val="none"/>
                <w:lang w:val="en-US" w:eastAsia="zh-CN"/>
                <w14:textFill>
                  <w14:solidFill>
                    <w14:schemeClr w14:val="tx1"/>
                  </w14:solidFill>
                </w14:textFill>
              </w:rPr>
              <w:t>2.12</w:t>
            </w:r>
            <w:r>
              <w:rPr>
                <w:rFonts w:hint="default"/>
                <w:b/>
                <w:color w:val="000000" w:themeColor="text1"/>
                <w:kern w:val="0"/>
                <w:sz w:val="24"/>
                <w:szCs w:val="20"/>
                <w:highlight w:val="none"/>
                <w14:textFill>
                  <w14:solidFill>
                    <w14:schemeClr w14:val="tx1"/>
                  </w14:solidFill>
                </w14:textFill>
              </w:rPr>
              <w:t>产排污环节分析</w:t>
            </w:r>
          </w:p>
          <w:p w14:paraId="11D01D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（1）废气</w:t>
            </w:r>
          </w:p>
          <w:p w14:paraId="77EDCC69">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改性车间</w:t>
            </w: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待检区均为</w:t>
            </w:r>
            <w:r>
              <w:rPr>
                <w:rFonts w:hint="default"/>
                <w:color w:val="000000" w:themeColor="text1"/>
                <w:kern w:val="0"/>
                <w:sz w:val="24"/>
                <w:szCs w:val="20"/>
                <w:highlight w:val="none"/>
                <w14:textFill>
                  <w14:solidFill>
                    <w14:schemeClr w14:val="tx1"/>
                  </w14:solidFill>
                </w14:textFill>
              </w:rPr>
              <w:t>全封闭钢结构厂房。破碎工序在封闭</w:t>
            </w:r>
            <w:r>
              <w:rPr>
                <w:rFonts w:hint="eastAsia"/>
                <w:color w:val="000000" w:themeColor="text1"/>
                <w:kern w:val="0"/>
                <w:sz w:val="24"/>
                <w:szCs w:val="20"/>
                <w:highlight w:val="none"/>
                <w:lang w:val="en-US" w:eastAsia="zh-CN"/>
                <w14:textFill>
                  <w14:solidFill>
                    <w14:schemeClr w14:val="tx1"/>
                  </w14:solidFill>
                </w14:textFill>
              </w:rPr>
              <w:t>厂房</w:t>
            </w:r>
            <w:r>
              <w:rPr>
                <w:rFonts w:hint="default"/>
                <w:color w:val="000000" w:themeColor="text1"/>
                <w:kern w:val="0"/>
                <w:sz w:val="24"/>
                <w:szCs w:val="20"/>
                <w:highlight w:val="none"/>
                <w14:textFill>
                  <w14:solidFill>
                    <w14:schemeClr w14:val="tx1"/>
                  </w14:solidFill>
                </w14:textFill>
              </w:rPr>
              <w:t>内进行，破碎口设喷淋降尘；改性核心设备为振动双轴搅拌机，其投料口、出料口等落料点设置喷淋设施；物料转运采用全封闭皮带输送机。运输车辆加盖篷布密闭运输，限速行驶；进场道路及厂区道路定期洒水降尘，保持路面湿润。施工机械及车辆使用合格燃油，加强维护保养，确保达标排放。</w:t>
            </w:r>
          </w:p>
          <w:p w14:paraId="75782AC0">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（2）废水</w:t>
            </w:r>
          </w:p>
          <w:p w14:paraId="52E2DE1B">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本项目实行严格的雨污分流，无生产废水外排。项目劳动定员</w:t>
            </w:r>
            <w:r>
              <w:rPr>
                <w:rFonts w:hint="eastAsia"/>
                <w:color w:val="000000" w:themeColor="text1"/>
                <w:kern w:val="0"/>
                <w:sz w:val="24"/>
                <w:szCs w:val="20"/>
                <w:highlight w:val="none"/>
                <w:lang w:val="en-US" w:eastAsia="zh-CN"/>
                <w14:textFill>
                  <w14:solidFill>
                    <w14:schemeClr w14:val="tx1"/>
                  </w14:solidFill>
                </w14:textFill>
              </w:rPr>
              <w:t>20</w:t>
            </w:r>
            <w:r>
              <w:rPr>
                <w:rFonts w:hint="default"/>
                <w:color w:val="000000" w:themeColor="text1"/>
                <w:kern w:val="0"/>
                <w:sz w:val="24"/>
                <w:szCs w:val="20"/>
                <w:highlight w:val="none"/>
                <w14:textFill>
                  <w14:solidFill>
                    <w14:schemeClr w14:val="tx1"/>
                  </w14:solidFill>
                </w14:textFill>
              </w:rPr>
              <w:t>人</w:t>
            </w: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均不在厂区食宿，员工产生的少量盥洗废水和如厕废水均排入租赁场地已建化粪池，处理后定期由周边居民清掏肥田</w:t>
            </w:r>
            <w:r>
              <w:rPr>
                <w:rFonts w:hint="default"/>
                <w:color w:val="000000" w:themeColor="text1"/>
                <w:kern w:val="0"/>
                <w:sz w:val="24"/>
                <w:szCs w:val="20"/>
                <w:highlight w:val="none"/>
                <w14:textFill>
                  <w14:solidFill>
                    <w14:schemeClr w14:val="tx1"/>
                  </w14:solidFill>
                </w14:textFill>
              </w:rPr>
              <w:t>。改性车间</w:t>
            </w:r>
            <w:r>
              <w:rPr>
                <w:rFonts w:hint="eastAsia"/>
                <w:color w:val="000000" w:themeColor="text1"/>
                <w:kern w:val="0"/>
                <w:sz w:val="24"/>
                <w:szCs w:val="20"/>
                <w:highlight w:val="none"/>
                <w:lang w:val="en-US" w:eastAsia="zh-CN"/>
                <w14:textFill>
                  <w14:solidFill>
                    <w14:schemeClr w14:val="tx1"/>
                  </w14:solidFill>
                </w14:textFill>
              </w:rPr>
              <w:t>及待检区均</w:t>
            </w:r>
            <w:r>
              <w:rPr>
                <w:rFonts w:hint="default"/>
                <w:color w:val="000000" w:themeColor="text1"/>
                <w:kern w:val="0"/>
                <w:sz w:val="24"/>
                <w:szCs w:val="20"/>
                <w:highlight w:val="none"/>
                <w14:textFill>
                  <w14:solidFill>
                    <w14:schemeClr w14:val="tx1"/>
                  </w14:solidFill>
                </w14:textFill>
              </w:rPr>
              <w:t>全封闭，</w:t>
            </w:r>
            <w:r>
              <w:rPr>
                <w:rFonts w:hint="eastAsia"/>
                <w:color w:val="000000" w:themeColor="text1"/>
                <w:kern w:val="0"/>
                <w:sz w:val="24"/>
                <w:szCs w:val="20"/>
                <w:highlight w:val="none"/>
                <w:lang w:val="en-US" w:eastAsia="zh-CN"/>
                <w14:textFill>
                  <w14:solidFill>
                    <w14:schemeClr w14:val="tx1"/>
                  </w14:solidFill>
                </w14:textFill>
              </w:rPr>
              <w:t>改性后的磷石膏含水率在20%-25%，在待检区暂存时会产生少量渗滤液，经车间四周导流沟收集后排入租赁场地已建的收集池中，回用于待检区洒水抑尘，不外排。</w:t>
            </w:r>
          </w:p>
          <w:p w14:paraId="3DFFFED3">
            <w:pPr>
              <w:keepNext w:val="0"/>
              <w:keepLines w:val="0"/>
              <w:suppressLineNumbers w:val="0"/>
              <w:adjustRightInd w:val="0"/>
              <w:snapToGrid w:val="0"/>
              <w:spacing w:before="0" w:beforeAutospacing="0" w:after="0" w:afterAutospacing="0" w:line="348"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（3）噪声</w:t>
            </w:r>
          </w:p>
          <w:p w14:paraId="390D2B29">
            <w:pPr>
              <w:keepNext w:val="0"/>
              <w:keepLines w:val="0"/>
              <w:suppressLineNumbers w:val="0"/>
              <w:adjustRightInd w:val="0"/>
              <w:snapToGrid w:val="0"/>
              <w:spacing w:before="0" w:beforeAutospacing="0" w:after="0" w:afterAutospacing="0" w:line="348" w:lineRule="auto"/>
              <w:ind w:left="0" w:right="0" w:firstLine="480" w:firstLineChars="200"/>
              <w:rPr>
                <w:rFonts w:hint="eastAsia" w:eastAsia="宋体"/>
                <w:color w:val="000000" w:themeColor="text1"/>
                <w:kern w:val="0"/>
                <w:sz w:val="24"/>
                <w:szCs w:val="20"/>
                <w:highlight w:val="none"/>
                <w:lang w:val="en-US" w:eastAsia="zh-CN"/>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主要为破碎机、搅拌机、风机及运输车辆噪声。通过选用低噪设备、基础减振、封闭厂房隔声、限时作业及车辆限速禁鸣等措施控制。</w:t>
            </w:r>
          </w:p>
          <w:p w14:paraId="413588A5">
            <w:pPr>
              <w:keepNext w:val="0"/>
              <w:keepLines w:val="0"/>
              <w:suppressLineNumbers w:val="0"/>
              <w:adjustRightInd w:val="0"/>
              <w:snapToGrid w:val="0"/>
              <w:spacing w:before="0" w:beforeAutospacing="0" w:after="0" w:afterAutospacing="0" w:line="348" w:lineRule="auto"/>
              <w:ind w:left="0" w:right="0" w:firstLine="480" w:firstLineChars="200"/>
              <w:rPr>
                <w:rFonts w:hint="eastAsia"/>
                <w:color w:val="000000" w:themeColor="text1"/>
                <w:kern w:val="0"/>
                <w:sz w:val="24"/>
                <w:szCs w:val="20"/>
                <w:highlight w:val="none"/>
                <w:lang w:val="en-US" w:eastAsia="zh-CN"/>
                <w14:textFill>
                  <w14:solidFill>
                    <w14:schemeClr w14:val="tx1"/>
                  </w14:solidFill>
                </w14:textFill>
              </w:rPr>
            </w:pP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4</w:t>
            </w: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固废</w:t>
            </w:r>
          </w:p>
          <w:p w14:paraId="410F0BA9">
            <w:pPr>
              <w:keepNext w:val="0"/>
              <w:keepLines w:val="0"/>
              <w:suppressLineNumbers w:val="0"/>
              <w:adjustRightInd w:val="0"/>
              <w:snapToGrid w:val="0"/>
              <w:spacing w:before="0" w:beforeAutospacing="0" w:after="0" w:afterAutospacing="0" w:line="348"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一般固废：不合格改性磷石膏返回搅拌机重新改性；</w:t>
            </w:r>
            <w:r>
              <w:rPr>
                <w:rFonts w:hint="eastAsia"/>
                <w:color w:val="000000" w:themeColor="text1"/>
                <w:sz w:val="24"/>
                <w:szCs w:val="20"/>
                <w:highlight w:val="none"/>
                <w:lang w:val="en-US" w:eastAsia="zh-CN"/>
                <w14:textFill>
                  <w14:solidFill>
                    <w14:schemeClr w14:val="tx1"/>
                  </w14:solidFill>
                </w14:textFill>
              </w:rPr>
              <w:t>员工</w:t>
            </w:r>
            <w:r>
              <w:rPr>
                <w:rFonts w:hint="eastAsia"/>
                <w:color w:val="000000" w:themeColor="text1"/>
                <w:sz w:val="24"/>
                <w:szCs w:val="20"/>
                <w:highlight w:val="none"/>
                <w14:textFill>
                  <w14:solidFill>
                    <w14:schemeClr w14:val="tx1"/>
                  </w14:solidFill>
                </w14:textFill>
              </w:rPr>
              <w:t>生活垃圾委托环卫部门清运。</w:t>
            </w:r>
          </w:p>
          <w:p w14:paraId="53A9853A">
            <w:pPr>
              <w:keepNext w:val="0"/>
              <w:keepLines w:val="0"/>
              <w:suppressLineNumbers w:val="0"/>
              <w:adjustRightInd w:val="0"/>
              <w:snapToGrid w:val="0"/>
              <w:spacing w:before="0" w:beforeAutospacing="0" w:after="0" w:afterAutospacing="0" w:line="348"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危险废物：设备维修产生的废机油（HW08），分类收集后暂存于新建危废暂存间，定期委托有资质单位处置。</w:t>
            </w:r>
          </w:p>
          <w:p w14:paraId="1CB6A08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b/>
                <w:bCs w:val="0"/>
                <w:color w:val="000000" w:themeColor="text1"/>
                <w:kern w:val="0"/>
                <w:sz w:val="24"/>
                <w:szCs w:val="20"/>
                <w:highlight w:val="none"/>
                <w:lang w:val="en-US" w:eastAsia="zh-CN"/>
                <w14:textFill>
                  <w14:solidFill>
                    <w14:schemeClr w14:val="tx1"/>
                  </w14:solidFill>
                </w14:textFill>
              </w:rPr>
            </w:pPr>
          </w:p>
        </w:tc>
      </w:tr>
      <w:tr w14:paraId="20E3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tcBorders>
            <w:shd w:val="clear" w:color="auto" w:fill="auto"/>
            <w:vAlign w:val="top"/>
          </w:tcPr>
          <w:p w14:paraId="3675CA65">
            <w:pPr>
              <w:pStyle w:val="40"/>
              <w:keepNext w:val="0"/>
              <w:keepLines w:val="0"/>
              <w:suppressLineNumbers w:val="0"/>
              <w:spacing w:before="0" w:beforeAutospacing="0" w:after="0" w:afterAutospacing="0"/>
              <w:ind w:left="0" w:right="0"/>
              <w:jc w:val="center"/>
              <w:outlineLvl w:val="0"/>
              <w:rPr>
                <w:rFonts w:hint="default" w:ascii="Times New Roman" w:hAnsi="Times New Roman"/>
                <w:color w:val="000000" w:themeColor="text1"/>
                <w:szCs w:val="24"/>
                <w:highlight w:val="none"/>
                <w14:textFill>
                  <w14:solidFill>
                    <w14:schemeClr w14:val="tx1"/>
                  </w14:solidFill>
                </w14:textFill>
              </w:rPr>
            </w:pPr>
            <w:r>
              <w:rPr>
                <w:rFonts w:hint="default" w:ascii="Times New Roman" w:hAnsi="Times New Roman"/>
                <w:bCs/>
                <w:color w:val="000000" w:themeColor="text1"/>
                <w:kern w:val="2"/>
                <w:szCs w:val="24"/>
                <w:highlight w:val="none"/>
                <w14:textFill>
                  <w14:solidFill>
                    <w14:schemeClr w14:val="tx1"/>
                  </w14:solidFill>
                </w14:textFill>
              </w:rPr>
              <w:t>与项目有关的原有环境污染问题</w:t>
            </w:r>
          </w:p>
        </w:tc>
        <w:tc>
          <w:tcPr>
            <w:tcW w:w="8604" w:type="dxa"/>
            <w:tcBorders>
              <w:top w:val="single" w:color="auto" w:sz="4" w:space="0"/>
            </w:tcBorders>
          </w:tcPr>
          <w:p w14:paraId="571DC192">
            <w:pPr>
              <w:keepNext w:val="0"/>
              <w:keepLines w:val="0"/>
              <w:suppressLineNumbers w:val="0"/>
              <w:spacing w:before="0" w:beforeAutospacing="0" w:after="0" w:afterAutospacing="0" w:line="360" w:lineRule="auto"/>
              <w:ind w:left="0" w:right="0" w:firstLine="470" w:firstLineChars="196"/>
              <w:rPr>
                <w:rFonts w:hint="default"/>
                <w:b w:val="0"/>
                <w:bCs w:val="0"/>
                <w:color w:val="000000" w:themeColor="text1"/>
                <w:sz w:val="24"/>
                <w:szCs w:val="20"/>
                <w:highlight w:val="none"/>
                <w:lang w:val="en-US" w:eastAsia="zh-CN"/>
                <w14:textFill>
                  <w14:solidFill>
                    <w14:schemeClr w14:val="tx1"/>
                  </w14:solidFill>
                </w14:textFill>
              </w:rPr>
            </w:pPr>
            <w:r>
              <w:rPr>
                <w:rFonts w:hint="eastAsia"/>
                <w:b w:val="0"/>
                <w:bCs w:val="0"/>
                <w:color w:val="000000" w:themeColor="text1"/>
                <w:sz w:val="24"/>
                <w:szCs w:val="20"/>
                <w:highlight w:val="none"/>
                <w:lang w:val="en-US" w:eastAsia="zh-CN"/>
                <w14:textFill>
                  <w14:solidFill>
                    <w14:schemeClr w14:val="tx1"/>
                  </w14:solidFill>
                </w14:textFill>
              </w:rPr>
              <w:t>云南泰康消防化工集团寻甸有限公司（以下简称“泰康化工”）成立于 2000 年，位于寻甸县塘子镇，原经营范围主要为消防化工产品的生产与销售。泰康化工于2008年建设25万吨/年磷酸铵盐（ABC)干粉灭火剂生产项目，于2008年取得原昆明市环境保护局下发的批复“昆环保复[2008]110号”，2015年建设100万具/年磷酸铵盐干粉灭火器及灭火装置项目，于2015年11月9日取得原寻甸回族彝族自治县环境保护局下发的批复“寻环[2015]147号”，2016年因经营不善停产，2017年宣告破产。泰康化工</w:t>
            </w:r>
            <w:r>
              <w:rPr>
                <w:rFonts w:hint="eastAsia" w:ascii="Times New Roman" w:hAnsi="Times New Roman" w:eastAsia="宋体" w:cs="Times New Roman"/>
                <w:color w:val="000000" w:themeColor="text1"/>
                <w:sz w:val="24"/>
                <w:szCs w:val="20"/>
                <w:highlight w:val="none"/>
                <w14:textFill>
                  <w14:solidFill>
                    <w14:schemeClr w14:val="tx1"/>
                  </w14:solidFill>
                </w14:textFill>
              </w:rPr>
              <w:t>破产后，云南亿鑫芳商贸有限公司通过司法拍卖依法取得该地块土地使用权及地上附着物使用权。2025年，中国有色金属工业昆明勘察设计研究院有限公司（项目工程总承包单位）与云南亿鑫芳商贸有限公司签订场地租赁合同，承租该地块用于</w:t>
            </w:r>
            <w:r>
              <w:rPr>
                <w:rFonts w:hint="eastAsia" w:cs="Times New Roman"/>
                <w:color w:val="000000" w:themeColor="text1"/>
                <w:sz w:val="24"/>
                <w:szCs w:val="20"/>
                <w:highlight w:val="none"/>
                <w:lang w:val="en-US" w:eastAsia="zh-CN"/>
                <w14:textFill>
                  <w14:solidFill>
                    <w14:schemeClr w14:val="tx1"/>
                  </w14:solidFill>
                </w14:textFill>
              </w:rPr>
              <w:t>本项目建设</w:t>
            </w:r>
            <w:r>
              <w:rPr>
                <w:rFonts w:hint="eastAsia" w:ascii="Times New Roman" w:hAnsi="Times New Roman" w:eastAsia="宋体" w:cs="Times New Roman"/>
                <w:color w:val="000000" w:themeColor="text1"/>
                <w:sz w:val="24"/>
                <w:szCs w:val="20"/>
                <w:highlight w:val="none"/>
                <w14:textFill>
                  <w14:solidFill>
                    <w14:schemeClr w14:val="tx1"/>
                  </w14:solidFill>
                </w14:textFill>
              </w:rPr>
              <w:t>。</w:t>
            </w:r>
          </w:p>
          <w:p w14:paraId="61685E25">
            <w:pPr>
              <w:keepNext w:val="0"/>
              <w:keepLines w:val="0"/>
              <w:suppressLineNumbers w:val="0"/>
              <w:shd w:val="clear"/>
              <w:spacing w:before="0" w:beforeAutospacing="0" w:after="0" w:afterAutospacing="0" w:line="360" w:lineRule="auto"/>
              <w:ind w:left="0" w:right="0" w:firstLine="470" w:firstLineChars="196"/>
              <w:rPr>
                <w:rFonts w:hint="eastAsia"/>
                <w:b w:val="0"/>
                <w:bCs w:val="0"/>
                <w:color w:val="000000" w:themeColor="text1"/>
                <w:sz w:val="24"/>
                <w:szCs w:val="20"/>
                <w:highlight w:val="none"/>
                <w14:textFill>
                  <w14:solidFill>
                    <w14:schemeClr w14:val="tx1"/>
                  </w14:solidFill>
                </w14:textFill>
              </w:rPr>
            </w:pPr>
            <w:r>
              <w:rPr>
                <w:rFonts w:hint="eastAsia"/>
                <w:b w:val="0"/>
                <w:bCs w:val="0"/>
                <w:color w:val="000000" w:themeColor="text1"/>
                <w:sz w:val="24"/>
                <w:szCs w:val="20"/>
                <w:highlight w:val="none"/>
                <w14:textFill>
                  <w14:solidFill>
                    <w14:schemeClr w14:val="tx1"/>
                  </w14:solidFill>
                </w14:textFill>
              </w:rPr>
              <w:t>目前厂区内遗留有原有厂房、仓库及办公设施等构筑物。</w:t>
            </w:r>
            <w:r>
              <w:rPr>
                <w:rFonts w:hint="eastAsia"/>
                <w:b w:val="0"/>
                <w:bCs w:val="0"/>
                <w:color w:val="000000" w:themeColor="text1"/>
                <w:sz w:val="24"/>
                <w:szCs w:val="20"/>
                <w:highlight w:val="none"/>
                <w:lang w:val="en-US" w:eastAsia="zh-CN"/>
                <w14:textFill>
                  <w14:solidFill>
                    <w14:schemeClr w14:val="tx1"/>
                  </w14:solidFill>
                </w14:textFill>
              </w:rPr>
              <w:t>本项目租赁泰康化工闲置场地进行建设，经现场踏勘，</w:t>
            </w:r>
            <w:r>
              <w:rPr>
                <w:rFonts w:hint="eastAsia"/>
                <w:b w:val="0"/>
                <w:bCs w:val="0"/>
                <w:color w:val="000000" w:themeColor="text1"/>
                <w:sz w:val="24"/>
                <w:szCs w:val="20"/>
                <w:highlight w:val="none"/>
                <w14:textFill>
                  <w14:solidFill>
                    <w14:schemeClr w14:val="tx1"/>
                  </w14:solidFill>
                </w14:textFill>
              </w:rPr>
              <w:t>原厂址无历史遗留环境污染问题，</w:t>
            </w:r>
            <w:r>
              <w:rPr>
                <w:rFonts w:hint="eastAsia"/>
                <w:b w:val="0"/>
                <w:bCs w:val="0"/>
                <w:color w:val="000000" w:themeColor="text1"/>
                <w:sz w:val="24"/>
                <w:szCs w:val="20"/>
                <w:highlight w:val="none"/>
                <w:lang w:val="en-US" w:eastAsia="zh-CN"/>
                <w14:textFill>
                  <w14:solidFill>
                    <w14:schemeClr w14:val="tx1"/>
                  </w14:solidFill>
                </w14:textFill>
              </w:rPr>
              <w:t>遗留的两座仓库，及仓库外场地均已进行了硬化，</w:t>
            </w:r>
            <w:r>
              <w:rPr>
                <w:rFonts w:hint="eastAsia"/>
                <w:b w:val="0"/>
                <w:bCs w:val="0"/>
                <w:color w:val="000000" w:themeColor="text1"/>
                <w:sz w:val="24"/>
                <w:szCs w:val="20"/>
                <w:highlight w:val="none"/>
                <w14:textFill>
                  <w14:solidFill>
                    <w14:schemeClr w14:val="tx1"/>
                  </w14:solidFill>
                </w14:textFill>
              </w:rPr>
              <w:t>场地现状满足本项目租赁使用要求。</w:t>
            </w:r>
          </w:p>
          <w:p w14:paraId="17F7E8B1">
            <w:pPr>
              <w:keepNext w:val="0"/>
              <w:keepLines w:val="0"/>
              <w:suppressLineNumbers w:val="0"/>
              <w:spacing w:before="0" w:beforeAutospacing="0" w:after="0" w:afterAutospacing="0"/>
              <w:ind w:left="0" w:right="0"/>
              <w:rPr>
                <w:rFonts w:hint="default"/>
                <w:color w:val="000000" w:themeColor="text1"/>
                <w:sz w:val="20"/>
                <w:szCs w:val="20"/>
                <w:highlight w:val="none"/>
                <w:lang w:val="en-US" w:eastAsia="zh-CN"/>
                <w14:textFill>
                  <w14:solidFill>
                    <w14:schemeClr w14:val="tx1"/>
                  </w14:solidFill>
                </w14:textFill>
              </w:rPr>
            </w:pPr>
          </w:p>
          <w:p w14:paraId="40EF89E2">
            <w:pPr>
              <w:pStyle w:val="17"/>
              <w:keepNext w:val="0"/>
              <w:keepLines w:val="0"/>
              <w:suppressLineNumbers w:val="0"/>
              <w:bidi w:val="0"/>
              <w:spacing w:beforeAutospacing="0" w:afterAutospacing="0"/>
              <w:ind w:left="0"/>
              <w:rPr>
                <w:rFonts w:hint="default"/>
                <w:color w:val="000000" w:themeColor="text1"/>
                <w:szCs w:val="20"/>
                <w:highlight w:val="none"/>
                <w:lang w:val="en-US" w:eastAsia="zh-CN"/>
                <w14:textFill>
                  <w14:solidFill>
                    <w14:schemeClr w14:val="tx1"/>
                  </w14:solidFill>
                </w14:textFill>
              </w:rPr>
            </w:pPr>
          </w:p>
          <w:p w14:paraId="2F8B5B29">
            <w:pPr>
              <w:pStyle w:val="17"/>
              <w:keepNext w:val="0"/>
              <w:keepLines w:val="0"/>
              <w:suppressLineNumbers w:val="0"/>
              <w:bidi w:val="0"/>
              <w:spacing w:beforeAutospacing="0" w:afterAutospacing="0"/>
              <w:ind w:left="0"/>
              <w:rPr>
                <w:rFonts w:hint="default"/>
                <w:color w:val="000000" w:themeColor="text1"/>
                <w:szCs w:val="20"/>
                <w:highlight w:val="none"/>
                <w:lang w:val="en-US" w:eastAsia="zh-CN"/>
                <w14:textFill>
                  <w14:solidFill>
                    <w14:schemeClr w14:val="tx1"/>
                  </w14:solidFill>
                </w14:textFill>
              </w:rPr>
            </w:pPr>
          </w:p>
        </w:tc>
      </w:tr>
    </w:tbl>
    <w:p w14:paraId="09B44BE2">
      <w:pPr>
        <w:spacing w:line="360" w:lineRule="auto"/>
        <w:outlineLvl w:val="0"/>
        <w:rPr>
          <w:rFonts w:eastAsia="黑体"/>
          <w:sz w:val="30"/>
        </w:rPr>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408CD76C">
      <w:pPr>
        <w:pStyle w:val="40"/>
        <w:spacing w:before="0" w:beforeAutospacing="0" w:after="0" w:afterAutospacing="0"/>
        <w:jc w:val="center"/>
        <w:outlineLvl w:val="0"/>
        <w:rPr>
          <w:b/>
          <w:snapToGrid w:val="0"/>
          <w:sz w:val="30"/>
          <w:szCs w:val="30"/>
        </w:rPr>
      </w:pPr>
      <w:bookmarkStart w:id="15" w:name="_Toc69399388"/>
      <w:r>
        <w:rPr>
          <w:rFonts w:hint="eastAsia"/>
          <w:b/>
          <w:snapToGrid w:val="0"/>
          <w:sz w:val="30"/>
          <w:szCs w:val="30"/>
        </w:rPr>
        <w:t>三、区域环境质量现状、环境保护目标及评价标准</w:t>
      </w:r>
      <w:bookmarkEnd w:id="15"/>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8620"/>
      </w:tblGrid>
      <w:tr w14:paraId="33983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499" w:type="dxa"/>
            <w:vAlign w:val="center"/>
          </w:tcPr>
          <w:p w14:paraId="1185C7C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区域</w:t>
            </w:r>
          </w:p>
          <w:p w14:paraId="4A8ABD8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环境</w:t>
            </w:r>
          </w:p>
          <w:p w14:paraId="064F388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质量</w:t>
            </w:r>
          </w:p>
          <w:p w14:paraId="3C86633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0"/>
                <w:szCs w:val="21"/>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现状</w:t>
            </w:r>
          </w:p>
        </w:tc>
        <w:tc>
          <w:tcPr>
            <w:tcW w:w="8537" w:type="dxa"/>
            <w:vAlign w:val="center"/>
          </w:tcPr>
          <w:p w14:paraId="2038B45F">
            <w:pPr>
              <w:keepNext w:val="0"/>
              <w:keepLines w:val="0"/>
              <w:suppressLineNumbers w:val="0"/>
              <w:spacing w:before="0" w:beforeAutospacing="0" w:after="0" w:afterAutospacing="0" w:line="360" w:lineRule="auto"/>
              <w:ind w:left="0" w:right="0" w:firstLine="562" w:firstLineChars="200"/>
              <w:rPr>
                <w:rFonts w:hint="default"/>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3.1</w:t>
            </w:r>
            <w:r>
              <w:rPr>
                <w:rFonts w:hint="default" w:hAnsi="宋体"/>
                <w:b/>
                <w:bCs/>
                <w:color w:val="000000" w:themeColor="text1"/>
                <w:sz w:val="28"/>
                <w:szCs w:val="28"/>
                <w:highlight w:val="none"/>
                <w14:textFill>
                  <w14:solidFill>
                    <w14:schemeClr w14:val="tx1"/>
                  </w14:solidFill>
                </w14:textFill>
              </w:rPr>
              <w:t>环境空气质量现状</w:t>
            </w:r>
          </w:p>
          <w:p w14:paraId="713C733A">
            <w:pPr>
              <w:keepNext w:val="0"/>
              <w:keepLines w:val="0"/>
              <w:suppressLineNumbers w:val="0"/>
              <w:tabs>
                <w:tab w:val="left" w:pos="6300"/>
              </w:tabs>
              <w:spacing w:before="0" w:beforeAutospacing="0" w:after="0" w:afterAutospacing="0" w:line="360" w:lineRule="auto"/>
              <w:ind w:left="100" w:leftChars="50" w:right="100" w:rightChars="50" w:firstLine="480" w:firstLineChars="200"/>
              <w:rPr>
                <w:rFonts w:hint="default"/>
                <w:bCs/>
                <w:color w:val="000000" w:themeColor="text1"/>
                <w:sz w:val="24"/>
                <w:szCs w:val="20"/>
                <w:highlight w:val="none"/>
                <w14:textFill>
                  <w14:solidFill>
                    <w14:schemeClr w14:val="tx1"/>
                  </w14:solidFill>
                </w14:textFill>
              </w:rPr>
            </w:pPr>
            <w:r>
              <w:rPr>
                <w:rFonts w:hint="default"/>
                <w:bCs/>
                <w:color w:val="000000" w:themeColor="text1"/>
                <w:sz w:val="24"/>
                <w:szCs w:val="20"/>
                <w:highlight w:val="none"/>
                <w14:textFill>
                  <w14:solidFill>
                    <w14:schemeClr w14:val="tx1"/>
                  </w14:solidFill>
                </w14:textFill>
              </w:rPr>
              <w:t>本项目位于</w:t>
            </w:r>
            <w:r>
              <w:rPr>
                <w:rFonts w:hint="eastAsia" w:hAnsi="宋体"/>
                <w:color w:val="000000" w:themeColor="text1"/>
                <w:sz w:val="24"/>
                <w:szCs w:val="20"/>
                <w:highlight w:val="none"/>
                <w14:textFill>
                  <w14:solidFill>
                    <w14:schemeClr w14:val="tx1"/>
                  </w14:solidFill>
                </w14:textFill>
              </w:rPr>
              <w:t>昆明市寻甸县塘子街道原泰康化工厂区</w:t>
            </w:r>
            <w:r>
              <w:rPr>
                <w:rFonts w:hint="default"/>
                <w:bCs/>
                <w:color w:val="000000" w:themeColor="text1"/>
                <w:sz w:val="24"/>
                <w:szCs w:val="20"/>
                <w:highlight w:val="none"/>
                <w14:textFill>
                  <w14:solidFill>
                    <w14:schemeClr w14:val="tx1"/>
                  </w14:solidFill>
                </w14:textFill>
              </w:rPr>
              <w:t>，属于商业交通居民混合区、一般工业区，</w:t>
            </w:r>
            <w:r>
              <w:rPr>
                <w:rFonts w:hint="default" w:cs="宋体"/>
                <w:color w:val="000000" w:themeColor="text1"/>
                <w:sz w:val="24"/>
                <w:szCs w:val="20"/>
                <w:highlight w:val="none"/>
                <w14:textFill>
                  <w14:solidFill>
                    <w14:schemeClr w14:val="tx1"/>
                  </w14:solidFill>
                </w14:textFill>
              </w:rPr>
              <w:t>环境空气质量功能区划为二类区，执行《环境空气质量标准》（GB</w:t>
            </w:r>
            <w:r>
              <w:rPr>
                <w:rFonts w:hint="eastAsia" w:cs="宋体"/>
                <w:color w:val="000000" w:themeColor="text1"/>
                <w:sz w:val="24"/>
                <w:szCs w:val="20"/>
                <w:highlight w:val="none"/>
                <w14:textFill>
                  <w14:solidFill>
                    <w14:schemeClr w14:val="tx1"/>
                  </w14:solidFill>
                </w14:textFill>
              </w:rPr>
              <w:t xml:space="preserve"> </w:t>
            </w:r>
            <w:r>
              <w:rPr>
                <w:rFonts w:hint="default" w:cs="宋体"/>
                <w:color w:val="000000" w:themeColor="text1"/>
                <w:sz w:val="24"/>
                <w:szCs w:val="20"/>
                <w:highlight w:val="none"/>
                <w14:textFill>
                  <w14:solidFill>
                    <w14:schemeClr w14:val="tx1"/>
                  </w14:solidFill>
                </w14:textFill>
              </w:rPr>
              <w:t>3095</w:t>
            </w:r>
            <w:r>
              <w:rPr>
                <w:rFonts w:hint="eastAsia" w:cs="宋体"/>
                <w:color w:val="000000" w:themeColor="text1"/>
                <w:sz w:val="24"/>
                <w:szCs w:val="20"/>
                <w:highlight w:val="none"/>
                <w14:textFill>
                  <w14:solidFill>
                    <w14:schemeClr w14:val="tx1"/>
                  </w14:solidFill>
                </w14:textFill>
              </w:rPr>
              <w:t>-</w:t>
            </w:r>
            <w:r>
              <w:rPr>
                <w:rFonts w:hint="eastAsia" w:cs="宋体"/>
                <w:color w:val="000000" w:themeColor="text1"/>
                <w:sz w:val="24"/>
                <w:szCs w:val="20"/>
                <w:highlight w:val="none"/>
                <w:lang w:val="en-US" w:eastAsia="zh-CN"/>
                <w14:textFill>
                  <w14:solidFill>
                    <w14:schemeClr w14:val="tx1"/>
                  </w14:solidFill>
                </w14:textFill>
              </w:rPr>
              <w:t>2026</w:t>
            </w:r>
            <w:r>
              <w:rPr>
                <w:rFonts w:hint="default" w:cs="宋体"/>
                <w:color w:val="000000" w:themeColor="text1"/>
                <w:sz w:val="24"/>
                <w:szCs w:val="20"/>
                <w:highlight w:val="none"/>
                <w14:textFill>
                  <w14:solidFill>
                    <w14:schemeClr w14:val="tx1"/>
                  </w14:solidFill>
                </w14:textFill>
              </w:rPr>
              <w:t>）中二级标准。</w:t>
            </w:r>
          </w:p>
          <w:p w14:paraId="0A13363D">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lang w:bidi="ar"/>
                <w14:textFill>
                  <w14:solidFill>
                    <w14:schemeClr w14:val="tx1"/>
                  </w14:solidFill>
                </w14:textFill>
              </w:rPr>
            </w:pPr>
            <w:r>
              <w:rPr>
                <w:rFonts w:hint="default"/>
                <w:color w:val="000000" w:themeColor="text1"/>
                <w:sz w:val="24"/>
                <w:szCs w:val="20"/>
                <w:highlight w:val="none"/>
                <w:lang w:val="zh-CN" w:bidi="ar"/>
                <w14:textFill>
                  <w14:solidFill>
                    <w14:schemeClr w14:val="tx1"/>
                  </w14:solidFill>
                </w14:textFill>
              </w:rPr>
              <w:t>（</w:t>
            </w:r>
            <w:r>
              <w:rPr>
                <w:rFonts w:hint="default"/>
                <w:color w:val="000000" w:themeColor="text1"/>
                <w:sz w:val="24"/>
                <w:szCs w:val="20"/>
                <w:highlight w:val="none"/>
                <w:lang w:bidi="ar"/>
                <w14:textFill>
                  <w14:solidFill>
                    <w14:schemeClr w14:val="tx1"/>
                  </w14:solidFill>
                </w14:textFill>
              </w:rPr>
              <w:t>1</w:t>
            </w:r>
            <w:r>
              <w:rPr>
                <w:rFonts w:hint="default"/>
                <w:color w:val="000000" w:themeColor="text1"/>
                <w:sz w:val="24"/>
                <w:szCs w:val="20"/>
                <w:highlight w:val="none"/>
                <w:lang w:val="zh-CN" w:bidi="ar"/>
                <w14:textFill>
                  <w14:solidFill>
                    <w14:schemeClr w14:val="tx1"/>
                  </w14:solidFill>
                </w14:textFill>
              </w:rPr>
              <w:t>）</w:t>
            </w:r>
            <w:r>
              <w:rPr>
                <w:rFonts w:hint="default"/>
                <w:color w:val="000000" w:themeColor="text1"/>
                <w:sz w:val="24"/>
                <w:szCs w:val="20"/>
                <w:highlight w:val="none"/>
                <w:lang w:bidi="ar"/>
                <w14:textFill>
                  <w14:solidFill>
                    <w14:schemeClr w14:val="tx1"/>
                  </w14:solidFill>
                </w14:textFill>
              </w:rPr>
              <w:t>达标区判定</w:t>
            </w:r>
          </w:p>
          <w:p w14:paraId="6AF8C03B">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根据寻甸县人民政府公开的寻甸县202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年第一季度、第二季度、第三季度、第四季度环境质量公报情况，</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寻甸县环境空气质量能达到《环境空气质量标准》（GB3095-20</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）中二级标准，</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详见下表。</w:t>
            </w:r>
          </w:p>
          <w:p w14:paraId="63F3996F">
            <w:pPr>
              <w:pStyle w:val="273"/>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表3-1 寻甸县202</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年环境质量公报环境空气质量数据</w:t>
            </w:r>
          </w:p>
          <w:tbl>
            <w:tblPr>
              <w:tblStyle w:val="45"/>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402"/>
              <w:gridCol w:w="4268"/>
              <w:gridCol w:w="402"/>
              <w:gridCol w:w="693"/>
              <w:gridCol w:w="1642"/>
              <w:gridCol w:w="402"/>
            </w:tblGrid>
            <w:tr w14:paraId="29C6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14:paraId="13521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t>监测</w:t>
                  </w:r>
                  <w:r>
                    <w:rPr>
                      <w:rFonts w:hint="eastAsia" w:ascii="Times New Roman" w:hAnsi="Times New Roman" w:eastAsia="宋体" w:cs="Times New Roman"/>
                      <w:b/>
                      <w:bCs/>
                      <w:color w:val="000000" w:themeColor="text1"/>
                      <w:sz w:val="20"/>
                      <w:szCs w:val="20"/>
                      <w:highlight w:val="none"/>
                      <w:lang w:eastAsia="zh-CN"/>
                      <w14:textFill>
                        <w14:solidFill>
                          <w14:schemeClr w14:val="tx1"/>
                        </w14:solidFill>
                      </w14:textFill>
                    </w:rPr>
                    <w:t>点位</w:t>
                  </w:r>
                </w:p>
              </w:tc>
              <w:tc>
                <w:tcPr>
                  <w:tcW w:w="3407" w:type="dxa"/>
                  <w:gridSpan w:val="2"/>
                  <w:vAlign w:val="center"/>
                </w:tcPr>
                <w:p w14:paraId="4F43C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t>寻甸县202</w:t>
                  </w:r>
                  <w:r>
                    <w:rPr>
                      <w:rFonts w:hint="eastAsia" w:ascii="Times New Roman" w:hAnsi="Times New Roman" w:eastAsia="宋体" w:cs="Times New Roman"/>
                      <w:b/>
                      <w:bCs/>
                      <w:color w:val="000000" w:themeColor="text1"/>
                      <w:sz w:val="20"/>
                      <w:szCs w:val="20"/>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t>年环境质量公报</w:t>
                  </w:r>
                </w:p>
              </w:tc>
              <w:tc>
                <w:tcPr>
                  <w:tcW w:w="750" w:type="dxa"/>
                  <w:vMerge w:val="restart"/>
                  <w:vAlign w:val="center"/>
                </w:tcPr>
                <w:p w14:paraId="752D7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0"/>
                      <w:szCs w:val="20"/>
                      <w:highlight w:val="none"/>
                      <w:lang w:eastAsia="zh-CN"/>
                      <w14:textFill>
                        <w14:solidFill>
                          <w14:schemeClr w14:val="tx1"/>
                        </w14:solidFill>
                      </w14:textFill>
                    </w:rPr>
                    <w:t>优良天数</w:t>
                  </w:r>
                </w:p>
              </w:tc>
              <w:tc>
                <w:tcPr>
                  <w:tcW w:w="1521" w:type="dxa"/>
                  <w:vMerge w:val="restart"/>
                  <w:vAlign w:val="center"/>
                </w:tcPr>
                <w:p w14:paraId="6C763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0"/>
                      <w:szCs w:val="20"/>
                      <w:highlight w:val="none"/>
                      <w:lang w:eastAsia="zh-CN"/>
                      <w14:textFill>
                        <w14:solidFill>
                          <w14:schemeClr w14:val="tx1"/>
                        </w14:solidFill>
                      </w14:textFill>
                    </w:rPr>
                    <w:t>优良天数占总天数的百分比</w:t>
                  </w:r>
                </w:p>
              </w:tc>
              <w:tc>
                <w:tcPr>
                  <w:tcW w:w="1305" w:type="dxa"/>
                  <w:vMerge w:val="restart"/>
                  <w:vAlign w:val="center"/>
                </w:tcPr>
                <w:p w14:paraId="0D3C2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t>执行标准</w:t>
                  </w:r>
                </w:p>
              </w:tc>
              <w:tc>
                <w:tcPr>
                  <w:tcW w:w="701" w:type="dxa"/>
                  <w:vMerge w:val="restart"/>
                  <w:vAlign w:val="center"/>
                </w:tcPr>
                <w:p w14:paraId="57D88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t>达标情况</w:t>
                  </w:r>
                </w:p>
              </w:tc>
            </w:tr>
            <w:tr w14:paraId="4946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14:paraId="48E54B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c>
                <w:tcPr>
                  <w:tcW w:w="696" w:type="dxa"/>
                  <w:vAlign w:val="center"/>
                </w:tcPr>
                <w:p w14:paraId="1F9D8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t>季度</w:t>
                  </w:r>
                </w:p>
              </w:tc>
              <w:tc>
                <w:tcPr>
                  <w:tcW w:w="2711" w:type="dxa"/>
                  <w:vAlign w:val="center"/>
                </w:tcPr>
                <w:p w14:paraId="79913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t>网址</w:t>
                  </w:r>
                </w:p>
              </w:tc>
              <w:tc>
                <w:tcPr>
                  <w:tcW w:w="750" w:type="dxa"/>
                  <w:vMerge w:val="continue"/>
                  <w:vAlign w:val="center"/>
                </w:tcPr>
                <w:p w14:paraId="522BE2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c>
                <w:tcPr>
                  <w:tcW w:w="1521" w:type="dxa"/>
                  <w:vMerge w:val="continue"/>
                  <w:vAlign w:val="center"/>
                </w:tcPr>
                <w:p w14:paraId="789AB0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c>
                <w:tcPr>
                  <w:tcW w:w="1305" w:type="dxa"/>
                  <w:vMerge w:val="continue"/>
                  <w:vAlign w:val="center"/>
                </w:tcPr>
                <w:p w14:paraId="617EE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c>
                <w:tcPr>
                  <w:tcW w:w="701" w:type="dxa"/>
                  <w:vMerge w:val="continue"/>
                  <w:vAlign w:val="center"/>
                </w:tcPr>
                <w:p w14:paraId="5D52B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r>
            <w:tr w14:paraId="553F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14:paraId="276C2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环境监测站楼顶（空气自动站）</w:t>
                  </w:r>
                </w:p>
              </w:tc>
              <w:tc>
                <w:tcPr>
                  <w:tcW w:w="696" w:type="dxa"/>
                  <w:vAlign w:val="center"/>
                </w:tcPr>
                <w:p w14:paraId="7A197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t>第一季度</w:t>
                  </w:r>
                </w:p>
              </w:tc>
              <w:tc>
                <w:tcPr>
                  <w:tcW w:w="2711" w:type="dxa"/>
                  <w:vAlign w:val="center"/>
                </w:tcPr>
                <w:p w14:paraId="3EDCB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http://www.kmxd.gov.cn/c/2025-04-22/6998955.shtml</w:t>
                  </w:r>
                </w:p>
              </w:tc>
              <w:tc>
                <w:tcPr>
                  <w:tcW w:w="750" w:type="dxa"/>
                  <w:vAlign w:val="center"/>
                </w:tcPr>
                <w:p w14:paraId="348E7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85</w:t>
                  </w:r>
                </w:p>
              </w:tc>
              <w:tc>
                <w:tcPr>
                  <w:tcW w:w="1521" w:type="dxa"/>
                  <w:vAlign w:val="center"/>
                </w:tcPr>
                <w:p w14:paraId="57EC9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96.6%</w:t>
                  </w:r>
                </w:p>
              </w:tc>
              <w:tc>
                <w:tcPr>
                  <w:tcW w:w="1305" w:type="dxa"/>
                  <w:vMerge w:val="restart"/>
                  <w:vAlign w:val="center"/>
                </w:tcPr>
                <w:p w14:paraId="2A1EB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t>《环境空气质量标准》（GB3095-20</w:t>
                  </w: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12</w:t>
                  </w:r>
                  <w:r>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t>）中二级标准</w:t>
                  </w:r>
                </w:p>
              </w:tc>
              <w:tc>
                <w:tcPr>
                  <w:tcW w:w="701" w:type="dxa"/>
                  <w:vAlign w:val="center"/>
                </w:tcPr>
                <w:p w14:paraId="76F2A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基本</w:t>
                  </w: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达标</w:t>
                  </w:r>
                </w:p>
              </w:tc>
            </w:tr>
            <w:tr w14:paraId="6EA0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14:paraId="01B86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c>
                <w:tcPr>
                  <w:tcW w:w="696" w:type="dxa"/>
                  <w:vAlign w:val="center"/>
                </w:tcPr>
                <w:p w14:paraId="19E7A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t>第二季度</w:t>
                  </w:r>
                </w:p>
              </w:tc>
              <w:tc>
                <w:tcPr>
                  <w:tcW w:w="2711" w:type="dxa"/>
                  <w:vAlign w:val="center"/>
                </w:tcPr>
                <w:p w14:paraId="669DD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http://www.kmxd.gov.cn/c/2025-07-11/7029412.shtml</w:t>
                  </w:r>
                </w:p>
              </w:tc>
              <w:tc>
                <w:tcPr>
                  <w:tcW w:w="750" w:type="dxa"/>
                  <w:vAlign w:val="center"/>
                </w:tcPr>
                <w:p w14:paraId="50E2A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9</w:t>
                  </w: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1</w:t>
                  </w:r>
                </w:p>
              </w:tc>
              <w:tc>
                <w:tcPr>
                  <w:tcW w:w="1521" w:type="dxa"/>
                  <w:vAlign w:val="center"/>
                </w:tcPr>
                <w:p w14:paraId="22F4F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100%</w:t>
                  </w:r>
                </w:p>
              </w:tc>
              <w:tc>
                <w:tcPr>
                  <w:tcW w:w="1305" w:type="dxa"/>
                  <w:vMerge w:val="continue"/>
                  <w:vAlign w:val="center"/>
                </w:tcPr>
                <w:p w14:paraId="2BDF5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c>
                <w:tcPr>
                  <w:tcW w:w="701" w:type="dxa"/>
                  <w:vAlign w:val="center"/>
                </w:tcPr>
                <w:p w14:paraId="3160E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达标</w:t>
                  </w:r>
                </w:p>
              </w:tc>
            </w:tr>
            <w:tr w14:paraId="55B4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14:paraId="0CE22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c>
                <w:tcPr>
                  <w:tcW w:w="696" w:type="dxa"/>
                  <w:vAlign w:val="center"/>
                </w:tcPr>
                <w:p w14:paraId="5B7A31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t>第三季度</w:t>
                  </w:r>
                </w:p>
              </w:tc>
              <w:tc>
                <w:tcPr>
                  <w:tcW w:w="2711" w:type="dxa"/>
                  <w:vAlign w:val="center"/>
                </w:tcPr>
                <w:p w14:paraId="79CFE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http://www.kmxd.gov.cn/c/2025-10-15/7062686.shtml</w:t>
                  </w:r>
                </w:p>
              </w:tc>
              <w:tc>
                <w:tcPr>
                  <w:tcW w:w="750" w:type="dxa"/>
                  <w:vAlign w:val="center"/>
                </w:tcPr>
                <w:p w14:paraId="377567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89</w:t>
                  </w:r>
                </w:p>
              </w:tc>
              <w:tc>
                <w:tcPr>
                  <w:tcW w:w="1521" w:type="dxa"/>
                  <w:vAlign w:val="center"/>
                </w:tcPr>
                <w:p w14:paraId="2E0B2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100%</w:t>
                  </w:r>
                </w:p>
              </w:tc>
              <w:tc>
                <w:tcPr>
                  <w:tcW w:w="1305" w:type="dxa"/>
                  <w:vMerge w:val="continue"/>
                  <w:vAlign w:val="center"/>
                </w:tcPr>
                <w:p w14:paraId="7BDB1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c>
                <w:tcPr>
                  <w:tcW w:w="701" w:type="dxa"/>
                  <w:vAlign w:val="center"/>
                </w:tcPr>
                <w:p w14:paraId="1E7DA8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达标</w:t>
                  </w:r>
                </w:p>
              </w:tc>
            </w:tr>
            <w:tr w14:paraId="532E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14:paraId="05830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c>
                <w:tcPr>
                  <w:tcW w:w="696" w:type="dxa"/>
                  <w:vAlign w:val="center"/>
                </w:tcPr>
                <w:p w14:paraId="0DF3F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t>第四季度</w:t>
                  </w:r>
                </w:p>
              </w:tc>
              <w:tc>
                <w:tcPr>
                  <w:tcW w:w="2711" w:type="dxa"/>
                  <w:vAlign w:val="center"/>
                </w:tcPr>
                <w:p w14:paraId="63E3D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http://www.kmxd.gov.cn/c/2026-01-14/7097121.shtml</w:t>
                  </w:r>
                </w:p>
              </w:tc>
              <w:tc>
                <w:tcPr>
                  <w:tcW w:w="750" w:type="dxa"/>
                  <w:vAlign w:val="center"/>
                </w:tcPr>
                <w:p w14:paraId="35F2A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9</w:t>
                  </w: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2</w:t>
                  </w:r>
                </w:p>
              </w:tc>
              <w:tc>
                <w:tcPr>
                  <w:tcW w:w="1521" w:type="dxa"/>
                  <w:vAlign w:val="center"/>
                </w:tcPr>
                <w:p w14:paraId="38162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100%</w:t>
                  </w:r>
                </w:p>
              </w:tc>
              <w:tc>
                <w:tcPr>
                  <w:tcW w:w="1305" w:type="dxa"/>
                  <w:vMerge w:val="continue"/>
                  <w:vAlign w:val="center"/>
                </w:tcPr>
                <w:p w14:paraId="4589E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p>
              </w:tc>
              <w:tc>
                <w:tcPr>
                  <w:tcW w:w="701" w:type="dxa"/>
                  <w:vAlign w:val="center"/>
                </w:tcPr>
                <w:p w14:paraId="574A2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达标</w:t>
                  </w:r>
                </w:p>
              </w:tc>
            </w:tr>
          </w:tbl>
          <w:p w14:paraId="4070175A">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综上，项目所在区域属于大气环境质量达标区。</w:t>
            </w:r>
          </w:p>
          <w:p w14:paraId="602904B4">
            <w:pPr>
              <w:keepNext w:val="0"/>
              <w:keepLines w:val="0"/>
              <w:suppressLineNumbers w:val="0"/>
              <w:tabs>
                <w:tab w:val="left" w:pos="6300"/>
              </w:tabs>
              <w:spacing w:before="0" w:beforeAutospacing="0" w:after="0" w:afterAutospacing="0" w:line="360" w:lineRule="auto"/>
              <w:ind w:left="100" w:leftChars="50" w:right="100" w:rightChars="50" w:firstLine="480" w:firstLineChars="200"/>
              <w:rPr>
                <w:rFonts w:hint="default"/>
                <w:bCs/>
                <w:color w:val="000000" w:themeColor="text1"/>
                <w:sz w:val="24"/>
                <w:szCs w:val="20"/>
                <w:highlight w:val="none"/>
                <w14:textFill>
                  <w14:solidFill>
                    <w14:schemeClr w14:val="tx1"/>
                  </w14:solidFill>
                </w14:textFill>
              </w:rPr>
            </w:pPr>
            <w:r>
              <w:rPr>
                <w:rFonts w:hint="default" w:hAnsi="宋体"/>
                <w:bCs/>
                <w:color w:val="000000" w:themeColor="text1"/>
                <w:sz w:val="24"/>
                <w:szCs w:val="20"/>
                <w:highlight w:val="none"/>
                <w14:textFill>
                  <w14:solidFill>
                    <w14:schemeClr w14:val="tx1"/>
                  </w14:solidFill>
                </w14:textFill>
              </w:rPr>
              <w:t>（</w:t>
            </w:r>
            <w:r>
              <w:rPr>
                <w:rFonts w:hint="default"/>
                <w:bCs/>
                <w:color w:val="000000" w:themeColor="text1"/>
                <w:sz w:val="24"/>
                <w:szCs w:val="20"/>
                <w:highlight w:val="none"/>
                <w14:textFill>
                  <w14:solidFill>
                    <w14:schemeClr w14:val="tx1"/>
                  </w14:solidFill>
                </w14:textFill>
              </w:rPr>
              <w:t>2</w:t>
            </w:r>
            <w:r>
              <w:rPr>
                <w:rFonts w:hint="default" w:hAnsi="宋体"/>
                <w:bCs/>
                <w:color w:val="000000" w:themeColor="text1"/>
                <w:sz w:val="24"/>
                <w:szCs w:val="20"/>
                <w:highlight w:val="none"/>
                <w14:textFill>
                  <w14:solidFill>
                    <w14:schemeClr w14:val="tx1"/>
                  </w14:solidFill>
                </w14:textFill>
              </w:rPr>
              <w:t>）项目区</w:t>
            </w:r>
            <w:r>
              <w:rPr>
                <w:rFonts w:hint="default" w:hAnsi="宋体"/>
                <w:color w:val="000000" w:themeColor="text1"/>
                <w:sz w:val="24"/>
                <w:szCs w:val="20"/>
                <w:highlight w:val="none"/>
                <w14:textFill>
                  <w14:solidFill>
                    <w14:schemeClr w14:val="tx1"/>
                  </w14:solidFill>
                </w14:textFill>
              </w:rPr>
              <w:t>环境空气</w:t>
            </w:r>
            <w:r>
              <w:rPr>
                <w:rFonts w:hint="eastAsia" w:hAnsi="宋体"/>
                <w:color w:val="000000" w:themeColor="text1"/>
                <w:sz w:val="24"/>
                <w:szCs w:val="20"/>
                <w:highlight w:val="none"/>
                <w14:textFill>
                  <w14:solidFill>
                    <w14:schemeClr w14:val="tx1"/>
                  </w14:solidFill>
                </w14:textFill>
              </w:rPr>
              <w:t>特征污染物</w:t>
            </w:r>
            <w:r>
              <w:rPr>
                <w:rFonts w:hint="default" w:hAnsi="宋体"/>
                <w:color w:val="000000" w:themeColor="text1"/>
                <w:sz w:val="24"/>
                <w:szCs w:val="20"/>
                <w:highlight w:val="none"/>
                <w14:textFill>
                  <w14:solidFill>
                    <w14:schemeClr w14:val="tx1"/>
                  </w14:solidFill>
                </w14:textFill>
              </w:rPr>
              <w:t>现状监测</w:t>
            </w:r>
          </w:p>
          <w:p w14:paraId="11FA41AF">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kern w:val="2"/>
                <w:sz w:val="24"/>
                <w:szCs w:val="24"/>
                <w:highlight w:val="none"/>
                <w14:textFill>
                  <w14:solidFill>
                    <w14:schemeClr w14:val="tx1"/>
                  </w14:solidFill>
                </w14:textFill>
              </w:rPr>
            </w:pPr>
            <w:r>
              <w:rPr>
                <w:rFonts w:hint="default"/>
                <w:color w:val="000000" w:themeColor="text1"/>
                <w:sz w:val="24"/>
                <w:szCs w:val="24"/>
                <w:highlight w:val="none"/>
                <w14:textFill>
                  <w14:solidFill>
                    <w14:schemeClr w14:val="tx1"/>
                  </w14:solidFill>
                </w14:textFill>
              </w:rPr>
              <w:t>本项目涉及的特征因子为TSP，</w:t>
            </w:r>
            <w:r>
              <w:rPr>
                <w:rFonts w:hint="default"/>
                <w:color w:val="000000" w:themeColor="text1"/>
                <w:kern w:val="2"/>
                <w:sz w:val="24"/>
                <w:szCs w:val="24"/>
                <w:highlight w:val="none"/>
                <w14:textFill>
                  <w14:solidFill>
                    <w14:schemeClr w14:val="tx1"/>
                  </w14:solidFill>
                </w14:textFill>
              </w:rPr>
              <w:t>TSP引用</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寻甸县常青树磷石膏库综合治理项目（塘子镇钟灵村委会令友采石场生态修复工程）</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环境影响报告表</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default"/>
                <w:color w:val="000000" w:themeColor="text1"/>
                <w:kern w:val="2"/>
                <w:sz w:val="24"/>
                <w:szCs w:val="24"/>
                <w:highlight w:val="none"/>
                <w14:textFill>
                  <w14:solidFill>
                    <w14:schemeClr w14:val="tx1"/>
                  </w14:solidFill>
                </w14:textFill>
              </w:rPr>
              <w:t>环境质量现状监测报告中的检测数据，监测时间为</w:t>
            </w:r>
            <w:r>
              <w:rPr>
                <w:rFonts w:hint="eastAsia"/>
                <w:color w:val="000000" w:themeColor="text1"/>
                <w:sz w:val="24"/>
                <w:szCs w:val="20"/>
                <w:highlight w:val="none"/>
                <w14:textFill>
                  <w14:solidFill>
                    <w14:schemeClr w14:val="tx1"/>
                  </w14:solidFill>
                </w14:textFill>
              </w:rPr>
              <w:t>202</w:t>
            </w:r>
            <w:r>
              <w:rPr>
                <w:rFonts w:hint="eastAsia"/>
                <w:color w:val="000000" w:themeColor="text1"/>
                <w:sz w:val="24"/>
                <w:szCs w:val="20"/>
                <w:highlight w:val="none"/>
                <w:lang w:val="en-US" w:eastAsia="zh-CN"/>
                <w14:textFill>
                  <w14:solidFill>
                    <w14:schemeClr w14:val="tx1"/>
                  </w14:solidFill>
                </w14:textFill>
              </w:rPr>
              <w:t>5</w:t>
            </w:r>
            <w:r>
              <w:rPr>
                <w:rFonts w:hint="eastAsia"/>
                <w:color w:val="000000" w:themeColor="text1"/>
                <w:sz w:val="24"/>
                <w:szCs w:val="20"/>
                <w:highlight w:val="none"/>
                <w14:textFill>
                  <w14:solidFill>
                    <w14:schemeClr w14:val="tx1"/>
                  </w14:solidFill>
                </w14:textFill>
              </w:rPr>
              <w:t>年</w:t>
            </w:r>
            <w:r>
              <w:rPr>
                <w:rFonts w:hint="eastAsia"/>
                <w:color w:val="000000" w:themeColor="text1"/>
                <w:sz w:val="24"/>
                <w:szCs w:val="20"/>
                <w:highlight w:val="none"/>
                <w:lang w:val="en-US" w:eastAsia="zh-CN"/>
                <w14:textFill>
                  <w14:solidFill>
                    <w14:schemeClr w14:val="tx1"/>
                  </w14:solidFill>
                </w14:textFill>
              </w:rPr>
              <w:t>12</w:t>
            </w:r>
            <w:r>
              <w:rPr>
                <w:rFonts w:hint="eastAsia"/>
                <w:color w:val="000000" w:themeColor="text1"/>
                <w:sz w:val="24"/>
                <w:szCs w:val="20"/>
                <w:highlight w:val="none"/>
                <w14:textFill>
                  <w14:solidFill>
                    <w14:schemeClr w14:val="tx1"/>
                  </w14:solidFill>
                </w14:textFill>
              </w:rPr>
              <w:t>月</w:t>
            </w:r>
            <w:r>
              <w:rPr>
                <w:rFonts w:hint="eastAsia"/>
                <w:color w:val="000000" w:themeColor="text1"/>
                <w:sz w:val="24"/>
                <w:szCs w:val="20"/>
                <w:highlight w:val="none"/>
                <w:lang w:val="en-US" w:eastAsia="zh-CN"/>
                <w14:textFill>
                  <w14:solidFill>
                    <w14:schemeClr w14:val="tx1"/>
                  </w14:solidFill>
                </w14:textFill>
              </w:rPr>
              <w:t>24</w:t>
            </w:r>
            <w:r>
              <w:rPr>
                <w:rFonts w:hint="eastAsia"/>
                <w:color w:val="000000" w:themeColor="text1"/>
                <w:sz w:val="24"/>
                <w:szCs w:val="20"/>
                <w:highlight w:val="none"/>
                <w14:textFill>
                  <w14:solidFill>
                    <w14:schemeClr w14:val="tx1"/>
                  </w14:solidFill>
                </w14:textFill>
              </w:rPr>
              <w:t>日~</w:t>
            </w:r>
            <w:r>
              <w:rPr>
                <w:rFonts w:hint="eastAsia"/>
                <w:color w:val="000000" w:themeColor="text1"/>
                <w:sz w:val="24"/>
                <w:szCs w:val="20"/>
                <w:highlight w:val="none"/>
                <w:lang w:val="en-US" w:eastAsia="zh-CN"/>
                <w14:textFill>
                  <w14:solidFill>
                    <w14:schemeClr w14:val="tx1"/>
                  </w14:solidFill>
                </w14:textFill>
              </w:rPr>
              <w:t>12</w:t>
            </w:r>
            <w:r>
              <w:rPr>
                <w:rFonts w:hint="eastAsia"/>
                <w:color w:val="000000" w:themeColor="text1"/>
                <w:sz w:val="24"/>
                <w:szCs w:val="20"/>
                <w:highlight w:val="none"/>
                <w14:textFill>
                  <w14:solidFill>
                    <w14:schemeClr w14:val="tx1"/>
                  </w14:solidFill>
                </w14:textFill>
              </w:rPr>
              <w:t>月</w:t>
            </w:r>
            <w:r>
              <w:rPr>
                <w:rFonts w:hint="eastAsia"/>
                <w:color w:val="000000" w:themeColor="text1"/>
                <w:sz w:val="24"/>
                <w:szCs w:val="20"/>
                <w:highlight w:val="none"/>
                <w:lang w:val="en-US" w:eastAsia="zh-CN"/>
                <w14:textFill>
                  <w14:solidFill>
                    <w14:schemeClr w14:val="tx1"/>
                  </w14:solidFill>
                </w14:textFill>
              </w:rPr>
              <w:t>26</w:t>
            </w:r>
            <w:r>
              <w:rPr>
                <w:rFonts w:hint="eastAsia"/>
                <w:color w:val="000000" w:themeColor="text1"/>
                <w:sz w:val="24"/>
                <w:szCs w:val="20"/>
                <w:highlight w:val="none"/>
                <w14:textFill>
                  <w14:solidFill>
                    <w14:schemeClr w14:val="tx1"/>
                  </w14:solidFill>
                </w14:textFill>
              </w:rPr>
              <w:t>日</w:t>
            </w:r>
            <w:r>
              <w:rPr>
                <w:rFonts w:hint="default"/>
                <w:color w:val="000000" w:themeColor="text1"/>
                <w:kern w:val="2"/>
                <w:sz w:val="24"/>
                <w:szCs w:val="24"/>
                <w:highlight w:val="none"/>
                <w14:textFill>
                  <w14:solidFill>
                    <w14:schemeClr w14:val="tx1"/>
                  </w14:solidFill>
                </w14:textFill>
              </w:rPr>
              <w:t>，监测单位为</w:t>
            </w:r>
            <w:r>
              <w:rPr>
                <w:rFonts w:hint="eastAsia" w:ascii="Times New Roman" w:hAnsi="Times New Roman" w:eastAsia="宋体" w:cs="Times New Roman"/>
                <w:bCs w:val="0"/>
                <w:iCs w:val="0"/>
                <w:color w:val="000000" w:themeColor="text1"/>
                <w:kern w:val="0"/>
                <w:sz w:val="24"/>
                <w:szCs w:val="24"/>
                <w:highlight w:val="none"/>
                <w:lang w:val="en-US" w:eastAsia="zh-CN" w:bidi="ar"/>
                <w14:textFill>
                  <w14:solidFill>
                    <w14:schemeClr w14:val="tx1"/>
                  </w14:solidFill>
                </w14:textFill>
              </w:rPr>
              <w:t>云南普域环境科技有限公司</w:t>
            </w:r>
            <w:r>
              <w:rPr>
                <w:rFonts w:hint="default"/>
                <w:color w:val="000000" w:themeColor="text1"/>
                <w:kern w:val="2"/>
                <w:sz w:val="24"/>
                <w:szCs w:val="24"/>
                <w:highlight w:val="none"/>
                <w14:textFill>
                  <w14:solidFill>
                    <w14:schemeClr w14:val="tx1"/>
                  </w14:solidFill>
                </w14:textFill>
              </w:rPr>
              <w:t>，监测点位为</w:t>
            </w:r>
            <w:r>
              <w:rPr>
                <w:rFonts w:hint="eastAsia"/>
                <w:color w:val="000000" w:themeColor="text1"/>
                <w:kern w:val="2"/>
                <w:sz w:val="24"/>
                <w:szCs w:val="24"/>
                <w:highlight w:val="none"/>
                <w:lang w:val="en-US" w:eastAsia="zh-CN"/>
                <w14:textFill>
                  <w14:solidFill>
                    <w14:schemeClr w14:val="tx1"/>
                  </w14:solidFill>
                </w14:textFill>
              </w:rPr>
              <w:t>修复区下风向</w:t>
            </w:r>
            <w:r>
              <w:rPr>
                <w:rFonts w:hint="eastAsia"/>
                <w:color w:val="000000" w:themeColor="text1"/>
                <w:kern w:val="2"/>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寻甸县常青树磷石膏库综合治理项目（塘子镇钟灵村委会令友采石场生态修复工程）</w:t>
            </w:r>
            <w:r>
              <w:rPr>
                <w:rFonts w:hint="eastAsia"/>
                <w:color w:val="000000" w:themeColor="text1"/>
                <w:sz w:val="24"/>
                <w:szCs w:val="24"/>
                <w:highlight w:val="none"/>
                <w14:textFill>
                  <w14:solidFill>
                    <w14:schemeClr w14:val="tx1"/>
                  </w14:solidFill>
                </w14:textFill>
              </w:rPr>
              <w:t>位于本项目</w:t>
            </w:r>
            <w:r>
              <w:rPr>
                <w:rFonts w:hint="eastAsia"/>
                <w:color w:val="000000" w:themeColor="text1"/>
                <w:sz w:val="24"/>
                <w:szCs w:val="24"/>
                <w:highlight w:val="none"/>
                <w:lang w:val="en-US" w:eastAsia="zh-CN"/>
                <w14:textFill>
                  <w14:solidFill>
                    <w14:schemeClr w14:val="tx1"/>
                  </w14:solidFill>
                </w14:textFill>
              </w:rPr>
              <w:t>东南方向4200</w:t>
            </w:r>
            <w:r>
              <w:rPr>
                <w:rFonts w:hint="eastAsia"/>
                <w:color w:val="000000" w:themeColor="text1"/>
                <w:sz w:val="24"/>
                <w:szCs w:val="24"/>
                <w:highlight w:val="none"/>
                <w14:textFill>
                  <w14:solidFill>
                    <w14:schemeClr w14:val="tx1"/>
                  </w14:solidFill>
                </w14:textFill>
              </w:rPr>
              <w:t>m，</w:t>
            </w:r>
            <w:r>
              <w:rPr>
                <w:rFonts w:hint="default"/>
                <w:color w:val="000000" w:themeColor="text1"/>
                <w:kern w:val="2"/>
                <w:sz w:val="24"/>
                <w:szCs w:val="24"/>
                <w:highlight w:val="none"/>
                <w14:textFill>
                  <w14:solidFill>
                    <w14:schemeClr w14:val="tx1"/>
                  </w14:solidFill>
                </w14:textFill>
              </w:rPr>
              <w:t>与本项目属于同一区域，且检测时间为近3年的有效期，故本次引用可行</w:t>
            </w:r>
            <w:r>
              <w:rPr>
                <w:rFonts w:hint="eastAsia"/>
                <w:color w:val="000000" w:themeColor="text1"/>
                <w:sz w:val="24"/>
                <w:szCs w:val="24"/>
                <w:highlight w:val="none"/>
                <w14:textFill>
                  <w14:solidFill>
                    <w14:schemeClr w14:val="tx1"/>
                  </w14:solidFill>
                </w14:textFill>
              </w:rPr>
              <w:t>。</w:t>
            </w:r>
            <w:r>
              <w:rPr>
                <w:rFonts w:hint="default"/>
                <w:color w:val="000000" w:themeColor="text1"/>
                <w:kern w:val="2"/>
                <w:sz w:val="24"/>
                <w:szCs w:val="24"/>
                <w:highlight w:val="none"/>
                <w14:textFill>
                  <w14:solidFill>
                    <w14:schemeClr w14:val="tx1"/>
                  </w14:solidFill>
                </w14:textFill>
              </w:rPr>
              <w:t>具体监测数据如下：</w:t>
            </w:r>
          </w:p>
          <w:p w14:paraId="061FFB65">
            <w:pPr>
              <w:keepNext w:val="0"/>
              <w:keepLines w:val="0"/>
              <w:suppressLineNumbers w:val="0"/>
              <w:spacing w:before="0" w:beforeAutospacing="0" w:after="0" w:afterAutospacing="0"/>
              <w:ind w:left="0" w:right="0"/>
              <w:jc w:val="center"/>
              <w:rPr>
                <w:rFonts w:hint="default"/>
                <w:b/>
                <w:color w:val="000000" w:themeColor="text1"/>
                <w:kern w:val="2"/>
                <w:sz w:val="24"/>
                <w:szCs w:val="24"/>
                <w:highlight w:val="none"/>
                <w14:textFill>
                  <w14:solidFill>
                    <w14:schemeClr w14:val="tx1"/>
                  </w14:solidFill>
                </w14:textFill>
              </w:rPr>
            </w:pPr>
            <w:r>
              <w:rPr>
                <w:rFonts w:hint="default"/>
                <w:b/>
                <w:color w:val="000000" w:themeColor="text1"/>
                <w:kern w:val="2"/>
                <w:sz w:val="24"/>
                <w:szCs w:val="24"/>
                <w:highlight w:val="none"/>
                <w14:textFill>
                  <w14:solidFill>
                    <w14:schemeClr w14:val="tx1"/>
                  </w14:solidFill>
                </w14:textFill>
              </w:rPr>
              <w:t>表3-</w:t>
            </w:r>
            <w:r>
              <w:rPr>
                <w:rFonts w:hint="eastAsia"/>
                <w:b/>
                <w:color w:val="000000" w:themeColor="text1"/>
                <w:kern w:val="2"/>
                <w:sz w:val="24"/>
                <w:szCs w:val="24"/>
                <w:highlight w:val="none"/>
                <w:lang w:val="en-US" w:eastAsia="zh-CN"/>
                <w14:textFill>
                  <w14:solidFill>
                    <w14:schemeClr w14:val="tx1"/>
                  </w14:solidFill>
                </w14:textFill>
              </w:rPr>
              <w:t>2</w:t>
            </w:r>
            <w:r>
              <w:rPr>
                <w:rFonts w:hint="default"/>
                <w:b/>
                <w:color w:val="000000" w:themeColor="text1"/>
                <w:kern w:val="2"/>
                <w:sz w:val="24"/>
                <w:szCs w:val="24"/>
                <w:highlight w:val="none"/>
                <w14:textFill>
                  <w14:solidFill>
                    <w14:schemeClr w14:val="tx1"/>
                  </w14:solidFill>
                </w14:textFill>
              </w:rPr>
              <w:t xml:space="preserve">  TSP监测结果统计表</w:t>
            </w:r>
          </w:p>
          <w:p w14:paraId="7B9718D3">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kern w:val="2"/>
                <w:sz w:val="24"/>
                <w:szCs w:val="24"/>
                <w:highlight w:val="none"/>
                <w:lang w:val="en-US"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***涉密删除***</w:t>
            </w:r>
          </w:p>
          <w:p w14:paraId="7934C854">
            <w:pPr>
              <w:keepNext w:val="0"/>
              <w:keepLines w:val="0"/>
              <w:suppressLineNumbers w:val="0"/>
              <w:spacing w:before="0" w:beforeAutospacing="0" w:after="0" w:afterAutospacing="0" w:line="360" w:lineRule="auto"/>
              <w:ind w:left="0" w:right="0" w:firstLine="480" w:firstLineChars="200"/>
              <w:rPr>
                <w:rFonts w:hint="default"/>
                <w:color w:val="000000" w:themeColor="text1"/>
                <w:kern w:val="2"/>
                <w:sz w:val="24"/>
                <w:szCs w:val="24"/>
                <w:highlight w:val="none"/>
                <w14:textFill>
                  <w14:solidFill>
                    <w14:schemeClr w14:val="tx1"/>
                  </w14:solidFill>
                </w14:textFill>
              </w:rPr>
            </w:pPr>
            <w:r>
              <w:rPr>
                <w:rFonts w:hint="default"/>
                <w:color w:val="000000" w:themeColor="text1"/>
                <w:kern w:val="2"/>
                <w:sz w:val="24"/>
                <w:szCs w:val="24"/>
                <w:highlight w:val="none"/>
                <w14:textFill>
                  <w14:solidFill>
                    <w14:schemeClr w14:val="tx1"/>
                  </w14:solidFill>
                </w14:textFill>
              </w:rPr>
              <w:t>根据引用结果可知，项目特征污染物TSP日均值满足《环境空气质量标准》（GB3095-</w:t>
            </w:r>
            <w:r>
              <w:rPr>
                <w:rFonts w:hint="eastAsia"/>
                <w:color w:val="000000" w:themeColor="text1"/>
                <w:kern w:val="2"/>
                <w:sz w:val="24"/>
                <w:szCs w:val="24"/>
                <w:highlight w:val="none"/>
                <w:lang w:val="en-US" w:eastAsia="zh-CN"/>
                <w14:textFill>
                  <w14:solidFill>
                    <w14:schemeClr w14:val="tx1"/>
                  </w14:solidFill>
                </w14:textFill>
              </w:rPr>
              <w:t>2012</w:t>
            </w:r>
            <w:r>
              <w:rPr>
                <w:rFonts w:hint="default"/>
                <w:color w:val="000000" w:themeColor="text1"/>
                <w:kern w:val="2"/>
                <w:sz w:val="24"/>
                <w:szCs w:val="24"/>
                <w:highlight w:val="none"/>
                <w14:textFill>
                  <w14:solidFill>
                    <w14:schemeClr w14:val="tx1"/>
                  </w14:solidFill>
                </w14:textFill>
              </w:rPr>
              <w:t>）中的二级标准，属于环境空气质量达标区。</w:t>
            </w:r>
          </w:p>
          <w:p w14:paraId="3F9365C1">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kern w:val="2"/>
                <w:sz w:val="24"/>
                <w:szCs w:val="24"/>
                <w:highlight w:val="none"/>
                <w14:textFill>
                  <w14:solidFill>
                    <w14:schemeClr w14:val="tx1"/>
                  </w14:solidFill>
                </w14:textFill>
              </w:rPr>
            </w:pPr>
            <w:r>
              <w:rPr>
                <w:rFonts w:hint="default"/>
                <w:color w:val="000000" w:themeColor="text1"/>
                <w:kern w:val="2"/>
                <w:sz w:val="24"/>
                <w:szCs w:val="24"/>
                <w:highlight w:val="none"/>
                <w14:textFill>
                  <w14:solidFill>
                    <w14:schemeClr w14:val="tx1"/>
                  </w14:solidFill>
                </w14:textFill>
              </w:rPr>
              <w:t>综上，项目所处区域属于环境空气质量达标区。</w:t>
            </w:r>
          </w:p>
          <w:p w14:paraId="552BF005">
            <w:pPr>
              <w:keepNext w:val="0"/>
              <w:keepLines w:val="0"/>
              <w:widowControl/>
              <w:suppressLineNumbers w:val="0"/>
              <w:spacing w:before="0" w:beforeAutospacing="0" w:after="0" w:afterAutospacing="0" w:line="360" w:lineRule="auto"/>
              <w:ind w:left="0" w:right="0" w:firstLine="562" w:firstLineChars="200"/>
              <w:rPr>
                <w:rFonts w:hint="default"/>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3.2</w:t>
            </w:r>
            <w:r>
              <w:rPr>
                <w:rFonts w:hint="eastAsia" w:hAnsi="宋体"/>
                <w:b/>
                <w:bCs/>
                <w:color w:val="000000" w:themeColor="text1"/>
                <w:sz w:val="28"/>
                <w:szCs w:val="28"/>
                <w:highlight w:val="none"/>
                <w14:textFill>
                  <w14:solidFill>
                    <w14:schemeClr w14:val="tx1"/>
                  </w14:solidFill>
                </w14:textFill>
              </w:rPr>
              <w:t>地表</w:t>
            </w:r>
            <w:r>
              <w:rPr>
                <w:rFonts w:hint="default" w:hAnsi="宋体"/>
                <w:b/>
                <w:bCs/>
                <w:color w:val="000000" w:themeColor="text1"/>
                <w:sz w:val="28"/>
                <w:szCs w:val="28"/>
                <w:highlight w:val="none"/>
                <w14:textFill>
                  <w14:solidFill>
                    <w14:schemeClr w14:val="tx1"/>
                  </w14:solidFill>
                </w14:textFill>
              </w:rPr>
              <w:t>水环境质量现状</w:t>
            </w:r>
          </w:p>
          <w:p w14:paraId="72F31630">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项目区</w:t>
            </w:r>
            <w:r>
              <w:rPr>
                <w:rFonts w:hint="eastAsia"/>
                <w:color w:val="000000" w:themeColor="text1"/>
                <w:sz w:val="24"/>
                <w:szCs w:val="20"/>
                <w:highlight w:val="none"/>
                <w14:textFill>
                  <w14:solidFill>
                    <w14:schemeClr w14:val="tx1"/>
                  </w14:solidFill>
                </w14:textFill>
              </w:rPr>
              <w:t>最近</w:t>
            </w:r>
            <w:r>
              <w:rPr>
                <w:rFonts w:hint="default"/>
                <w:color w:val="000000" w:themeColor="text1"/>
                <w:sz w:val="24"/>
                <w:szCs w:val="20"/>
                <w:highlight w:val="none"/>
                <w14:textFill>
                  <w14:solidFill>
                    <w14:schemeClr w14:val="tx1"/>
                  </w14:solidFill>
                </w14:textFill>
              </w:rPr>
              <w:t>地表水</w:t>
            </w:r>
            <w:r>
              <w:rPr>
                <w:rFonts w:hint="eastAsia"/>
                <w:color w:val="000000" w:themeColor="text1"/>
                <w:sz w:val="24"/>
                <w:szCs w:val="20"/>
                <w:highlight w:val="none"/>
                <w14:textFill>
                  <w14:solidFill>
                    <w14:schemeClr w14:val="tx1"/>
                  </w14:solidFill>
                </w14:textFill>
              </w:rPr>
              <w:t>体</w:t>
            </w:r>
            <w:r>
              <w:rPr>
                <w:rFonts w:hint="default"/>
                <w:color w:val="000000" w:themeColor="text1"/>
                <w:sz w:val="24"/>
                <w:szCs w:val="20"/>
                <w:highlight w:val="none"/>
                <w14:textFill>
                  <w14:solidFill>
                    <w14:schemeClr w14:val="tx1"/>
                  </w14:solidFill>
                </w14:textFill>
              </w:rPr>
              <w:t>为</w:t>
            </w:r>
            <w:r>
              <w:rPr>
                <w:rFonts w:hint="eastAsia"/>
                <w:color w:val="000000" w:themeColor="text1"/>
                <w:sz w:val="24"/>
                <w:szCs w:val="20"/>
                <w:highlight w:val="none"/>
                <w14:textFill>
                  <w14:solidFill>
                    <w14:schemeClr w14:val="tx1"/>
                  </w14:solidFill>
                </w14:textFill>
              </w:rPr>
              <w:t>聂鼠龙河，为牛栏江支流</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距本项目182米</w:t>
            </w:r>
            <w:r>
              <w:rPr>
                <w:rFonts w:hint="default"/>
                <w:color w:val="000000" w:themeColor="text1"/>
                <w:sz w:val="24"/>
                <w:szCs w:val="20"/>
                <w:highlight w:val="none"/>
                <w14:textFill>
                  <w14:solidFill>
                    <w14:schemeClr w14:val="tx1"/>
                  </w14:solidFill>
                </w14:textFill>
              </w:rPr>
              <w:t>。根据《昆明市和滇中产业新区水功能区划》（</w:t>
            </w:r>
            <w:r>
              <w:rPr>
                <w:rFonts w:hint="eastAsia"/>
                <w:color w:val="000000" w:themeColor="text1"/>
                <w:sz w:val="24"/>
                <w:szCs w:val="20"/>
                <w:highlight w:val="none"/>
                <w:lang w:val="en-US" w:eastAsia="zh-CN"/>
                <w14:textFill>
                  <w14:solidFill>
                    <w14:schemeClr w14:val="tx1"/>
                  </w14:solidFill>
                </w14:textFill>
              </w:rPr>
              <w:t>2011</w:t>
            </w:r>
            <w:r>
              <w:rPr>
                <w:rFonts w:hint="default"/>
                <w:color w:val="000000" w:themeColor="text1"/>
                <w:sz w:val="24"/>
                <w:szCs w:val="20"/>
                <w:highlight w:val="none"/>
                <w14:textFill>
                  <w14:solidFill>
                    <w14:schemeClr w14:val="tx1"/>
                  </w14:solidFill>
                </w14:textFill>
              </w:rPr>
              <w:t>~2030年），</w:t>
            </w:r>
            <w:r>
              <w:rPr>
                <w:rFonts w:hint="eastAsia"/>
                <w:color w:val="000000" w:themeColor="text1"/>
                <w:sz w:val="24"/>
                <w:szCs w:val="20"/>
                <w:highlight w:val="none"/>
                <w14:textFill>
                  <w14:solidFill>
                    <w14:schemeClr w14:val="tx1"/>
                  </w14:solidFill>
                </w14:textFill>
              </w:rPr>
              <w:t>牛栏江</w:t>
            </w:r>
            <w:r>
              <w:rPr>
                <w:rFonts w:hint="eastAsia" w:ascii="宋体" w:hAnsi="宋体" w:cs="宋体"/>
                <w:color w:val="000000" w:themeColor="text1"/>
                <w:sz w:val="24"/>
                <w:szCs w:val="24"/>
                <w:highlight w:val="none"/>
                <w:lang w:bidi="ar"/>
                <w14:textFill>
                  <w14:solidFill>
                    <w14:schemeClr w14:val="tx1"/>
                  </w14:solidFill>
                </w14:textFill>
              </w:rPr>
              <w:t>规划水平年水质保护目标为</w:t>
            </w:r>
            <w:r>
              <w:rPr>
                <w:rFonts w:hint="default"/>
                <w:color w:val="000000" w:themeColor="text1"/>
                <w:sz w:val="24"/>
                <w:szCs w:val="20"/>
                <w:highlight w:val="none"/>
                <w14:textFill>
                  <w14:solidFill>
                    <w14:schemeClr w14:val="tx1"/>
                  </w14:solidFill>
                </w14:textFill>
              </w:rPr>
              <w:t>Ⅲ类，执行《地表水环境质量标准》（GB3838-2002）Ⅲ类标准。</w:t>
            </w:r>
          </w:p>
          <w:p w14:paraId="3BCA8230">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根据</w:t>
            </w:r>
            <w:r>
              <w:rPr>
                <w:rFonts w:hint="eastAsia"/>
                <w:color w:val="000000" w:themeColor="text1"/>
                <w:sz w:val="24"/>
                <w:szCs w:val="20"/>
                <w:highlight w:val="none"/>
                <w14:textFill>
                  <w14:solidFill>
                    <w14:schemeClr w14:val="tx1"/>
                  </w14:solidFill>
                </w14:textFill>
              </w:rPr>
              <w:t>《202</w:t>
            </w:r>
            <w:r>
              <w:rPr>
                <w:rFonts w:hint="eastAsia"/>
                <w:color w:val="000000" w:themeColor="text1"/>
                <w:sz w:val="24"/>
                <w:szCs w:val="20"/>
                <w:highlight w:val="none"/>
                <w:lang w:val="en-US" w:eastAsia="zh-CN"/>
                <w14:textFill>
                  <w14:solidFill>
                    <w14:schemeClr w14:val="tx1"/>
                  </w14:solidFill>
                </w14:textFill>
              </w:rPr>
              <w:t>4</w:t>
            </w:r>
            <w:r>
              <w:rPr>
                <w:rFonts w:hint="eastAsia"/>
                <w:color w:val="000000" w:themeColor="text1"/>
                <w:sz w:val="24"/>
                <w:szCs w:val="20"/>
                <w:highlight w:val="none"/>
                <w14:textFill>
                  <w14:solidFill>
                    <w14:schemeClr w14:val="tx1"/>
                  </w14:solidFill>
                </w14:textFill>
              </w:rPr>
              <w:t>年度昆明市环境质量状况公报》，与2023年相比，牛栏江干流段的四营水文站、崔家庄、七星水文站断面水质类别保持I类不变，河口</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象鼻山吊桥</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断面水质类别保持I类不变。</w:t>
            </w:r>
          </w:p>
          <w:p w14:paraId="7AAD1BEE">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根据寻甸回族彝族自治县人民政府官网公布的地表水水质状况，聂鼠龙河</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汇入牛栏江前</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为省控断面，考核目标按照Ⅲ类。水质现状不能达到《地表水环境质量标准》（GB3838-2002）中Ⅲ类，超标情况见表</w:t>
            </w:r>
            <w:r>
              <w:rPr>
                <w:rFonts w:hint="eastAsia"/>
                <w:color w:val="000000" w:themeColor="text1"/>
                <w:sz w:val="24"/>
                <w:szCs w:val="20"/>
                <w:highlight w:val="none"/>
                <w14:textFill>
                  <w14:solidFill>
                    <w14:schemeClr w14:val="tx1"/>
                  </w14:solidFill>
                </w14:textFill>
              </w:rPr>
              <w:t>3-2</w:t>
            </w:r>
            <w:r>
              <w:rPr>
                <w:rFonts w:hint="default"/>
                <w:color w:val="000000" w:themeColor="text1"/>
                <w:sz w:val="24"/>
                <w:szCs w:val="20"/>
                <w:highlight w:val="none"/>
                <w14:textFill>
                  <w14:solidFill>
                    <w14:schemeClr w14:val="tx1"/>
                  </w14:solidFill>
                </w14:textFill>
              </w:rPr>
              <w:t>。</w:t>
            </w:r>
          </w:p>
          <w:p w14:paraId="0EC65CC3">
            <w:pPr>
              <w:keepNext w:val="0"/>
              <w:keepLines w:val="0"/>
              <w:suppressLineNumbers w:val="0"/>
              <w:spacing w:before="0" w:beforeAutospacing="0" w:after="0" w:afterAutospacing="0"/>
              <w:ind w:left="0" w:right="0"/>
              <w:jc w:val="center"/>
              <w:rPr>
                <w:rFonts w:hint="default"/>
                <w:b/>
                <w:bCs/>
                <w:color w:val="000000" w:themeColor="text1"/>
                <w:sz w:val="24"/>
                <w:szCs w:val="24"/>
                <w:highlight w:val="none"/>
                <w14:textFill>
                  <w14:solidFill>
                    <w14:schemeClr w14:val="tx1"/>
                  </w14:solidFill>
                </w14:textFill>
              </w:rPr>
            </w:pPr>
            <w:r>
              <w:rPr>
                <w:rFonts w:hint="default"/>
                <w:b/>
                <w:bCs/>
                <w:color w:val="000000" w:themeColor="text1"/>
                <w:sz w:val="24"/>
                <w:szCs w:val="24"/>
                <w:highlight w:val="none"/>
                <w14:textFill>
                  <w14:solidFill>
                    <w14:schemeClr w14:val="tx1"/>
                  </w14:solidFill>
                </w14:textFill>
              </w:rPr>
              <w:t>表</w:t>
            </w:r>
            <w:r>
              <w:rPr>
                <w:rFonts w:hint="eastAsia"/>
                <w:b/>
                <w:bCs/>
                <w:color w:val="000000" w:themeColor="text1"/>
                <w:sz w:val="24"/>
                <w:szCs w:val="24"/>
                <w:highlight w:val="none"/>
                <w14:textFill>
                  <w14:solidFill>
                    <w14:schemeClr w14:val="tx1"/>
                  </w14:solidFill>
                </w14:textFill>
              </w:rPr>
              <w:t>3-</w:t>
            </w:r>
            <w:r>
              <w:rPr>
                <w:rFonts w:hint="eastAsia"/>
                <w:b/>
                <w:bCs/>
                <w:color w:val="000000" w:themeColor="text1"/>
                <w:sz w:val="24"/>
                <w:szCs w:val="24"/>
                <w:highlight w:val="none"/>
                <w:lang w:val="en-US" w:eastAsia="zh-CN"/>
                <w14:textFill>
                  <w14:solidFill>
                    <w14:schemeClr w14:val="tx1"/>
                  </w14:solidFill>
                </w14:textFill>
              </w:rPr>
              <w:t>3</w:t>
            </w:r>
            <w:r>
              <w:rPr>
                <w:rFonts w:hint="default"/>
                <w:b/>
                <w:bCs/>
                <w:color w:val="000000" w:themeColor="text1"/>
                <w:sz w:val="24"/>
                <w:szCs w:val="24"/>
                <w:highlight w:val="none"/>
                <w14:textFill>
                  <w14:solidFill>
                    <w14:schemeClr w14:val="tx1"/>
                  </w14:solidFill>
                </w14:textFill>
              </w:rPr>
              <w:t xml:space="preserve">  聂鼠龙河</w:t>
            </w:r>
            <w:r>
              <w:rPr>
                <w:rFonts w:hint="eastAsia"/>
                <w:b/>
                <w:bCs/>
                <w:color w:val="000000" w:themeColor="text1"/>
                <w:sz w:val="24"/>
                <w:szCs w:val="24"/>
                <w:highlight w:val="none"/>
                <w:lang w:eastAsia="zh-CN"/>
                <w14:textFill>
                  <w14:solidFill>
                    <w14:schemeClr w14:val="tx1"/>
                  </w14:solidFill>
                </w14:textFill>
              </w:rPr>
              <w:t>（</w:t>
            </w:r>
            <w:r>
              <w:rPr>
                <w:rFonts w:hint="default"/>
                <w:b/>
                <w:bCs/>
                <w:color w:val="000000" w:themeColor="text1"/>
                <w:sz w:val="24"/>
                <w:szCs w:val="24"/>
                <w:highlight w:val="none"/>
                <w14:textFill>
                  <w14:solidFill>
                    <w14:schemeClr w14:val="tx1"/>
                  </w14:solidFill>
                </w14:textFill>
              </w:rPr>
              <w:t>汇入牛栏江前</w:t>
            </w:r>
            <w:r>
              <w:rPr>
                <w:rFonts w:hint="eastAsia"/>
                <w:b/>
                <w:bCs/>
                <w:color w:val="000000" w:themeColor="text1"/>
                <w:sz w:val="24"/>
                <w:szCs w:val="24"/>
                <w:highlight w:val="none"/>
                <w:lang w:eastAsia="zh-CN"/>
                <w14:textFill>
                  <w14:solidFill>
                    <w14:schemeClr w14:val="tx1"/>
                  </w14:solidFill>
                </w14:textFill>
              </w:rPr>
              <w:t>）</w:t>
            </w:r>
            <w:r>
              <w:rPr>
                <w:rFonts w:hint="default"/>
                <w:b/>
                <w:bCs/>
                <w:color w:val="000000" w:themeColor="text1"/>
                <w:sz w:val="24"/>
                <w:szCs w:val="24"/>
                <w:highlight w:val="none"/>
                <w14:textFill>
                  <w14:solidFill>
                    <w14:schemeClr w14:val="tx1"/>
                  </w14:solidFill>
                </w14:textFill>
              </w:rPr>
              <w:t>断面水质状况统计</w:t>
            </w:r>
          </w:p>
          <w:tbl>
            <w:tblPr>
              <w:tblStyle w:val="45"/>
              <w:tblW w:w="821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2"/>
              <w:gridCol w:w="2126"/>
              <w:gridCol w:w="1536"/>
              <w:gridCol w:w="1701"/>
              <w:gridCol w:w="1683"/>
            </w:tblGrid>
            <w:tr w14:paraId="3EA4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172" w:type="dxa"/>
                  <w:vAlign w:val="center"/>
                </w:tcPr>
                <w:p w14:paraId="09617940">
                  <w:pPr>
                    <w:pStyle w:val="272"/>
                    <w:keepNext w:val="0"/>
                    <w:keepLines w:val="0"/>
                    <w:widowControl w:val="0"/>
                    <w:suppressLineNumbers w:val="0"/>
                    <w:spacing w:before="0" w:beforeAutospacing="0" w:after="0" w:afterAutospacing="0"/>
                    <w:ind w:left="0" w:right="0"/>
                    <w:rPr>
                      <w:rFonts w:hint="default" w:cs="Times New Roman"/>
                      <w:b/>
                      <w:bCs/>
                      <w:color w:val="000000" w:themeColor="text1"/>
                      <w:sz w:val="21"/>
                      <w:szCs w:val="21"/>
                      <w:highlight w:val="none"/>
                      <w14:textFill>
                        <w14:solidFill>
                          <w14:schemeClr w14:val="tx1"/>
                        </w14:solidFill>
                      </w14:textFill>
                    </w:rPr>
                  </w:pPr>
                  <w:r>
                    <w:rPr>
                      <w:rFonts w:hint="default" w:cs="Times New Roman"/>
                      <w:b/>
                      <w:bCs/>
                      <w:color w:val="000000" w:themeColor="text1"/>
                      <w:sz w:val="21"/>
                      <w:szCs w:val="21"/>
                      <w:highlight w:val="none"/>
                      <w14:textFill>
                        <w14:solidFill>
                          <w14:schemeClr w14:val="tx1"/>
                        </w14:solidFill>
                      </w14:textFill>
                    </w:rPr>
                    <w:t>断面</w:t>
                  </w:r>
                </w:p>
              </w:tc>
              <w:tc>
                <w:tcPr>
                  <w:tcW w:w="2126" w:type="dxa"/>
                  <w:vAlign w:val="center"/>
                </w:tcPr>
                <w:p w14:paraId="7E22DFAE">
                  <w:pPr>
                    <w:pStyle w:val="272"/>
                    <w:keepNext w:val="0"/>
                    <w:keepLines w:val="0"/>
                    <w:widowControl w:val="0"/>
                    <w:suppressLineNumbers w:val="0"/>
                    <w:spacing w:before="0" w:beforeAutospacing="0" w:after="0" w:afterAutospacing="0"/>
                    <w:ind w:left="0" w:right="0"/>
                    <w:rPr>
                      <w:rFonts w:hint="default" w:cs="Times New Roman"/>
                      <w:b/>
                      <w:bCs/>
                      <w:color w:val="000000" w:themeColor="text1"/>
                      <w:sz w:val="21"/>
                      <w:szCs w:val="21"/>
                      <w:highlight w:val="none"/>
                      <w14:textFill>
                        <w14:solidFill>
                          <w14:schemeClr w14:val="tx1"/>
                        </w14:solidFill>
                      </w14:textFill>
                    </w:rPr>
                  </w:pPr>
                  <w:r>
                    <w:rPr>
                      <w:rFonts w:hint="default" w:cs="Times New Roman"/>
                      <w:b/>
                      <w:bCs/>
                      <w:color w:val="000000" w:themeColor="text1"/>
                      <w:sz w:val="21"/>
                      <w:szCs w:val="21"/>
                      <w:highlight w:val="none"/>
                      <w14:textFill>
                        <w14:solidFill>
                          <w14:schemeClr w14:val="tx1"/>
                        </w14:solidFill>
                      </w14:textFill>
                    </w:rPr>
                    <w:t>监测时间</w:t>
                  </w:r>
                </w:p>
              </w:tc>
              <w:tc>
                <w:tcPr>
                  <w:tcW w:w="1536" w:type="dxa"/>
                  <w:vAlign w:val="center"/>
                </w:tcPr>
                <w:p w14:paraId="6E7221D5">
                  <w:pPr>
                    <w:pStyle w:val="272"/>
                    <w:keepNext w:val="0"/>
                    <w:keepLines w:val="0"/>
                    <w:widowControl w:val="0"/>
                    <w:suppressLineNumbers w:val="0"/>
                    <w:spacing w:before="0" w:beforeAutospacing="0" w:after="0" w:afterAutospacing="0"/>
                    <w:ind w:left="0" w:right="0"/>
                    <w:rPr>
                      <w:rFonts w:hint="default" w:cs="Times New Roman"/>
                      <w:b/>
                      <w:bCs/>
                      <w:color w:val="000000" w:themeColor="text1"/>
                      <w:sz w:val="21"/>
                      <w:szCs w:val="21"/>
                      <w:highlight w:val="none"/>
                      <w14:textFill>
                        <w14:solidFill>
                          <w14:schemeClr w14:val="tx1"/>
                        </w14:solidFill>
                      </w14:textFill>
                    </w:rPr>
                  </w:pPr>
                  <w:r>
                    <w:rPr>
                      <w:rFonts w:hint="default" w:cs="Times New Roman"/>
                      <w:b/>
                      <w:bCs/>
                      <w:color w:val="000000" w:themeColor="text1"/>
                      <w:sz w:val="21"/>
                      <w:szCs w:val="21"/>
                      <w:highlight w:val="none"/>
                      <w14:textFill>
                        <w14:solidFill>
                          <w14:schemeClr w14:val="tx1"/>
                        </w14:solidFill>
                      </w14:textFill>
                    </w:rPr>
                    <w:t>考核目标</w:t>
                  </w:r>
                </w:p>
              </w:tc>
              <w:tc>
                <w:tcPr>
                  <w:tcW w:w="1701" w:type="dxa"/>
                  <w:vAlign w:val="center"/>
                </w:tcPr>
                <w:p w14:paraId="1F45E1AF">
                  <w:pPr>
                    <w:pStyle w:val="272"/>
                    <w:keepNext w:val="0"/>
                    <w:keepLines w:val="0"/>
                    <w:widowControl w:val="0"/>
                    <w:suppressLineNumbers w:val="0"/>
                    <w:spacing w:before="0" w:beforeAutospacing="0" w:after="0" w:afterAutospacing="0"/>
                    <w:ind w:left="0" w:right="0"/>
                    <w:rPr>
                      <w:rFonts w:hint="eastAsia" w:eastAsia="宋体" w:cs="Times New Roman"/>
                      <w:b/>
                      <w:bCs/>
                      <w:color w:val="000000" w:themeColor="text1"/>
                      <w:sz w:val="21"/>
                      <w:szCs w:val="21"/>
                      <w:highlight w:val="none"/>
                      <w:lang w:eastAsia="zh-CN"/>
                      <w14:textFill>
                        <w14:solidFill>
                          <w14:schemeClr w14:val="tx1"/>
                        </w14:solidFill>
                      </w14:textFill>
                    </w:rPr>
                  </w:pPr>
                  <w:r>
                    <w:rPr>
                      <w:rFonts w:hint="default" w:cs="Times New Roman"/>
                      <w:b/>
                      <w:bCs/>
                      <w:color w:val="000000" w:themeColor="text1"/>
                      <w:sz w:val="21"/>
                      <w:szCs w:val="21"/>
                      <w:highlight w:val="none"/>
                      <w14:textFill>
                        <w14:solidFill>
                          <w14:schemeClr w14:val="tx1"/>
                        </w14:solidFill>
                      </w14:textFill>
                    </w:rPr>
                    <w:t>水质</w:t>
                  </w:r>
                  <w:r>
                    <w:rPr>
                      <w:rFonts w:hint="eastAsia" w:cs="Times New Roman"/>
                      <w:b/>
                      <w:bCs/>
                      <w:color w:val="000000" w:themeColor="text1"/>
                      <w:sz w:val="21"/>
                      <w:szCs w:val="21"/>
                      <w:highlight w:val="none"/>
                      <w:lang w:val="en-US" w:eastAsia="zh-CN"/>
                      <w14:textFill>
                        <w14:solidFill>
                          <w14:schemeClr w14:val="tx1"/>
                        </w14:solidFill>
                      </w14:textFill>
                    </w:rPr>
                    <w:t>类别</w:t>
                  </w:r>
                </w:p>
              </w:tc>
              <w:tc>
                <w:tcPr>
                  <w:tcW w:w="1683" w:type="dxa"/>
                  <w:vAlign w:val="center"/>
                </w:tcPr>
                <w:p w14:paraId="44977A50">
                  <w:pPr>
                    <w:pStyle w:val="272"/>
                    <w:keepNext w:val="0"/>
                    <w:keepLines w:val="0"/>
                    <w:widowControl w:val="0"/>
                    <w:suppressLineNumbers w:val="0"/>
                    <w:spacing w:before="0" w:beforeAutospacing="0" w:after="0" w:afterAutospacing="0"/>
                    <w:ind w:left="0" w:right="0"/>
                    <w:rPr>
                      <w:rFonts w:hint="default" w:cs="Times New Roman"/>
                      <w:b/>
                      <w:bCs/>
                      <w:color w:val="000000" w:themeColor="text1"/>
                      <w:sz w:val="21"/>
                      <w:szCs w:val="21"/>
                      <w:highlight w:val="none"/>
                      <w14:textFill>
                        <w14:solidFill>
                          <w14:schemeClr w14:val="tx1"/>
                        </w14:solidFill>
                      </w14:textFill>
                    </w:rPr>
                  </w:pPr>
                  <w:r>
                    <w:rPr>
                      <w:rFonts w:hint="default" w:cs="Times New Roman"/>
                      <w:b/>
                      <w:bCs/>
                      <w:color w:val="000000" w:themeColor="text1"/>
                      <w:sz w:val="21"/>
                      <w:szCs w:val="21"/>
                      <w:highlight w:val="none"/>
                      <w14:textFill>
                        <w14:solidFill>
                          <w14:schemeClr w14:val="tx1"/>
                        </w14:solidFill>
                      </w14:textFill>
                    </w:rPr>
                    <w:t>达标情况</w:t>
                  </w:r>
                </w:p>
              </w:tc>
            </w:tr>
            <w:tr w14:paraId="1A7F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172" w:type="dxa"/>
                  <w:vMerge w:val="restart"/>
                  <w:vAlign w:val="center"/>
                </w:tcPr>
                <w:p w14:paraId="3AC82D84">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default" w:cs="Times New Roman"/>
                      <w:color w:val="000000" w:themeColor="text1"/>
                      <w:sz w:val="21"/>
                      <w:szCs w:val="21"/>
                      <w:highlight w:val="none"/>
                      <w14:textFill>
                        <w14:solidFill>
                          <w14:schemeClr w14:val="tx1"/>
                        </w14:solidFill>
                      </w14:textFill>
                    </w:rPr>
                    <w:t>聂鼠龙河</w:t>
                  </w:r>
                  <w:r>
                    <w:rPr>
                      <w:rFonts w:hint="eastAsia" w:cs="Times New Roman"/>
                      <w:color w:val="000000" w:themeColor="text1"/>
                      <w:sz w:val="21"/>
                      <w:szCs w:val="21"/>
                      <w:highlight w:val="none"/>
                      <w:lang w:eastAsia="zh-CN"/>
                      <w14:textFill>
                        <w14:solidFill>
                          <w14:schemeClr w14:val="tx1"/>
                        </w14:solidFill>
                      </w14:textFill>
                    </w:rPr>
                    <w:t>（</w:t>
                  </w:r>
                  <w:r>
                    <w:rPr>
                      <w:rFonts w:hint="default" w:cs="Times New Roman"/>
                      <w:color w:val="000000" w:themeColor="text1"/>
                      <w:sz w:val="21"/>
                      <w:szCs w:val="21"/>
                      <w:highlight w:val="none"/>
                      <w14:textFill>
                        <w14:solidFill>
                          <w14:schemeClr w14:val="tx1"/>
                        </w14:solidFill>
                      </w14:textFill>
                    </w:rPr>
                    <w:t>汇入牛栏江前</w:t>
                  </w:r>
                  <w:r>
                    <w:rPr>
                      <w:rFonts w:hint="eastAsia" w:cs="Times New Roman"/>
                      <w:color w:val="000000" w:themeColor="text1"/>
                      <w:sz w:val="21"/>
                      <w:szCs w:val="21"/>
                      <w:highlight w:val="none"/>
                      <w:lang w:eastAsia="zh-CN"/>
                      <w14:textFill>
                        <w14:solidFill>
                          <w14:schemeClr w14:val="tx1"/>
                        </w14:solidFill>
                      </w14:textFill>
                    </w:rPr>
                    <w:t>）</w:t>
                  </w:r>
                  <w:r>
                    <w:rPr>
                      <w:rFonts w:hint="default" w:cs="Times New Roman"/>
                      <w:color w:val="000000" w:themeColor="text1"/>
                      <w:sz w:val="21"/>
                      <w:szCs w:val="21"/>
                      <w:highlight w:val="none"/>
                      <w14:textFill>
                        <w14:solidFill>
                          <w14:schemeClr w14:val="tx1"/>
                        </w14:solidFill>
                      </w14:textFill>
                    </w:rPr>
                    <w:t>断面</w:t>
                  </w:r>
                </w:p>
              </w:tc>
              <w:tc>
                <w:tcPr>
                  <w:tcW w:w="2126" w:type="dxa"/>
                  <w:vAlign w:val="center"/>
                </w:tcPr>
                <w:p w14:paraId="056B0714">
                  <w:pPr>
                    <w:pStyle w:val="272"/>
                    <w:keepNext w:val="0"/>
                    <w:keepLines w:val="0"/>
                    <w:widowControl w:val="0"/>
                    <w:suppressLineNumbers w:val="0"/>
                    <w:spacing w:before="0" w:beforeAutospacing="0" w:after="0" w:afterAutospacing="0"/>
                    <w:ind w:left="0" w:right="0"/>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2025年一季度</w:t>
                  </w:r>
                </w:p>
              </w:tc>
              <w:tc>
                <w:tcPr>
                  <w:tcW w:w="1536" w:type="dxa"/>
                  <w:vAlign w:val="center"/>
                </w:tcPr>
                <w:p w14:paraId="19E2520F">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default" w:cs="Times New Roman"/>
                      <w:color w:val="000000" w:themeColor="text1"/>
                      <w:sz w:val="21"/>
                      <w:szCs w:val="21"/>
                      <w:highlight w:val="none"/>
                      <w14:textFill>
                        <w14:solidFill>
                          <w14:schemeClr w14:val="tx1"/>
                        </w14:solidFill>
                      </w14:textFill>
                    </w:rPr>
                    <w:t>Ⅲ类</w:t>
                  </w:r>
                </w:p>
              </w:tc>
              <w:tc>
                <w:tcPr>
                  <w:tcW w:w="1701" w:type="dxa"/>
                  <w:vAlign w:val="center"/>
                </w:tcPr>
                <w:p w14:paraId="7216FBA5">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Ⅴ</w:t>
                  </w:r>
                  <w:r>
                    <w:rPr>
                      <w:rFonts w:hint="default" w:cs="Times New Roman"/>
                      <w:color w:val="000000" w:themeColor="text1"/>
                      <w:sz w:val="21"/>
                      <w:szCs w:val="21"/>
                      <w:highlight w:val="none"/>
                      <w14:textFill>
                        <w14:solidFill>
                          <w14:schemeClr w14:val="tx1"/>
                        </w14:solidFill>
                      </w14:textFill>
                    </w:rPr>
                    <w:t>类</w:t>
                  </w:r>
                </w:p>
              </w:tc>
              <w:tc>
                <w:tcPr>
                  <w:tcW w:w="1683" w:type="dxa"/>
                  <w:vAlign w:val="center"/>
                </w:tcPr>
                <w:p w14:paraId="2362CA85">
                  <w:pPr>
                    <w:pStyle w:val="272"/>
                    <w:keepNext w:val="0"/>
                    <w:keepLines w:val="0"/>
                    <w:widowControl w:val="0"/>
                    <w:suppressLineNumbers w:val="0"/>
                    <w:spacing w:before="0" w:beforeAutospacing="0" w:after="0" w:afterAutospacing="0"/>
                    <w:ind w:left="0" w:right="0"/>
                    <w:rPr>
                      <w:rFonts w:hint="eastAsia"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不达标</w:t>
                  </w:r>
                </w:p>
              </w:tc>
            </w:tr>
            <w:tr w14:paraId="4482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172" w:type="dxa"/>
                  <w:vMerge w:val="continue"/>
                  <w:vAlign w:val="center"/>
                </w:tcPr>
                <w:p w14:paraId="688C5F9B">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p>
              </w:tc>
              <w:tc>
                <w:tcPr>
                  <w:tcW w:w="2126" w:type="dxa"/>
                  <w:vAlign w:val="center"/>
                </w:tcPr>
                <w:p w14:paraId="497D06AC">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2025年二季度</w:t>
                  </w:r>
                </w:p>
              </w:tc>
              <w:tc>
                <w:tcPr>
                  <w:tcW w:w="1536" w:type="dxa"/>
                  <w:vAlign w:val="center"/>
                </w:tcPr>
                <w:p w14:paraId="364F1F86">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default" w:cs="Times New Roman"/>
                      <w:color w:val="000000" w:themeColor="text1"/>
                      <w:sz w:val="21"/>
                      <w:szCs w:val="21"/>
                      <w:highlight w:val="none"/>
                      <w14:textFill>
                        <w14:solidFill>
                          <w14:schemeClr w14:val="tx1"/>
                        </w14:solidFill>
                      </w14:textFill>
                    </w:rPr>
                    <w:t>Ⅲ类</w:t>
                  </w:r>
                </w:p>
              </w:tc>
              <w:tc>
                <w:tcPr>
                  <w:tcW w:w="1701" w:type="dxa"/>
                  <w:vAlign w:val="center"/>
                </w:tcPr>
                <w:p w14:paraId="4305DA24">
                  <w:pPr>
                    <w:pStyle w:val="272"/>
                    <w:keepNext w:val="0"/>
                    <w:keepLines w:val="0"/>
                    <w:widowControl w:val="0"/>
                    <w:suppressLineNumbers w:val="0"/>
                    <w:spacing w:before="0" w:beforeAutospacing="0" w:after="0" w:afterAutospacing="0"/>
                    <w:ind w:left="0" w:right="0"/>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Ⅴ</w:t>
                  </w:r>
                  <w:r>
                    <w:rPr>
                      <w:rFonts w:hint="eastAsia" w:cs="Times New Roman"/>
                      <w:color w:val="000000" w:themeColor="text1"/>
                      <w:sz w:val="21"/>
                      <w:szCs w:val="21"/>
                      <w:highlight w:val="none"/>
                      <w:lang w:val="en-US" w:eastAsia="zh-CN"/>
                      <w14:textFill>
                        <w14:solidFill>
                          <w14:schemeClr w14:val="tx1"/>
                        </w14:solidFill>
                      </w14:textFill>
                    </w:rPr>
                    <w:t>类</w:t>
                  </w:r>
                </w:p>
              </w:tc>
              <w:tc>
                <w:tcPr>
                  <w:tcW w:w="1683" w:type="dxa"/>
                  <w:vAlign w:val="center"/>
                </w:tcPr>
                <w:p w14:paraId="3FCEB143">
                  <w:pPr>
                    <w:pStyle w:val="272"/>
                    <w:keepNext w:val="0"/>
                    <w:keepLines w:val="0"/>
                    <w:widowControl w:val="0"/>
                    <w:suppressLineNumbers w:val="0"/>
                    <w:spacing w:before="0" w:beforeAutospacing="0" w:after="0" w:afterAutospacing="0"/>
                    <w:ind w:left="0" w:right="0"/>
                    <w:rPr>
                      <w:rFonts w:hint="eastAsia"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不达标</w:t>
                  </w:r>
                </w:p>
              </w:tc>
            </w:tr>
            <w:tr w14:paraId="0528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172" w:type="dxa"/>
                  <w:vMerge w:val="continue"/>
                  <w:vAlign w:val="center"/>
                </w:tcPr>
                <w:p w14:paraId="5C3C39DC">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p>
              </w:tc>
              <w:tc>
                <w:tcPr>
                  <w:tcW w:w="2126" w:type="dxa"/>
                  <w:vAlign w:val="center"/>
                </w:tcPr>
                <w:p w14:paraId="41FA396D">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2025年三季度</w:t>
                  </w:r>
                </w:p>
              </w:tc>
              <w:tc>
                <w:tcPr>
                  <w:tcW w:w="1536" w:type="dxa"/>
                  <w:vAlign w:val="center"/>
                </w:tcPr>
                <w:p w14:paraId="101C0D74">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default" w:cs="Times New Roman"/>
                      <w:color w:val="000000" w:themeColor="text1"/>
                      <w:sz w:val="21"/>
                      <w:szCs w:val="21"/>
                      <w:highlight w:val="none"/>
                      <w14:textFill>
                        <w14:solidFill>
                          <w14:schemeClr w14:val="tx1"/>
                        </w14:solidFill>
                      </w14:textFill>
                    </w:rPr>
                    <w:t>Ⅲ类</w:t>
                  </w:r>
                </w:p>
              </w:tc>
              <w:tc>
                <w:tcPr>
                  <w:tcW w:w="1701" w:type="dxa"/>
                  <w:vAlign w:val="center"/>
                </w:tcPr>
                <w:p w14:paraId="70B10167">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default" w:cs="Times New Roman"/>
                      <w:color w:val="000000" w:themeColor="text1"/>
                      <w:sz w:val="21"/>
                      <w:szCs w:val="21"/>
                      <w:highlight w:val="none"/>
                      <w14:textFill>
                        <w14:solidFill>
                          <w14:schemeClr w14:val="tx1"/>
                        </w14:solidFill>
                      </w14:textFill>
                    </w:rPr>
                    <w:t>Ⅴ类</w:t>
                  </w:r>
                </w:p>
              </w:tc>
              <w:tc>
                <w:tcPr>
                  <w:tcW w:w="1683" w:type="dxa"/>
                  <w:vAlign w:val="center"/>
                </w:tcPr>
                <w:p w14:paraId="16C792DC">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default" w:cs="Times New Roman"/>
                      <w:color w:val="000000" w:themeColor="text1"/>
                      <w:sz w:val="21"/>
                      <w:szCs w:val="21"/>
                      <w:highlight w:val="none"/>
                      <w14:textFill>
                        <w14:solidFill>
                          <w14:schemeClr w14:val="tx1"/>
                        </w14:solidFill>
                      </w14:textFill>
                    </w:rPr>
                    <w:t>不达标</w:t>
                  </w:r>
                </w:p>
              </w:tc>
            </w:tr>
            <w:tr w14:paraId="4810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172" w:type="dxa"/>
                  <w:vMerge w:val="continue"/>
                  <w:vAlign w:val="center"/>
                </w:tcPr>
                <w:p w14:paraId="4A30916D">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p>
              </w:tc>
              <w:tc>
                <w:tcPr>
                  <w:tcW w:w="2126" w:type="dxa"/>
                  <w:vAlign w:val="center"/>
                </w:tcPr>
                <w:p w14:paraId="23F87A12">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2025年四季度</w:t>
                  </w:r>
                </w:p>
              </w:tc>
              <w:tc>
                <w:tcPr>
                  <w:tcW w:w="1536" w:type="dxa"/>
                  <w:vAlign w:val="center"/>
                </w:tcPr>
                <w:p w14:paraId="1231C7CD">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default" w:cs="Times New Roman"/>
                      <w:color w:val="000000" w:themeColor="text1"/>
                      <w:sz w:val="21"/>
                      <w:szCs w:val="21"/>
                      <w:highlight w:val="none"/>
                      <w14:textFill>
                        <w14:solidFill>
                          <w14:schemeClr w14:val="tx1"/>
                        </w14:solidFill>
                      </w14:textFill>
                    </w:rPr>
                    <w:t>Ⅲ类</w:t>
                  </w:r>
                </w:p>
              </w:tc>
              <w:tc>
                <w:tcPr>
                  <w:tcW w:w="1701" w:type="dxa"/>
                  <w:vAlign w:val="center"/>
                </w:tcPr>
                <w:p w14:paraId="69BE668E">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default" w:cs="Times New Roman"/>
                      <w:color w:val="000000" w:themeColor="text1"/>
                      <w:sz w:val="21"/>
                      <w:szCs w:val="21"/>
                      <w:highlight w:val="none"/>
                      <w14:textFill>
                        <w14:solidFill>
                          <w14:schemeClr w14:val="tx1"/>
                        </w14:solidFill>
                      </w14:textFill>
                    </w:rPr>
                    <w:t>Ⅴ类</w:t>
                  </w:r>
                </w:p>
              </w:tc>
              <w:tc>
                <w:tcPr>
                  <w:tcW w:w="1683" w:type="dxa"/>
                  <w:vAlign w:val="center"/>
                </w:tcPr>
                <w:p w14:paraId="72065370">
                  <w:pPr>
                    <w:pStyle w:val="272"/>
                    <w:keepNext w:val="0"/>
                    <w:keepLines w:val="0"/>
                    <w:widowControl w:val="0"/>
                    <w:suppressLineNumbers w:val="0"/>
                    <w:spacing w:before="0" w:beforeAutospacing="0" w:after="0" w:afterAutospacing="0"/>
                    <w:ind w:left="0" w:right="0"/>
                    <w:rPr>
                      <w:rFonts w:hint="default" w:cs="Times New Roman"/>
                      <w:color w:val="000000" w:themeColor="text1"/>
                      <w:sz w:val="21"/>
                      <w:szCs w:val="21"/>
                      <w:highlight w:val="none"/>
                      <w14:textFill>
                        <w14:solidFill>
                          <w14:schemeClr w14:val="tx1"/>
                        </w14:solidFill>
                      </w14:textFill>
                    </w:rPr>
                  </w:pPr>
                  <w:r>
                    <w:rPr>
                      <w:rFonts w:hint="default" w:cs="Times New Roman"/>
                      <w:color w:val="000000" w:themeColor="text1"/>
                      <w:sz w:val="21"/>
                      <w:szCs w:val="21"/>
                      <w:highlight w:val="none"/>
                      <w14:textFill>
                        <w14:solidFill>
                          <w14:schemeClr w14:val="tx1"/>
                        </w14:solidFill>
                      </w14:textFill>
                    </w:rPr>
                    <w:t>不达标</w:t>
                  </w:r>
                </w:p>
              </w:tc>
            </w:tr>
          </w:tbl>
          <w:p w14:paraId="32291047">
            <w:pPr>
              <w:keepNext w:val="0"/>
              <w:keepLines w:val="0"/>
              <w:suppressLineNumbers w:val="0"/>
              <w:spacing w:before="0" w:beforeAutospacing="0" w:after="0" w:afterAutospacing="0" w:line="360" w:lineRule="auto"/>
              <w:ind w:left="0" w:right="0" w:firstLine="48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本次评价按照《昆明市和滇中产业新区水功能区划》（2010~2030年）的Ⅲ类标准进行评价，寻甸回族彝族自治县人民政府官网公布的聂鼠龙河</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汇入牛栏江前</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断面地表水水质状况按照Ⅲ类进行对标，根据其公布的结果，不能达到《地表水环境质量标准》（GB3838-2002）Ⅲ类标准</w:t>
            </w:r>
            <w:r>
              <w:rPr>
                <w:rFonts w:hint="eastAsia"/>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属于不达标区。</w:t>
            </w:r>
          </w:p>
          <w:p w14:paraId="41652232">
            <w:pPr>
              <w:keepNext w:val="0"/>
              <w:keepLines w:val="0"/>
              <w:suppressLineNumbers w:val="0"/>
              <w:spacing w:before="0" w:beforeAutospacing="0" w:after="0" w:afterAutospacing="0" w:line="360" w:lineRule="auto"/>
              <w:ind w:left="0" w:right="0" w:firstLine="480"/>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同时本次环评引用《云南常青树化工有限公司磷石膏库“一库一策”整治方案》（2026年2月）中的地表水监测结果来说明聂鼠龙河的达标情况。</w:t>
            </w:r>
          </w:p>
          <w:p w14:paraId="7E298C56">
            <w:pPr>
              <w:keepNext w:val="0"/>
              <w:keepLines w:val="0"/>
              <w:suppressLineNumbers w:val="0"/>
              <w:spacing w:before="0" w:beforeAutospacing="0" w:after="0" w:afterAutospacing="0" w:line="360" w:lineRule="auto"/>
              <w:ind w:left="0" w:right="0" w:firstLine="48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云南常青树化工有限公司磷石膏库周边3km范围内地表水不存在国、省控监测断面。周边3km范围内的聂鼠龙河、聂鼠龙河龙潭(位于项目下游区域)和牛栏江均位于</w:t>
            </w:r>
            <w:r>
              <w:rPr>
                <w:rFonts w:hint="eastAsia"/>
                <w:color w:val="000000" w:themeColor="text1"/>
                <w:sz w:val="24"/>
                <w:szCs w:val="20"/>
                <w:highlight w:val="none"/>
                <w:lang w:val="en-US" w:eastAsia="zh-CN"/>
                <w14:textFill>
                  <w14:solidFill>
                    <w14:schemeClr w14:val="tx1"/>
                  </w14:solidFill>
                </w14:textFill>
              </w:rPr>
              <w:t>常青树</w:t>
            </w:r>
            <w:r>
              <w:rPr>
                <w:rFonts w:hint="default"/>
                <w:color w:val="000000" w:themeColor="text1"/>
                <w:sz w:val="24"/>
                <w:szCs w:val="20"/>
                <w:highlight w:val="none"/>
                <w14:textFill>
                  <w14:solidFill>
                    <w14:schemeClr w14:val="tx1"/>
                  </w14:solidFill>
                </w14:textFill>
              </w:rPr>
              <w:t>磷石膏库下游区域，均存在一定水力联系</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在聂鼠龙河上、下游共布设4个地表水监测点位，在聂鼠龙河龙潭处布设1个监测点位，各监测点位的布点理由如下表所示。</w:t>
            </w:r>
          </w:p>
          <w:p w14:paraId="40B8368C">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kern w:val="2"/>
                <w:sz w:val="24"/>
                <w:szCs w:val="24"/>
                <w:highlight w:val="none"/>
                <w:lang w:val="en-US"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***涉密删除***</w:t>
            </w:r>
          </w:p>
          <w:p w14:paraId="0C6CE0AE">
            <w:pPr>
              <w:pStyle w:val="17"/>
              <w:keepNext w:val="0"/>
              <w:keepLines w:val="0"/>
              <w:suppressLineNumbers w:val="0"/>
              <w:spacing w:beforeAutospacing="0" w:afterAutospacing="0"/>
              <w:ind w:left="0"/>
              <w:rPr>
                <w:rFonts w:hint="default"/>
                <w:color w:val="000000" w:themeColor="text1"/>
                <w:sz w:val="24"/>
                <w:szCs w:val="20"/>
                <w:highlight w:val="none"/>
                <w14:textFill>
                  <w14:solidFill>
                    <w14:schemeClr w14:val="tx1"/>
                  </w14:solidFill>
                </w14:textFill>
              </w:rPr>
            </w:pPr>
          </w:p>
          <w:p w14:paraId="6F2A21A1">
            <w:pPr>
              <w:keepNext w:val="0"/>
              <w:keepLines w:val="0"/>
              <w:suppressLineNumbers w:val="0"/>
              <w:spacing w:before="0" w:beforeAutospacing="0" w:after="0" w:afterAutospacing="0"/>
              <w:ind w:left="0" w:right="0"/>
              <w:jc w:val="center"/>
              <w:rPr>
                <w:rFonts w:hint="default" w:eastAsia="宋体"/>
                <w:b/>
                <w:bCs/>
                <w:color w:val="000000" w:themeColor="text1"/>
                <w:sz w:val="24"/>
                <w:szCs w:val="20"/>
                <w:highlight w:val="none"/>
                <w:lang w:val="en-US" w:eastAsia="zh-CN"/>
                <w14:textFill>
                  <w14:solidFill>
                    <w14:schemeClr w14:val="tx1"/>
                  </w14:solidFill>
                </w14:textFill>
              </w:rPr>
            </w:pPr>
            <w:r>
              <w:rPr>
                <w:rFonts w:hint="eastAsia"/>
                <w:b/>
                <w:bCs/>
                <w:color w:val="000000" w:themeColor="text1"/>
                <w:sz w:val="24"/>
                <w:szCs w:val="20"/>
                <w:highlight w:val="none"/>
                <w:lang w:val="en-US" w:eastAsia="zh-CN"/>
                <w14:textFill>
                  <w14:solidFill>
                    <w14:schemeClr w14:val="tx1"/>
                  </w14:solidFill>
                </w14:textFill>
              </w:rPr>
              <w:t>图  地表水监测点位图</w:t>
            </w:r>
          </w:p>
          <w:p w14:paraId="39B1F1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eastAsia="宋体"/>
                <w:b/>
                <w:bCs/>
                <w:color w:val="000000" w:themeColor="text1"/>
                <w:sz w:val="24"/>
                <w:szCs w:val="20"/>
                <w:highlight w:val="none"/>
                <w:lang w:val="en-US" w:eastAsia="zh-CN"/>
                <w14:textFill>
                  <w14:solidFill>
                    <w14:schemeClr w14:val="tx1"/>
                  </w14:solidFill>
                </w14:textFill>
              </w:rPr>
            </w:pPr>
            <w:r>
              <w:rPr>
                <w:rFonts w:hint="eastAsia"/>
                <w:b/>
                <w:bCs/>
                <w:color w:val="000000" w:themeColor="text1"/>
                <w:sz w:val="24"/>
                <w:szCs w:val="20"/>
                <w:highlight w:val="none"/>
                <w:lang w:val="en-US" w:eastAsia="zh-CN"/>
                <w14:textFill>
                  <w14:solidFill>
                    <w14:schemeClr w14:val="tx1"/>
                  </w14:solidFill>
                </w14:textFill>
              </w:rPr>
              <w:t>表3-4  地表水监测点位布设情况表</w:t>
            </w:r>
          </w:p>
          <w:p w14:paraId="764B503D">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kern w:val="2"/>
                <w:sz w:val="24"/>
                <w:szCs w:val="24"/>
                <w:highlight w:val="none"/>
                <w:lang w:val="en-US"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***涉密删除***</w:t>
            </w:r>
          </w:p>
          <w:p w14:paraId="06997B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000000" w:themeColor="text1"/>
                <w:sz w:val="24"/>
                <w:szCs w:val="20"/>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0"/>
                <w:highlight w:val="none"/>
                <w:lang w:val="en-US" w:eastAsia="zh-CN"/>
                <w14:textFill>
                  <w14:solidFill>
                    <w14:schemeClr w14:val="tx1"/>
                  </w14:solidFill>
                </w14:textFill>
              </w:rPr>
              <w:t>表</w:t>
            </w:r>
            <w:r>
              <w:rPr>
                <w:rFonts w:hint="eastAsia" w:cs="Times New Roman"/>
                <w:b/>
                <w:bCs/>
                <w:color w:val="000000" w:themeColor="text1"/>
                <w:sz w:val="24"/>
                <w:szCs w:val="20"/>
                <w:highlight w:val="none"/>
                <w:lang w:val="en-US" w:eastAsia="zh-CN"/>
                <w14:textFill>
                  <w14:solidFill>
                    <w14:schemeClr w14:val="tx1"/>
                  </w14:solidFill>
                </w14:textFill>
              </w:rPr>
              <w:t>3-5</w:t>
            </w:r>
            <w:r>
              <w:rPr>
                <w:rFonts w:hint="eastAsia" w:ascii="Times New Roman" w:hAnsi="Times New Roman" w:eastAsia="宋体" w:cs="Times New Roman"/>
                <w:b/>
                <w:bCs/>
                <w:color w:val="000000" w:themeColor="text1"/>
                <w:sz w:val="24"/>
                <w:szCs w:val="20"/>
                <w:highlight w:val="none"/>
                <w:lang w:val="en-US" w:eastAsia="zh-CN"/>
                <w14:textFill>
                  <w14:solidFill>
                    <w14:schemeClr w14:val="tx1"/>
                  </w14:solidFill>
                </w14:textFill>
              </w:rPr>
              <w:t xml:space="preserve">  地表水检测结果</w:t>
            </w:r>
          </w:p>
          <w:p w14:paraId="38571D7E">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kern w:val="2"/>
                <w:sz w:val="24"/>
                <w:szCs w:val="24"/>
                <w:highlight w:val="none"/>
                <w:lang w:val="en-US"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***涉密删除***</w:t>
            </w:r>
          </w:p>
          <w:p w14:paraId="54EDCA71">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kern w:val="2"/>
                <w:sz w:val="24"/>
                <w:szCs w:val="24"/>
                <w:highlight w:val="none"/>
                <w:lang w:val="en-US"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***涉密删除***</w:t>
            </w:r>
          </w:p>
          <w:p w14:paraId="36DC6AEF">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本次改性工程旨在把云南常青树化工有限公司磷石膏库堆存的磷石膏进行清空处置，消除污染源，对地下水、地表水的污染影响消除，清空治理后，周边地下水、地表水的质量将逐步改善。消除场地环境污染隐患，降低环境风险。项目实施可有效地降低云南常青树化工有限公司磷石膏库长期堆存对周边环境的影响，彻底消除环境污染源头，有效降低磷石膏对周边环境的污染影响，尤其是有效削减对下游聂鼠龙河龙潭水和聂鼠龙河的污染，有利于改善周边居民的生活环境和保障群众生命健康。</w:t>
            </w:r>
          </w:p>
          <w:p w14:paraId="4C4B9377">
            <w:pPr>
              <w:keepNext w:val="0"/>
              <w:keepLines w:val="0"/>
              <w:suppressLineNumbers w:val="0"/>
              <w:spacing w:before="0" w:beforeAutospacing="0" w:after="0" w:afterAutospacing="0" w:line="360" w:lineRule="auto"/>
              <w:ind w:left="0" w:right="0" w:firstLine="480"/>
              <w:rPr>
                <w:rFonts w:hint="default"/>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3.3</w:t>
            </w:r>
            <w:r>
              <w:rPr>
                <w:rFonts w:hint="default" w:hAnsi="宋体"/>
                <w:b/>
                <w:bCs/>
                <w:color w:val="000000" w:themeColor="text1"/>
                <w:sz w:val="28"/>
                <w:szCs w:val="28"/>
                <w:highlight w:val="none"/>
                <w14:textFill>
                  <w14:solidFill>
                    <w14:schemeClr w14:val="tx1"/>
                  </w14:solidFill>
                </w14:textFill>
              </w:rPr>
              <w:t>声环境质量现状</w:t>
            </w:r>
          </w:p>
          <w:p w14:paraId="68459C4B">
            <w:pPr>
              <w:keepNext w:val="0"/>
              <w:keepLines w:val="0"/>
              <w:suppressLineNumbers w:val="0"/>
              <w:autoSpaceDE w:val="0"/>
              <w:autoSpaceDN w:val="0"/>
              <w:adjustRightInd w:val="0"/>
              <w:spacing w:before="120" w:beforeLines="50" w:beforeAutospacing="0" w:after="0" w:afterAutospacing="0" w:line="360" w:lineRule="auto"/>
              <w:ind w:left="0" w:right="0" w:firstLine="480" w:firstLineChars="200"/>
              <w:rPr>
                <w:rFonts w:hint="default" w:cs="宋体"/>
                <w:color w:val="000000" w:themeColor="text1"/>
                <w:sz w:val="24"/>
                <w:szCs w:val="22"/>
                <w:highlight w:val="none"/>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本项目</w:t>
            </w:r>
            <w:r>
              <w:rPr>
                <w:rFonts w:hint="eastAsia"/>
                <w:color w:val="000000" w:themeColor="text1"/>
                <w:sz w:val="24"/>
                <w:szCs w:val="20"/>
                <w:highlight w:val="none"/>
                <w14:textFill>
                  <w14:solidFill>
                    <w14:schemeClr w14:val="tx1"/>
                  </w14:solidFill>
                </w14:textFill>
              </w:rPr>
              <w:t>位于</w:t>
            </w:r>
            <w:r>
              <w:rPr>
                <w:rFonts w:hint="eastAsia"/>
                <w:color w:val="000000" w:themeColor="text1"/>
                <w:sz w:val="24"/>
                <w:szCs w:val="20"/>
                <w:highlight w:val="none"/>
                <w:lang w:val="en-US" w:eastAsia="zh-CN"/>
                <w14:textFill>
                  <w14:solidFill>
                    <w14:schemeClr w14:val="tx1"/>
                  </w14:solidFill>
                </w14:textFill>
              </w:rPr>
              <w:t>寻甸县塘子镇原泰康化工公司场内</w:t>
            </w:r>
            <w:r>
              <w:rPr>
                <w:rFonts w:hint="eastAsia"/>
                <w:color w:val="000000" w:themeColor="text1"/>
                <w:sz w:val="24"/>
                <w:szCs w:val="20"/>
                <w:highlight w:val="none"/>
                <w14:textFill>
                  <w14:solidFill>
                    <w14:schemeClr w14:val="tx1"/>
                  </w14:solidFill>
                </w14:textFill>
              </w:rPr>
              <w:t>，周边以</w:t>
            </w:r>
            <w:r>
              <w:rPr>
                <w:rFonts w:hint="eastAsia"/>
                <w:color w:val="000000" w:themeColor="text1"/>
                <w:sz w:val="24"/>
                <w:szCs w:val="20"/>
                <w:highlight w:val="none"/>
                <w:lang w:val="en-US" w:eastAsia="zh-CN"/>
                <w14:textFill>
                  <w14:solidFill>
                    <w14:schemeClr w14:val="tx1"/>
                  </w14:solidFill>
                </w14:textFill>
              </w:rPr>
              <w:t>工业企业、</w:t>
            </w:r>
            <w:r>
              <w:rPr>
                <w:rFonts w:hint="eastAsia"/>
                <w:color w:val="000000" w:themeColor="text1"/>
                <w:sz w:val="24"/>
                <w:szCs w:val="20"/>
                <w:highlight w:val="none"/>
                <w14:textFill>
                  <w14:solidFill>
                    <w14:schemeClr w14:val="tx1"/>
                  </w14:solidFill>
                </w14:textFill>
              </w:rPr>
              <w:t>居住、商业混合用地为主，执行《声环境质量标准》（GB 3096-2008）2类标准</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项目周边50m范围内无敏感点分布</w:t>
            </w:r>
            <w:r>
              <w:rPr>
                <w:rFonts w:hint="eastAsia"/>
                <w:color w:val="000000" w:themeColor="text1"/>
                <w:sz w:val="24"/>
                <w:szCs w:val="20"/>
                <w:highlight w:val="none"/>
                <w14:textFill>
                  <w14:solidFill>
                    <w14:schemeClr w14:val="tx1"/>
                  </w14:solidFill>
                </w14:textFill>
              </w:rPr>
              <w:t>。</w:t>
            </w:r>
          </w:p>
          <w:p w14:paraId="00C9EA1A">
            <w:pPr>
              <w:keepNext w:val="0"/>
              <w:keepLines w:val="0"/>
              <w:suppressLineNumbers w:val="0"/>
              <w:spacing w:before="0" w:beforeAutospacing="0" w:after="0" w:afterAutospacing="0" w:line="360" w:lineRule="auto"/>
              <w:ind w:left="0" w:right="0" w:firstLine="562" w:firstLineChars="200"/>
              <w:rPr>
                <w:rFonts w:hint="default"/>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lang w:val="en-US" w:eastAsia="zh-CN"/>
                <w14:textFill>
                  <w14:solidFill>
                    <w14:schemeClr w14:val="tx1"/>
                  </w14:solidFill>
                </w14:textFill>
              </w:rPr>
              <w:t>3.4</w:t>
            </w:r>
            <w:r>
              <w:rPr>
                <w:rFonts w:hint="default" w:hAnsi="宋体"/>
                <w:b/>
                <w:bCs/>
                <w:color w:val="000000" w:themeColor="text1"/>
                <w:sz w:val="28"/>
                <w:szCs w:val="28"/>
                <w:highlight w:val="none"/>
                <w14:textFill>
                  <w14:solidFill>
                    <w14:schemeClr w14:val="tx1"/>
                  </w14:solidFill>
                </w14:textFill>
              </w:rPr>
              <w:t>土壤环境质量现状</w:t>
            </w:r>
          </w:p>
          <w:p w14:paraId="78E4D3DA">
            <w:pPr>
              <w:keepNext w:val="0"/>
              <w:keepLines w:val="0"/>
              <w:suppressLineNumbers w:val="0"/>
              <w:autoSpaceDE w:val="0"/>
              <w:autoSpaceDN w:val="0"/>
              <w:adjustRightInd w:val="0"/>
              <w:spacing w:before="120" w:beforeLines="50"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依</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据《建设项目环境影响报告表编制技术指南（污染影响类）》相关规定，本项目原则上可不开展土壤环境质量现状调查。本项目属于临时工程，总运行周期约300天（1年左右），仅完成现有常青树磷石膏处置任务后即停止运行，运营时长较短，污染物无长期累积条件。厂区整体已全面硬化，地面无裸露土壤，后期物料生产加工及堆存区域全部进行防渗处理，且现场不具备土壤采样、监测的客观条件。</w:t>
            </w:r>
          </w:p>
          <w:p w14:paraId="2D79EC71">
            <w:pPr>
              <w:keepNext w:val="0"/>
              <w:keepLines w:val="0"/>
              <w:suppressLineNumbers w:val="0"/>
              <w:autoSpaceDE w:val="0"/>
              <w:autoSpaceDN w:val="0"/>
              <w:adjustRightInd w:val="0"/>
              <w:spacing w:before="120" w:beforeLines="50"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同时项目配套完善的土壤污染防控体系：厂区实施分区防渗，重点防渗区、一般防渗区防渗结构及渗透系数均满足规范要求，有效阻断物料、废水下渗路径；渗滤液、初期雨水、车辆冲洗废水全部收集回用，无生产废水外排；产尘区域采取密闭、苫盖、喷淋、雾炮等抑尘措施，削减颗粒物沉降影响；不合格产品厂内循环利用，危险废物采用专用容器密闭暂存，从源头、过程、末端全面切断土壤污染途径。</w:t>
            </w:r>
          </w:p>
          <w:p w14:paraId="07411D4E">
            <w:pPr>
              <w:keepNext w:val="0"/>
              <w:keepLines w:val="0"/>
              <w:suppressLineNumbers w:val="0"/>
              <w:autoSpaceDE w:val="0"/>
              <w:autoSpaceDN w:val="0"/>
              <w:adjustRightInd w:val="0"/>
              <w:spacing w:before="120" w:beforeLines="50"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综合项目运行时长、现场条件及污染防控措施来看，本项目土壤污染风险极低，因此本次不开展土壤环境质量现状监测。</w:t>
            </w:r>
          </w:p>
          <w:p w14:paraId="28A5D919">
            <w:pPr>
              <w:keepNext w:val="0"/>
              <w:keepLines w:val="0"/>
              <w:suppressLineNumbers w:val="0"/>
              <w:spacing w:before="0" w:beforeAutospacing="0" w:after="0" w:afterAutospacing="0" w:line="360" w:lineRule="auto"/>
              <w:ind w:left="0" w:right="0" w:firstLine="562" w:firstLineChars="200"/>
              <w:rPr>
                <w:rFonts w:hint="default"/>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3.5</w:t>
            </w:r>
            <w:r>
              <w:rPr>
                <w:rFonts w:hint="eastAsia"/>
                <w:b/>
                <w:bCs/>
                <w:color w:val="000000" w:themeColor="text1"/>
                <w:sz w:val="28"/>
                <w:szCs w:val="28"/>
                <w:highlight w:val="none"/>
                <w14:textFill>
                  <w14:solidFill>
                    <w14:schemeClr w14:val="tx1"/>
                  </w14:solidFill>
                </w14:textFill>
              </w:rPr>
              <w:t>地下水环境现状</w:t>
            </w:r>
          </w:p>
          <w:p w14:paraId="0DE66143">
            <w:pPr>
              <w:keepNext w:val="0"/>
              <w:keepLines w:val="0"/>
              <w:suppressLineNumbers w:val="0"/>
              <w:spacing w:before="0" w:beforeAutospacing="0" w:after="0" w:afterAutospacing="0" w:line="360" w:lineRule="auto"/>
              <w:ind w:left="0" w:right="0" w:firstLine="480"/>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本次环评引用《云南常青树化工有限公司磷石膏库“一库一策”整治方案》（2026年2月）中的地下水监测结果来说明周边地下水情况。</w:t>
            </w:r>
          </w:p>
          <w:p w14:paraId="029D6F94">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1、监测布点</w:t>
            </w:r>
          </w:p>
          <w:p w14:paraId="5BD5B62A">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lang w:val="zh-CN"/>
                <w14:textFill>
                  <w14:solidFill>
                    <w14:schemeClr w14:val="tx1"/>
                  </w14:solidFill>
                </w14:textFill>
              </w:rPr>
            </w:pPr>
            <w:r>
              <w:rPr>
                <w:rFonts w:hint="default"/>
                <w:color w:val="000000" w:themeColor="text1"/>
                <w:sz w:val="24"/>
                <w:szCs w:val="20"/>
                <w:highlight w:val="none"/>
                <w:lang w:val="zh-CN"/>
                <w14:textFill>
                  <w14:solidFill>
                    <w14:schemeClr w14:val="tx1"/>
                  </w14:solidFill>
                </w14:textFill>
              </w:rPr>
              <w:t>常青树磷石膏库区域地下水总体由东向西进行径流，最终通过聂鼠龙河龙潭集中排泄后汇入聂鼠龙河地表水体。聂鼠龙河龙潭位于磷石膏库西侧约280m处。</w:t>
            </w:r>
          </w:p>
          <w:p w14:paraId="1E3A1676">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lang w:val="zh-CN"/>
                <w14:textFill>
                  <w14:solidFill>
                    <w14:schemeClr w14:val="tx1"/>
                  </w14:solidFill>
                </w14:textFill>
              </w:rPr>
            </w:pPr>
            <w:r>
              <w:rPr>
                <w:rFonts w:hint="default"/>
                <w:color w:val="000000" w:themeColor="text1"/>
                <w:sz w:val="24"/>
                <w:szCs w:val="20"/>
                <w:highlight w:val="none"/>
                <w:lang w:val="zh-CN"/>
                <w14:textFill>
                  <w14:solidFill>
                    <w14:schemeClr w14:val="tx1"/>
                  </w14:solidFill>
                </w14:textFill>
              </w:rPr>
              <w:t>本次调查依托云南常青树化工有限公司原有3口地下水监测井进行地下水监测点位布设，即在磷石膏库上游区域布设1个对照监测点位(W1)，侧游布设1个扩散监测点位(W2)，下游布设1个扩散监测点位(W3)</w:t>
            </w:r>
            <w:r>
              <w:rPr>
                <w:rFonts w:hint="eastAsia"/>
                <w:color w:val="000000" w:themeColor="text1"/>
                <w:sz w:val="24"/>
                <w:szCs w:val="20"/>
                <w:highlight w:val="none"/>
                <w:lang w:val="zh-CN"/>
                <w14:textFill>
                  <w14:solidFill>
                    <w14:schemeClr w14:val="tx1"/>
                  </w14:solidFill>
                </w14:textFill>
              </w:rPr>
              <w:t>；</w:t>
            </w:r>
            <w:r>
              <w:rPr>
                <w:rFonts w:hint="default"/>
                <w:color w:val="000000" w:themeColor="text1"/>
                <w:sz w:val="24"/>
                <w:szCs w:val="20"/>
                <w:highlight w:val="none"/>
                <w:lang w:val="zh-CN"/>
                <w14:textFill>
                  <w14:solidFill>
                    <w14:schemeClr w14:val="tx1"/>
                  </w14:solidFill>
                </w14:textFill>
              </w:rPr>
              <w:t>同时在聂鼠龙河龙潭涌水口区域布设1个地下水监测点位(W4)，地下水监测点位布设图如下所示。</w:t>
            </w:r>
          </w:p>
          <w:p w14:paraId="337B8570">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lang w:val="zh-CN"/>
                <w14:textFill>
                  <w14:solidFill>
                    <w14:schemeClr w14:val="tx1"/>
                  </w14:solidFill>
                </w14:textFill>
              </w:rPr>
            </w:pPr>
          </w:p>
          <w:p w14:paraId="024F48B3">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lang w:val="zh-CN"/>
                <w14:textFill>
                  <w14:solidFill>
                    <w14:schemeClr w14:val="tx1"/>
                  </w14:solidFill>
                </w14:textFill>
              </w:rPr>
            </w:pPr>
          </w:p>
          <w:p w14:paraId="1D08F264">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lang w:val="zh-CN"/>
                <w14:textFill>
                  <w14:solidFill>
                    <w14:schemeClr w14:val="tx1"/>
                  </w14:solidFill>
                </w14:textFill>
              </w:rPr>
            </w:pPr>
          </w:p>
          <w:p w14:paraId="6B6449BB">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kern w:val="2"/>
                <w:sz w:val="24"/>
                <w:szCs w:val="24"/>
                <w:highlight w:val="none"/>
                <w:lang w:val="en-US"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***涉密删除***</w:t>
            </w:r>
          </w:p>
          <w:p w14:paraId="67F2AB3F">
            <w:pPr>
              <w:keepNext w:val="0"/>
              <w:keepLines w:val="0"/>
              <w:suppressLineNumbers w:val="0"/>
              <w:spacing w:before="0" w:beforeAutospacing="0" w:after="0" w:afterAutospacing="0" w:line="360" w:lineRule="auto"/>
              <w:ind w:left="0" w:right="0" w:firstLine="482" w:firstLineChars="200"/>
              <w:jc w:val="center"/>
              <w:rPr>
                <w:rFonts w:hint="eastAsia"/>
                <w:b/>
                <w:bCs/>
                <w:color w:val="000000" w:themeColor="text1"/>
                <w:sz w:val="24"/>
                <w:szCs w:val="20"/>
                <w:highlight w:val="none"/>
                <w:lang w:val="en-US" w:eastAsia="zh-CN"/>
                <w14:textFill>
                  <w14:solidFill>
                    <w14:schemeClr w14:val="tx1"/>
                  </w14:solidFill>
                </w14:textFill>
              </w:rPr>
            </w:pPr>
          </w:p>
          <w:p w14:paraId="4AA43B07">
            <w:pPr>
              <w:keepNext w:val="0"/>
              <w:keepLines w:val="0"/>
              <w:suppressLineNumbers w:val="0"/>
              <w:spacing w:before="0" w:beforeAutospacing="0" w:after="0" w:afterAutospacing="0" w:line="360" w:lineRule="auto"/>
              <w:ind w:left="0" w:right="0" w:firstLine="482" w:firstLineChars="200"/>
              <w:jc w:val="center"/>
              <w:rPr>
                <w:rFonts w:hint="default" w:eastAsia="宋体"/>
                <w:b/>
                <w:bCs/>
                <w:color w:val="000000" w:themeColor="text1"/>
                <w:sz w:val="24"/>
                <w:szCs w:val="20"/>
                <w:highlight w:val="none"/>
                <w:lang w:val="en-US" w:eastAsia="zh-CN"/>
                <w14:textFill>
                  <w14:solidFill>
                    <w14:schemeClr w14:val="tx1"/>
                  </w14:solidFill>
                </w14:textFill>
              </w:rPr>
            </w:pPr>
            <w:r>
              <w:rPr>
                <w:rFonts w:hint="eastAsia"/>
                <w:b/>
                <w:bCs/>
                <w:color w:val="000000" w:themeColor="text1"/>
                <w:sz w:val="24"/>
                <w:szCs w:val="20"/>
                <w:highlight w:val="none"/>
                <w:lang w:val="en-US" w:eastAsia="zh-CN"/>
                <w14:textFill>
                  <w14:solidFill>
                    <w14:schemeClr w14:val="tx1"/>
                  </w14:solidFill>
                </w14:textFill>
              </w:rPr>
              <w:t>图3-1  地下水监测点位图</w:t>
            </w:r>
          </w:p>
          <w:p w14:paraId="5E4259B0">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t>2、检测结果</w:t>
            </w:r>
          </w:p>
          <w:p w14:paraId="2E830ED2">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根据《云南常青树化工有限公司磷石膏库“一库一策”整治方案》（2026年2月），地下水检测结果见下表。</w:t>
            </w:r>
          </w:p>
          <w:p w14:paraId="7567261D">
            <w:pPr>
              <w:keepNext w:val="0"/>
              <w:keepLines w:val="0"/>
              <w:suppressLineNumbers w:val="0"/>
              <w:spacing w:before="0" w:beforeAutospacing="0" w:after="0" w:afterAutospacing="0" w:line="360" w:lineRule="auto"/>
              <w:ind w:left="0" w:right="0" w:firstLine="482" w:firstLineChars="200"/>
              <w:jc w:val="center"/>
              <w:rPr>
                <w:rFonts w:hint="default"/>
                <w:b/>
                <w:bCs/>
                <w:color w:val="000000" w:themeColor="text1"/>
                <w:sz w:val="24"/>
                <w:szCs w:val="20"/>
                <w:highlight w:val="none"/>
                <w:lang w:val="en-US" w:eastAsia="zh-CN"/>
                <w14:textFill>
                  <w14:solidFill>
                    <w14:schemeClr w14:val="tx1"/>
                  </w14:solidFill>
                </w14:textFill>
              </w:rPr>
            </w:pPr>
            <w:r>
              <w:rPr>
                <w:rFonts w:hint="default"/>
                <w:b/>
                <w:bCs/>
                <w:color w:val="000000" w:themeColor="text1"/>
                <w:sz w:val="24"/>
                <w:szCs w:val="20"/>
                <w:highlight w:val="none"/>
                <w:lang w:val="en-US" w:eastAsia="zh-CN"/>
                <w14:textFill>
                  <w14:solidFill>
                    <w14:schemeClr w14:val="tx1"/>
                  </w14:solidFill>
                </w14:textFill>
              </w:rPr>
              <w:t>表3-</w:t>
            </w:r>
            <w:r>
              <w:rPr>
                <w:rFonts w:hint="eastAsia"/>
                <w:b/>
                <w:bCs/>
                <w:color w:val="000000" w:themeColor="text1"/>
                <w:sz w:val="24"/>
                <w:szCs w:val="20"/>
                <w:highlight w:val="none"/>
                <w:lang w:val="en-US" w:eastAsia="zh-CN"/>
                <w14:textFill>
                  <w14:solidFill>
                    <w14:schemeClr w14:val="tx1"/>
                  </w14:solidFill>
                </w14:textFill>
              </w:rPr>
              <w:t>6</w:t>
            </w:r>
            <w:r>
              <w:rPr>
                <w:rFonts w:hint="default"/>
                <w:b/>
                <w:bCs/>
                <w:color w:val="000000" w:themeColor="text1"/>
                <w:sz w:val="24"/>
                <w:szCs w:val="20"/>
                <w:highlight w:val="none"/>
                <w:lang w:val="en-US" w:eastAsia="zh-CN"/>
                <w14:textFill>
                  <w14:solidFill>
                    <w14:schemeClr w14:val="tx1"/>
                  </w14:solidFill>
                </w14:textFill>
              </w:rPr>
              <w:t xml:space="preserve">  </w:t>
            </w:r>
            <w:r>
              <w:rPr>
                <w:rFonts w:hint="eastAsia"/>
                <w:b/>
                <w:bCs/>
                <w:color w:val="000000" w:themeColor="text1"/>
                <w:sz w:val="24"/>
                <w:szCs w:val="20"/>
                <w:highlight w:val="none"/>
                <w:lang w:val="en-US" w:eastAsia="zh-CN"/>
                <w14:textFill>
                  <w14:solidFill>
                    <w14:schemeClr w14:val="tx1"/>
                  </w14:solidFill>
                </w14:textFill>
              </w:rPr>
              <w:t>地下水监测井数据</w:t>
            </w:r>
            <w:r>
              <w:rPr>
                <w:rFonts w:hint="default"/>
                <w:b/>
                <w:bCs/>
                <w:color w:val="000000" w:themeColor="text1"/>
                <w:sz w:val="24"/>
                <w:szCs w:val="20"/>
                <w:highlight w:val="none"/>
                <w:lang w:val="en-US" w:eastAsia="zh-CN"/>
                <w14:textFill>
                  <w14:solidFill>
                    <w14:schemeClr w14:val="tx1"/>
                  </w14:solidFill>
                </w14:textFill>
              </w:rPr>
              <w:t>一览表</w:t>
            </w:r>
          </w:p>
          <w:p w14:paraId="3E1B32A8">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kern w:val="2"/>
                <w:sz w:val="24"/>
                <w:szCs w:val="24"/>
                <w:highlight w:val="none"/>
                <w:lang w:val="en-US"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***涉密删除***</w:t>
            </w:r>
          </w:p>
          <w:p w14:paraId="11533819">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kern w:val="2"/>
                <w:sz w:val="24"/>
                <w:szCs w:val="24"/>
                <w:highlight w:val="none"/>
                <w:lang w:val="en-US"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***涉密删除***</w:t>
            </w:r>
          </w:p>
          <w:p w14:paraId="580A7A69">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本次改性工程旨在把云南常青树化工有限公司磷石膏库堆存的磷石膏进行清空处置，消除污染源，对地下水、地表水的污染影响消除，清空治理后，周边地下水、地表水的质量将逐步改善。消除场地环境污染隐患，降低环境风险。项目实施可有效地降低云南常青树化工有限公司磷石膏库长期堆存对周边环境的影响，彻底消除环境污染源头，有效降低磷石膏对周边环境的污染影响。</w:t>
            </w:r>
          </w:p>
          <w:p w14:paraId="55095F80">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left"/>
              <w:textAlignment w:val="auto"/>
              <w:rPr>
                <w:rFonts w:hint="default" w:hAnsi="宋体"/>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3.6</w:t>
            </w:r>
            <w:r>
              <w:rPr>
                <w:rFonts w:hint="default" w:hAnsi="宋体"/>
                <w:b/>
                <w:bCs/>
                <w:color w:val="000000" w:themeColor="text1"/>
                <w:sz w:val="28"/>
                <w:szCs w:val="28"/>
                <w:highlight w:val="none"/>
                <w14:textFill>
                  <w14:solidFill>
                    <w14:schemeClr w14:val="tx1"/>
                  </w14:solidFill>
                </w14:textFill>
              </w:rPr>
              <w:t>生态环境现状</w:t>
            </w:r>
          </w:p>
          <w:p w14:paraId="3D160BCC">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项目厂址内不涉及自然保护区、风景名胜区、集中饮用水水源地保护区、世界文化和自然遗产地、地质公园、森林公园、重要湿地，以及文物古迹保护单位等敏感目标。据现场踏勘，现有厂区内有人工种植绿化植被，常见动物有老鼠、麻雀等</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t>周围无国家保护及名贵植物，未发现存在大型野生的动物，只有少量小型啮齿类动物和山雀等，未发现珍稀濒危和国家重点保护野生植物、云南省级保护植物及地方狭域种类分布，无国家重点保护的鸟类、两栖类、爬行类、哺乳类动物种类分布。</w:t>
            </w:r>
          </w:p>
        </w:tc>
      </w:tr>
      <w:tr w14:paraId="63DA0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499" w:type="dxa"/>
            <w:vAlign w:val="center"/>
          </w:tcPr>
          <w:p w14:paraId="7EFB569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环境</w:t>
            </w:r>
          </w:p>
          <w:p w14:paraId="3EC9958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保护</w:t>
            </w:r>
          </w:p>
          <w:p w14:paraId="5BBCCF5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0"/>
                <w:szCs w:val="21"/>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目标</w:t>
            </w:r>
          </w:p>
        </w:tc>
        <w:tc>
          <w:tcPr>
            <w:tcW w:w="8537" w:type="dxa"/>
            <w:vAlign w:val="center"/>
          </w:tcPr>
          <w:p w14:paraId="20F56114">
            <w:pPr>
              <w:keepNext w:val="0"/>
              <w:keepLines w:val="0"/>
              <w:suppressLineNumbers w:val="0"/>
              <w:topLinePunct/>
              <w:spacing w:before="0" w:beforeAutospacing="0" w:after="0" w:afterAutospacing="0" w:line="360" w:lineRule="auto"/>
              <w:ind w:left="0" w:right="0" w:firstLine="465"/>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3.7</w:t>
            </w:r>
            <w:r>
              <w:rPr>
                <w:rFonts w:hint="eastAsia"/>
                <w:b/>
                <w:color w:val="000000" w:themeColor="text1"/>
                <w:sz w:val="28"/>
                <w:szCs w:val="28"/>
                <w:highlight w:val="none"/>
                <w14:textFill>
                  <w14:solidFill>
                    <w14:schemeClr w14:val="tx1"/>
                  </w14:solidFill>
                </w14:textFill>
              </w:rPr>
              <w:t>大气环境</w:t>
            </w:r>
          </w:p>
          <w:p w14:paraId="0A854F6D">
            <w:pPr>
              <w:keepNext w:val="0"/>
              <w:keepLines w:val="0"/>
              <w:suppressLineNumbers w:val="0"/>
              <w:topLinePunct/>
              <w:spacing w:before="0" w:beforeAutospacing="0" w:after="0" w:afterAutospacing="0" w:line="360" w:lineRule="auto"/>
              <w:ind w:left="0" w:right="0" w:firstLine="465"/>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项目大气环境保护目标见表3-</w:t>
            </w:r>
            <w:r>
              <w:rPr>
                <w:rFonts w:hint="eastAsia"/>
                <w:color w:val="000000" w:themeColor="text1"/>
                <w:sz w:val="24"/>
                <w:szCs w:val="20"/>
                <w:highlight w:val="none"/>
                <w:lang w:val="en-US" w:eastAsia="zh-CN"/>
                <w14:textFill>
                  <w14:solidFill>
                    <w14:schemeClr w14:val="tx1"/>
                  </w14:solidFill>
                </w14:textFill>
              </w:rPr>
              <w:t>7</w:t>
            </w:r>
            <w:r>
              <w:rPr>
                <w:rFonts w:hint="eastAsia"/>
                <w:color w:val="000000" w:themeColor="text1"/>
                <w:sz w:val="24"/>
                <w:szCs w:val="20"/>
                <w:highlight w:val="none"/>
                <w14:textFill>
                  <w14:solidFill>
                    <w14:schemeClr w14:val="tx1"/>
                  </w14:solidFill>
                </w14:textFill>
              </w:rPr>
              <w:t>。</w:t>
            </w:r>
          </w:p>
          <w:p w14:paraId="43A9D253">
            <w:pPr>
              <w:keepNext w:val="0"/>
              <w:keepLines w:val="0"/>
              <w:suppressLineNumbers w:val="0"/>
              <w:topLinePunct/>
              <w:spacing w:before="0" w:beforeAutospacing="0" w:after="0" w:afterAutospacing="0"/>
              <w:ind w:left="0" w:right="0"/>
              <w:jc w:val="center"/>
              <w:rPr>
                <w:rFonts w:hint="default" w:hAnsi="宋体"/>
                <w:b/>
                <w:bCs/>
                <w:color w:val="000000" w:themeColor="text1"/>
                <w:sz w:val="24"/>
                <w:szCs w:val="20"/>
                <w:highlight w:val="none"/>
                <w14:textFill>
                  <w14:solidFill>
                    <w14:schemeClr w14:val="tx1"/>
                  </w14:solidFill>
                </w14:textFill>
              </w:rPr>
            </w:pPr>
            <w:r>
              <w:rPr>
                <w:rFonts w:hint="eastAsia" w:hAnsi="宋体"/>
                <w:b/>
                <w:bCs/>
                <w:color w:val="000000" w:themeColor="text1"/>
                <w:sz w:val="24"/>
                <w:szCs w:val="20"/>
                <w:highlight w:val="none"/>
                <w14:textFill>
                  <w14:solidFill>
                    <w14:schemeClr w14:val="tx1"/>
                  </w14:solidFill>
                </w14:textFill>
              </w:rPr>
              <w:t>表3-</w:t>
            </w:r>
            <w:r>
              <w:rPr>
                <w:rFonts w:hint="eastAsia" w:hAnsi="宋体"/>
                <w:b/>
                <w:bCs/>
                <w:color w:val="000000" w:themeColor="text1"/>
                <w:sz w:val="24"/>
                <w:szCs w:val="20"/>
                <w:highlight w:val="none"/>
                <w:lang w:val="en-US" w:eastAsia="zh-CN"/>
                <w14:textFill>
                  <w14:solidFill>
                    <w14:schemeClr w14:val="tx1"/>
                  </w14:solidFill>
                </w14:textFill>
              </w:rPr>
              <w:t>7</w:t>
            </w:r>
            <w:r>
              <w:rPr>
                <w:rFonts w:hint="eastAsia" w:hAnsi="宋体"/>
                <w:b/>
                <w:bCs/>
                <w:color w:val="000000" w:themeColor="text1"/>
                <w:sz w:val="24"/>
                <w:szCs w:val="20"/>
                <w:highlight w:val="none"/>
                <w14:textFill>
                  <w14:solidFill>
                    <w14:schemeClr w14:val="tx1"/>
                  </w14:solidFill>
                </w14:textFill>
              </w:rPr>
              <w:t xml:space="preserve">  项目大气环境保护目标</w:t>
            </w:r>
          </w:p>
          <w:tbl>
            <w:tblPr>
              <w:tblStyle w:val="45"/>
              <w:tblW w:w="8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444"/>
              <w:gridCol w:w="1743"/>
              <w:gridCol w:w="713"/>
              <w:gridCol w:w="1012"/>
              <w:gridCol w:w="975"/>
              <w:gridCol w:w="1500"/>
            </w:tblGrid>
            <w:tr w14:paraId="088A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9" w:type="dxa"/>
                  <w:vAlign w:val="center"/>
                </w:tcPr>
                <w:p w14:paraId="34EABEB5">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类别</w:t>
                  </w:r>
                </w:p>
              </w:tc>
              <w:tc>
                <w:tcPr>
                  <w:tcW w:w="1444" w:type="dxa"/>
                  <w:vAlign w:val="center"/>
                </w:tcPr>
                <w:p w14:paraId="1917B634">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名称</w:t>
                  </w:r>
                </w:p>
              </w:tc>
              <w:tc>
                <w:tcPr>
                  <w:tcW w:w="1743" w:type="dxa"/>
                  <w:vAlign w:val="center"/>
                </w:tcPr>
                <w:p w14:paraId="2CFFC903">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坐标</w:t>
                  </w:r>
                </w:p>
              </w:tc>
              <w:tc>
                <w:tcPr>
                  <w:tcW w:w="713" w:type="dxa"/>
                  <w:vAlign w:val="center"/>
                </w:tcPr>
                <w:p w14:paraId="4DE1EDE1">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保护对象</w:t>
                  </w:r>
                </w:p>
              </w:tc>
              <w:tc>
                <w:tcPr>
                  <w:tcW w:w="1012" w:type="dxa"/>
                  <w:vAlign w:val="center"/>
                </w:tcPr>
                <w:p w14:paraId="0AE62198">
                  <w:pPr>
                    <w:pStyle w:val="81"/>
                    <w:keepNext w:val="0"/>
                    <w:keepLines w:val="0"/>
                    <w:widowControl/>
                    <w:suppressLineNumbers w:val="0"/>
                    <w:spacing w:before="0" w:beforeAutospacing="0" w:after="0" w:afterAutospacing="0" w:line="240" w:lineRule="auto"/>
                    <w:ind w:left="0" w:right="0" w:firstLine="0" w:firstLineChars="0"/>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保护内容</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人</w:t>
                  </w: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w:t>
                  </w:r>
                </w:p>
              </w:tc>
              <w:tc>
                <w:tcPr>
                  <w:tcW w:w="975" w:type="dxa"/>
                  <w:vAlign w:val="center"/>
                </w:tcPr>
                <w:p w14:paraId="5003722E">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环境功能区</w:t>
                  </w:r>
                </w:p>
              </w:tc>
              <w:tc>
                <w:tcPr>
                  <w:tcW w:w="1500" w:type="dxa"/>
                  <w:vAlign w:val="center"/>
                </w:tcPr>
                <w:p w14:paraId="58F97ECD">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相对</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厂区</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方位，距离</w:t>
                  </w:r>
                </w:p>
              </w:tc>
            </w:tr>
            <w:tr w14:paraId="4332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9" w:type="dxa"/>
                  <w:vMerge w:val="restart"/>
                  <w:vAlign w:val="center"/>
                </w:tcPr>
                <w:p w14:paraId="1C084693">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大气环境</w:t>
                  </w:r>
                </w:p>
              </w:tc>
              <w:tc>
                <w:tcPr>
                  <w:tcW w:w="1444" w:type="dxa"/>
                  <w:vAlign w:val="center"/>
                </w:tcPr>
                <w:p w14:paraId="6FBD6B8D">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王岗屯村</w:t>
                  </w:r>
                </w:p>
              </w:tc>
              <w:tc>
                <w:tcPr>
                  <w:tcW w:w="1743" w:type="dxa"/>
                  <w:vAlign w:val="center"/>
                </w:tcPr>
                <w:p w14:paraId="18AF39F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E 103°16′9.03″</w:t>
                  </w:r>
                </w:p>
                <w:p w14:paraId="1B0D36C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 N 25°25′32.21″</w:t>
                  </w:r>
                </w:p>
              </w:tc>
              <w:tc>
                <w:tcPr>
                  <w:tcW w:w="713" w:type="dxa"/>
                  <w:vMerge w:val="restart"/>
                  <w:vAlign w:val="center"/>
                </w:tcPr>
                <w:p w14:paraId="121BF5E9">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居民住户</w:t>
                  </w:r>
                </w:p>
              </w:tc>
              <w:tc>
                <w:tcPr>
                  <w:tcW w:w="1012" w:type="dxa"/>
                  <w:vAlign w:val="center"/>
                </w:tcPr>
                <w:p w14:paraId="04FDEBAA">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417</w:t>
                  </w:r>
                </w:p>
              </w:tc>
              <w:tc>
                <w:tcPr>
                  <w:tcW w:w="975" w:type="dxa"/>
                  <w:vMerge w:val="restart"/>
                  <w:vAlign w:val="center"/>
                </w:tcPr>
                <w:p w14:paraId="674AFD44">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二类区</w:t>
                  </w:r>
                </w:p>
              </w:tc>
              <w:tc>
                <w:tcPr>
                  <w:tcW w:w="1500" w:type="dxa"/>
                  <w:vAlign w:val="center"/>
                </w:tcPr>
                <w:p w14:paraId="3B295C8C">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东侧，</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488</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p>
              </w:tc>
            </w:tr>
            <w:tr w14:paraId="63D2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39" w:type="dxa"/>
                  <w:vMerge w:val="continue"/>
                  <w:vAlign w:val="center"/>
                </w:tcPr>
                <w:p w14:paraId="3D012ECA">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444" w:type="dxa"/>
                  <w:vAlign w:val="center"/>
                </w:tcPr>
                <w:p w14:paraId="5D7DCDD8">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大桥村</w:t>
                  </w:r>
                </w:p>
              </w:tc>
              <w:tc>
                <w:tcPr>
                  <w:tcW w:w="1743" w:type="dxa"/>
                  <w:vAlign w:val="center"/>
                </w:tcPr>
                <w:p w14:paraId="42DA026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E 103°15′19.37″ N 25°25′34.74″</w:t>
                  </w:r>
                </w:p>
              </w:tc>
              <w:tc>
                <w:tcPr>
                  <w:tcW w:w="713" w:type="dxa"/>
                  <w:vMerge w:val="continue"/>
                  <w:vAlign w:val="center"/>
                </w:tcPr>
                <w:p w14:paraId="4FA9B6F7">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12" w:type="dxa"/>
                  <w:vAlign w:val="center"/>
                </w:tcPr>
                <w:p w14:paraId="5BEAE5E0">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86</w:t>
                  </w:r>
                </w:p>
              </w:tc>
              <w:tc>
                <w:tcPr>
                  <w:tcW w:w="975" w:type="dxa"/>
                  <w:vMerge w:val="continue"/>
                  <w:vAlign w:val="center"/>
                </w:tcPr>
                <w:p w14:paraId="49525F9B">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00" w:type="dxa"/>
                  <w:vAlign w:val="center"/>
                </w:tcPr>
                <w:p w14:paraId="1F28715D">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西侧，</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62</w:t>
                  </w:r>
                  <w:r>
                    <w:rPr>
                      <w:rFonts w:hint="default" w:ascii="Times New Roman" w:hAnsi="Times New Roman" w:eastAsia="宋体" w:cs="Times New Roman"/>
                      <w:color w:val="000000" w:themeColor="text1"/>
                      <w:sz w:val="21"/>
                      <w:szCs w:val="21"/>
                      <w:highlight w:val="none"/>
                      <w14:textFill>
                        <w14:solidFill>
                          <w14:schemeClr w14:val="tx1"/>
                        </w14:solidFill>
                      </w14:textFill>
                    </w:rPr>
                    <w:t>m</w:t>
                  </w:r>
                </w:p>
              </w:tc>
            </w:tr>
            <w:tr w14:paraId="4105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9" w:type="dxa"/>
                  <w:vMerge w:val="continue"/>
                  <w:vAlign w:val="center"/>
                </w:tcPr>
                <w:p w14:paraId="40D835E9">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444" w:type="dxa"/>
                  <w:vAlign w:val="center"/>
                </w:tcPr>
                <w:p w14:paraId="582D8F7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云集村</w:t>
                  </w:r>
                </w:p>
              </w:tc>
              <w:tc>
                <w:tcPr>
                  <w:tcW w:w="1743" w:type="dxa"/>
                  <w:vAlign w:val="center"/>
                </w:tcPr>
                <w:p w14:paraId="6DAD085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E 103°15′26.00″ N 25°25′47.19″</w:t>
                  </w:r>
                </w:p>
              </w:tc>
              <w:tc>
                <w:tcPr>
                  <w:tcW w:w="713" w:type="dxa"/>
                  <w:vMerge w:val="continue"/>
                  <w:vAlign w:val="center"/>
                </w:tcPr>
                <w:p w14:paraId="76005369">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12" w:type="dxa"/>
                  <w:vAlign w:val="center"/>
                </w:tcPr>
                <w:p w14:paraId="13CCA55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350</w:t>
                  </w:r>
                </w:p>
              </w:tc>
              <w:tc>
                <w:tcPr>
                  <w:tcW w:w="975" w:type="dxa"/>
                  <w:vMerge w:val="continue"/>
                  <w:vAlign w:val="center"/>
                </w:tcPr>
                <w:p w14:paraId="5221BC9A">
                  <w:pPr>
                    <w:pStyle w:val="81"/>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00" w:type="dxa"/>
                  <w:vAlign w:val="center"/>
                </w:tcPr>
                <w:p w14:paraId="2BF3607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lang w:bidi="zh-CN"/>
                      <w14:textFill>
                        <w14:solidFill>
                          <w14:schemeClr w14:val="tx1"/>
                        </w14:solidFill>
                      </w14:textFill>
                    </w:rPr>
                    <w:t>西</w:t>
                  </w:r>
                  <w:r>
                    <w:rPr>
                      <w:rFonts w:hint="default" w:ascii="Times New Roman" w:hAnsi="Times New Roman" w:cs="Times New Roman"/>
                      <w:color w:val="000000" w:themeColor="text1"/>
                      <w:kern w:val="2"/>
                      <w:sz w:val="21"/>
                      <w:szCs w:val="21"/>
                      <w:highlight w:val="none"/>
                      <w:lang w:val="en-US" w:bidi="zh-CN"/>
                      <w14:textFill>
                        <w14:solidFill>
                          <w14:schemeClr w14:val="tx1"/>
                        </w14:solidFill>
                      </w14:textFill>
                    </w:rPr>
                    <w:t>北</w:t>
                  </w:r>
                  <w:r>
                    <w:rPr>
                      <w:rFonts w:hint="default" w:ascii="Times New Roman" w:hAnsi="Times New Roman" w:cs="Times New Roman"/>
                      <w:color w:val="000000" w:themeColor="text1"/>
                      <w:kern w:val="2"/>
                      <w:sz w:val="21"/>
                      <w:szCs w:val="21"/>
                      <w:highlight w:val="none"/>
                      <w:lang w:bidi="zh-CN"/>
                      <w14:textFill>
                        <w14:solidFill>
                          <w14:schemeClr w14:val="tx1"/>
                        </w14:solidFill>
                      </w14:textFill>
                    </w:rPr>
                    <w:t>侧，</w:t>
                  </w:r>
                  <w:r>
                    <w:rPr>
                      <w:rFonts w:hint="default" w:ascii="Times New Roman" w:hAnsi="Times New Roman" w:cs="Times New Roman"/>
                      <w:color w:val="000000" w:themeColor="text1"/>
                      <w:kern w:val="2"/>
                      <w:sz w:val="21"/>
                      <w:szCs w:val="21"/>
                      <w:highlight w:val="none"/>
                      <w:lang w:val="en-US" w:bidi="zh-CN"/>
                      <w14:textFill>
                        <w14:solidFill>
                          <w14:schemeClr w14:val="tx1"/>
                        </w14:solidFill>
                      </w14:textFill>
                    </w:rPr>
                    <w:t>4</w:t>
                  </w:r>
                  <w:r>
                    <w:rPr>
                      <w:rFonts w:hint="eastAsia" w:cs="Times New Roman"/>
                      <w:color w:val="000000" w:themeColor="text1"/>
                      <w:kern w:val="2"/>
                      <w:sz w:val="21"/>
                      <w:szCs w:val="21"/>
                      <w:highlight w:val="none"/>
                      <w:lang w:val="en-US" w:bidi="zh-CN"/>
                      <w14:textFill>
                        <w14:solidFill>
                          <w14:schemeClr w14:val="tx1"/>
                        </w14:solidFill>
                      </w14:textFill>
                    </w:rPr>
                    <w:t>30</w:t>
                  </w:r>
                  <w:r>
                    <w:rPr>
                      <w:rFonts w:hint="default" w:ascii="Times New Roman" w:hAnsi="Times New Roman" w:cs="Times New Roman"/>
                      <w:color w:val="000000" w:themeColor="text1"/>
                      <w:kern w:val="2"/>
                      <w:sz w:val="21"/>
                      <w:szCs w:val="21"/>
                      <w:highlight w:val="none"/>
                      <w:lang w:bidi="zh-CN"/>
                      <w14:textFill>
                        <w14:solidFill>
                          <w14:schemeClr w14:val="tx1"/>
                        </w14:solidFill>
                      </w14:textFill>
                    </w:rPr>
                    <w:t>m</w:t>
                  </w:r>
                </w:p>
              </w:tc>
            </w:tr>
          </w:tbl>
          <w:p w14:paraId="63733CD5">
            <w:pPr>
              <w:keepNext w:val="0"/>
              <w:keepLines w:val="0"/>
              <w:suppressLineNumbers w:val="0"/>
              <w:topLinePunct/>
              <w:spacing w:before="120" w:beforeLines="50" w:beforeAutospacing="0" w:after="0" w:afterAutospacing="0" w:line="360" w:lineRule="auto"/>
              <w:ind w:left="0" w:right="0" w:firstLine="562" w:firstLineChars="200"/>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3.8</w:t>
            </w:r>
            <w:r>
              <w:rPr>
                <w:rFonts w:hint="eastAsia"/>
                <w:b/>
                <w:color w:val="000000" w:themeColor="text1"/>
                <w:sz w:val="28"/>
                <w:szCs w:val="28"/>
                <w:highlight w:val="none"/>
                <w14:textFill>
                  <w14:solidFill>
                    <w14:schemeClr w14:val="tx1"/>
                  </w14:solidFill>
                </w14:textFill>
              </w:rPr>
              <w:t>声环境</w:t>
            </w:r>
          </w:p>
          <w:p w14:paraId="6A7DED06">
            <w:pPr>
              <w:keepNext w:val="0"/>
              <w:keepLines w:val="0"/>
              <w:suppressLineNumbers w:val="0"/>
              <w:topLinePunct/>
              <w:spacing w:before="0" w:beforeAutospacing="0" w:after="0" w:afterAutospacing="0" w:line="360" w:lineRule="auto"/>
              <w:ind w:left="0" w:right="0" w:firstLine="465"/>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本项目厂界外50m范围内无声环境保护目标。</w:t>
            </w:r>
          </w:p>
          <w:p w14:paraId="53A25C3B">
            <w:pPr>
              <w:keepNext w:val="0"/>
              <w:keepLines w:val="0"/>
              <w:suppressLineNumbers w:val="0"/>
              <w:topLinePunct/>
              <w:spacing w:before="0" w:beforeAutospacing="0" w:after="0" w:afterAutospacing="0" w:line="360" w:lineRule="auto"/>
              <w:ind w:left="0" w:right="0" w:firstLine="465"/>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3.9</w:t>
            </w:r>
            <w:r>
              <w:rPr>
                <w:rFonts w:hint="eastAsia"/>
                <w:b/>
                <w:color w:val="000000" w:themeColor="text1"/>
                <w:sz w:val="28"/>
                <w:szCs w:val="28"/>
                <w:highlight w:val="none"/>
                <w14:textFill>
                  <w14:solidFill>
                    <w14:schemeClr w14:val="tx1"/>
                  </w14:solidFill>
                </w14:textFill>
              </w:rPr>
              <w:t>地下水环境</w:t>
            </w:r>
          </w:p>
          <w:p w14:paraId="5E89C8E8">
            <w:pPr>
              <w:keepNext w:val="0"/>
              <w:keepLines w:val="0"/>
              <w:suppressLineNumbers w:val="0"/>
              <w:topLinePunct/>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项目所在厂界外500m范围内不涉及地下水集中式饮用水水源和热水、矿泉水、温泉等特殊地下水资源。</w:t>
            </w:r>
          </w:p>
          <w:p w14:paraId="476E275D">
            <w:pPr>
              <w:keepNext w:val="0"/>
              <w:keepLines w:val="0"/>
              <w:suppressLineNumbers w:val="0"/>
              <w:topLinePunct/>
              <w:spacing w:before="0" w:beforeAutospacing="0" w:after="0" w:afterAutospacing="0" w:line="360" w:lineRule="auto"/>
              <w:ind w:left="0" w:right="0" w:firstLine="465"/>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3.10</w:t>
            </w:r>
            <w:r>
              <w:rPr>
                <w:rFonts w:hint="eastAsia"/>
                <w:b/>
                <w:color w:val="000000" w:themeColor="text1"/>
                <w:sz w:val="28"/>
                <w:szCs w:val="28"/>
                <w:highlight w:val="none"/>
                <w14:textFill>
                  <w14:solidFill>
                    <w14:schemeClr w14:val="tx1"/>
                  </w14:solidFill>
                </w14:textFill>
              </w:rPr>
              <w:t>地表水环境</w:t>
            </w:r>
          </w:p>
          <w:p w14:paraId="55B4F210">
            <w:pPr>
              <w:keepNext w:val="0"/>
              <w:keepLines w:val="0"/>
              <w:suppressLineNumbers w:val="0"/>
              <w:topLinePunct/>
              <w:spacing w:before="0" w:beforeAutospacing="0" w:after="0" w:afterAutospacing="0" w:line="360" w:lineRule="auto"/>
              <w:ind w:left="0" w:right="0" w:firstLine="480" w:firstLineChars="200"/>
              <w:rPr>
                <w:rFonts w:hint="default"/>
                <w:color w:val="000000" w:themeColor="text1"/>
                <w:sz w:val="20"/>
                <w:szCs w:val="20"/>
                <w:highlight w:val="none"/>
                <w14:textFill>
                  <w14:solidFill>
                    <w14:schemeClr w14:val="tx1"/>
                  </w14:solidFill>
                </w14:textFill>
              </w:rPr>
            </w:pPr>
            <w:r>
              <w:rPr>
                <w:rFonts w:hint="eastAsia" w:hAnsi="宋体"/>
                <w:color w:val="000000" w:themeColor="text1"/>
                <w:sz w:val="24"/>
                <w:szCs w:val="20"/>
                <w:highlight w:val="none"/>
                <w14:textFill>
                  <w14:solidFill>
                    <w14:schemeClr w14:val="tx1"/>
                  </w14:solidFill>
                </w14:textFill>
              </w:rPr>
              <w:t>项目最近地表水体为穿过常青树化工厂区的聂鼠龙河（牛栏江一级支流），距离项目厂界约</w:t>
            </w:r>
            <w:r>
              <w:rPr>
                <w:rFonts w:hint="eastAsia" w:hAnsi="宋体"/>
                <w:color w:val="000000" w:themeColor="text1"/>
                <w:sz w:val="24"/>
                <w:szCs w:val="20"/>
                <w:highlight w:val="none"/>
                <w:lang w:val="en-US" w:eastAsia="zh-CN"/>
                <w14:textFill>
                  <w14:solidFill>
                    <w14:schemeClr w14:val="tx1"/>
                  </w14:solidFill>
                </w14:textFill>
              </w:rPr>
              <w:t>182</w:t>
            </w:r>
            <w:r>
              <w:rPr>
                <w:rFonts w:hint="eastAsia" w:hAnsi="宋体"/>
                <w:color w:val="000000" w:themeColor="text1"/>
                <w:sz w:val="24"/>
                <w:szCs w:val="20"/>
                <w:highlight w:val="none"/>
                <w14:textFill>
                  <w14:solidFill>
                    <w14:schemeClr w14:val="tx1"/>
                  </w14:solidFill>
                </w14:textFill>
              </w:rPr>
              <w:t>m。根据《云南省水功能区划》，聂鼠龙河执行《地表水环境质量标准》（GB 3838-2002）Ⅲ类水质标准。</w:t>
            </w:r>
          </w:p>
          <w:p w14:paraId="1E6737BF">
            <w:pPr>
              <w:keepNext w:val="0"/>
              <w:keepLines w:val="0"/>
              <w:suppressLineNumbers w:val="0"/>
              <w:topLinePunct/>
              <w:spacing w:before="0" w:beforeAutospacing="0" w:after="0" w:afterAutospacing="0"/>
              <w:ind w:left="0" w:right="0"/>
              <w:jc w:val="center"/>
              <w:rPr>
                <w:rFonts w:hint="default" w:hAnsi="宋体"/>
                <w:b/>
                <w:bCs/>
                <w:color w:val="000000" w:themeColor="text1"/>
                <w:sz w:val="24"/>
                <w:szCs w:val="20"/>
                <w:highlight w:val="none"/>
                <w14:textFill>
                  <w14:solidFill>
                    <w14:schemeClr w14:val="tx1"/>
                  </w14:solidFill>
                </w14:textFill>
              </w:rPr>
            </w:pPr>
            <w:r>
              <w:rPr>
                <w:rFonts w:hint="eastAsia" w:hAnsi="宋体"/>
                <w:b/>
                <w:bCs/>
                <w:color w:val="000000" w:themeColor="text1"/>
                <w:sz w:val="24"/>
                <w:szCs w:val="20"/>
                <w:highlight w:val="none"/>
                <w14:textFill>
                  <w14:solidFill>
                    <w14:schemeClr w14:val="tx1"/>
                  </w14:solidFill>
                </w14:textFill>
              </w:rPr>
              <w:t>表3-</w:t>
            </w:r>
            <w:r>
              <w:rPr>
                <w:rFonts w:hint="eastAsia" w:hAnsi="宋体"/>
                <w:b/>
                <w:bCs/>
                <w:color w:val="000000" w:themeColor="text1"/>
                <w:sz w:val="24"/>
                <w:szCs w:val="20"/>
                <w:highlight w:val="none"/>
                <w:lang w:val="en-US" w:eastAsia="zh-CN"/>
                <w14:textFill>
                  <w14:solidFill>
                    <w14:schemeClr w14:val="tx1"/>
                  </w14:solidFill>
                </w14:textFill>
              </w:rPr>
              <w:t>8</w:t>
            </w:r>
            <w:r>
              <w:rPr>
                <w:rFonts w:hint="eastAsia" w:hAnsi="宋体"/>
                <w:b/>
                <w:bCs/>
                <w:color w:val="000000" w:themeColor="text1"/>
                <w:sz w:val="24"/>
                <w:szCs w:val="20"/>
                <w:highlight w:val="none"/>
                <w14:textFill>
                  <w14:solidFill>
                    <w14:schemeClr w14:val="tx1"/>
                  </w14:solidFill>
                </w14:textFill>
              </w:rPr>
              <w:t xml:space="preserve">  项目</w:t>
            </w:r>
            <w:r>
              <w:rPr>
                <w:rFonts w:hint="eastAsia" w:hAnsi="宋体"/>
                <w:b/>
                <w:bCs/>
                <w:color w:val="000000" w:themeColor="text1"/>
                <w:sz w:val="24"/>
                <w:szCs w:val="20"/>
                <w:highlight w:val="none"/>
                <w:lang w:val="en-US" w:eastAsia="zh-CN"/>
                <w14:textFill>
                  <w14:solidFill>
                    <w14:schemeClr w14:val="tx1"/>
                  </w14:solidFill>
                </w14:textFill>
              </w:rPr>
              <w:t>地表水</w:t>
            </w:r>
            <w:r>
              <w:rPr>
                <w:rFonts w:hint="eastAsia" w:hAnsi="宋体"/>
                <w:b/>
                <w:bCs/>
                <w:color w:val="000000" w:themeColor="text1"/>
                <w:sz w:val="24"/>
                <w:szCs w:val="20"/>
                <w:highlight w:val="none"/>
                <w14:textFill>
                  <w14:solidFill>
                    <w14:schemeClr w14:val="tx1"/>
                  </w14:solidFill>
                </w14:textFill>
              </w:rPr>
              <w:t>环境保护目标</w:t>
            </w:r>
          </w:p>
          <w:tbl>
            <w:tblPr>
              <w:tblStyle w:val="44"/>
              <w:tblW w:w="824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2"/>
              <w:gridCol w:w="1261"/>
              <w:gridCol w:w="1243"/>
              <w:gridCol w:w="1460"/>
              <w:gridCol w:w="1658"/>
              <w:gridCol w:w="1630"/>
            </w:tblGrid>
            <w:tr w14:paraId="7F53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 w:hRule="atLeast"/>
              </w:trPr>
              <w:tc>
                <w:tcPr>
                  <w:tcW w:w="992" w:type="dxa"/>
                  <w:shd w:val="clear" w:color="auto" w:fill="auto"/>
                  <w:noWrap/>
                  <w:vAlign w:val="center"/>
                </w:tcPr>
                <w:p w14:paraId="522DBD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类别</w:t>
                  </w:r>
                </w:p>
              </w:tc>
              <w:tc>
                <w:tcPr>
                  <w:tcW w:w="1261" w:type="dxa"/>
                  <w:shd w:val="clear" w:color="auto" w:fill="auto"/>
                  <w:noWrap/>
                  <w:vAlign w:val="center"/>
                </w:tcPr>
                <w:p w14:paraId="6D2B58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1243" w:type="dxa"/>
                  <w:shd w:val="clear" w:color="auto" w:fill="auto"/>
                  <w:noWrap/>
                  <w:vAlign w:val="center"/>
                </w:tcPr>
                <w:p w14:paraId="646140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保护对象</w:t>
                  </w:r>
                </w:p>
              </w:tc>
              <w:tc>
                <w:tcPr>
                  <w:tcW w:w="1460" w:type="dxa"/>
                  <w:shd w:val="clear" w:color="auto" w:fill="auto"/>
                  <w:noWrap/>
                  <w:vAlign w:val="center"/>
                </w:tcPr>
                <w:p w14:paraId="7CF214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环境功能区</w:t>
                  </w:r>
                </w:p>
              </w:tc>
              <w:tc>
                <w:tcPr>
                  <w:tcW w:w="1658" w:type="dxa"/>
                  <w:shd w:val="clear" w:color="auto" w:fill="auto"/>
                  <w:noWrap/>
                  <w:vAlign w:val="center"/>
                </w:tcPr>
                <w:p w14:paraId="0894C7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方位，距离</w:t>
                  </w:r>
                </w:p>
              </w:tc>
              <w:tc>
                <w:tcPr>
                  <w:tcW w:w="1630" w:type="dxa"/>
                  <w:shd w:val="clear" w:color="auto" w:fill="auto"/>
                  <w:noWrap/>
                  <w:vAlign w:val="center"/>
                </w:tcPr>
                <w:p w14:paraId="60308A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执行标准</w:t>
                  </w:r>
                </w:p>
              </w:tc>
            </w:tr>
            <w:tr w14:paraId="6F5A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92" w:type="dxa"/>
                  <w:shd w:val="clear" w:color="auto" w:fill="auto"/>
                  <w:noWrap/>
                  <w:vAlign w:val="center"/>
                </w:tcPr>
                <w:p w14:paraId="1CBD4F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地表水环境</w:t>
                  </w:r>
                </w:p>
              </w:tc>
              <w:tc>
                <w:tcPr>
                  <w:tcW w:w="1261" w:type="dxa"/>
                  <w:shd w:val="clear" w:color="auto" w:fill="auto"/>
                  <w:noWrap/>
                  <w:vAlign w:val="center"/>
                </w:tcPr>
                <w:p w14:paraId="149A60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聂鼠龙河</w:t>
                  </w:r>
                </w:p>
              </w:tc>
              <w:tc>
                <w:tcPr>
                  <w:tcW w:w="1243" w:type="dxa"/>
                  <w:shd w:val="clear" w:color="auto" w:fill="auto"/>
                  <w:noWrap/>
                  <w:vAlign w:val="center"/>
                </w:tcPr>
                <w:p w14:paraId="0CCBA2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地表水环境质量</w:t>
                  </w:r>
                </w:p>
              </w:tc>
              <w:tc>
                <w:tcPr>
                  <w:tcW w:w="1460" w:type="dxa"/>
                  <w:shd w:val="clear" w:color="auto" w:fill="auto"/>
                  <w:noWrap/>
                  <w:vAlign w:val="center"/>
                </w:tcPr>
                <w:p w14:paraId="124B34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Ⅲ类水体</w:t>
                  </w:r>
                </w:p>
              </w:tc>
              <w:tc>
                <w:tcPr>
                  <w:tcW w:w="1658" w:type="dxa"/>
                  <w:shd w:val="clear" w:color="auto" w:fill="auto"/>
                  <w:noWrap/>
                  <w:vAlign w:val="center"/>
                </w:tcPr>
                <w:p w14:paraId="14A380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北侧</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，约171m</w:t>
                  </w:r>
                </w:p>
              </w:tc>
              <w:tc>
                <w:tcPr>
                  <w:tcW w:w="1630" w:type="dxa"/>
                  <w:shd w:val="clear" w:color="auto" w:fill="auto"/>
                  <w:noWrap/>
                  <w:vAlign w:val="center"/>
                </w:tcPr>
                <w:p w14:paraId="10C74D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《地表水环境质量标准》（GB 3838-2002）Ⅲ类标准</w:t>
                  </w:r>
                </w:p>
              </w:tc>
            </w:tr>
            <w:tr w14:paraId="4A87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2" w:type="dxa"/>
                  <w:shd w:val="clear" w:color="auto" w:fill="auto"/>
                  <w:noWrap/>
                  <w:vAlign w:val="center"/>
                </w:tcPr>
                <w:p w14:paraId="1CDEB7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地表水环境</w:t>
                  </w:r>
                </w:p>
              </w:tc>
              <w:tc>
                <w:tcPr>
                  <w:tcW w:w="1261" w:type="dxa"/>
                  <w:shd w:val="clear" w:color="auto" w:fill="auto"/>
                  <w:noWrap/>
                  <w:vAlign w:val="center"/>
                </w:tcPr>
                <w:p w14:paraId="63B070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牛栏江</w:t>
                  </w:r>
                </w:p>
              </w:tc>
              <w:tc>
                <w:tcPr>
                  <w:tcW w:w="1243" w:type="dxa"/>
                  <w:shd w:val="clear" w:color="auto" w:fill="auto"/>
                  <w:noWrap/>
                  <w:vAlign w:val="center"/>
                </w:tcPr>
                <w:p w14:paraId="0E509B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地表水环境质量</w:t>
                  </w:r>
                </w:p>
              </w:tc>
              <w:tc>
                <w:tcPr>
                  <w:tcW w:w="1460" w:type="dxa"/>
                  <w:shd w:val="clear" w:color="auto" w:fill="auto"/>
                  <w:noWrap/>
                  <w:vAlign w:val="center"/>
                </w:tcPr>
                <w:p w14:paraId="41175D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Ⅰ~Ⅲ类水体</w:t>
                  </w:r>
                </w:p>
              </w:tc>
              <w:tc>
                <w:tcPr>
                  <w:tcW w:w="1658" w:type="dxa"/>
                  <w:shd w:val="clear" w:color="auto" w:fill="auto"/>
                  <w:noWrap/>
                  <w:vAlign w:val="center"/>
                </w:tcPr>
                <w:p w14:paraId="580C87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东侧，约</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869m</w:t>
                  </w:r>
                </w:p>
              </w:tc>
              <w:tc>
                <w:tcPr>
                  <w:tcW w:w="1630" w:type="dxa"/>
                  <w:shd w:val="clear" w:color="auto" w:fill="auto"/>
                  <w:noWrap/>
                  <w:vAlign w:val="center"/>
                </w:tcPr>
                <w:p w14:paraId="1CC04E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《地表水环境质量标准》（GB 3838-2002）Ⅰ~Ⅲ类标准</w:t>
                  </w:r>
                </w:p>
              </w:tc>
            </w:tr>
          </w:tbl>
          <w:p w14:paraId="01D9FABD">
            <w:pPr>
              <w:keepNext w:val="0"/>
              <w:keepLines w:val="0"/>
              <w:suppressLineNumbers w:val="0"/>
              <w:topLinePunct/>
              <w:spacing w:before="0" w:beforeAutospacing="0" w:after="0" w:afterAutospacing="0" w:line="360" w:lineRule="auto"/>
              <w:ind w:left="0" w:right="0" w:firstLine="465"/>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3.11</w:t>
            </w:r>
            <w:r>
              <w:rPr>
                <w:rFonts w:hint="eastAsia"/>
                <w:b/>
                <w:color w:val="000000" w:themeColor="text1"/>
                <w:sz w:val="28"/>
                <w:szCs w:val="28"/>
                <w:highlight w:val="none"/>
                <w14:textFill>
                  <w14:solidFill>
                    <w14:schemeClr w14:val="tx1"/>
                  </w14:solidFill>
                </w14:textFill>
              </w:rPr>
              <w:t>生态环境</w:t>
            </w:r>
          </w:p>
          <w:p w14:paraId="3CEF3C6B">
            <w:pPr>
              <w:keepNext w:val="0"/>
              <w:keepLines w:val="0"/>
              <w:suppressLineNumbers w:val="0"/>
              <w:spacing w:before="0" w:beforeAutospacing="0" w:after="0" w:afterAutospacing="0" w:line="360" w:lineRule="auto"/>
              <w:ind w:left="0" w:right="0" w:firstLine="480" w:firstLineChars="200"/>
              <w:rPr>
                <w:rFonts w:hint="default"/>
                <w:color w:val="000000" w:themeColor="text1"/>
                <w:sz w:val="20"/>
                <w:szCs w:val="20"/>
                <w:highlight w:val="none"/>
                <w:lang w:val="en-US" w:eastAsia="zh-CN"/>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本项目租用</w:t>
            </w:r>
            <w:r>
              <w:rPr>
                <w:rFonts w:hint="eastAsia"/>
                <w:color w:val="000000" w:themeColor="text1"/>
                <w:sz w:val="24"/>
                <w:szCs w:val="20"/>
                <w:highlight w:val="none"/>
                <w:lang w:val="en-US" w:eastAsia="zh-CN"/>
                <w14:textFill>
                  <w14:solidFill>
                    <w14:schemeClr w14:val="tx1"/>
                  </w14:solidFill>
                </w14:textFill>
              </w:rPr>
              <w:t>原泰康化工有限公司闲置空地进行生产</w:t>
            </w:r>
            <w:r>
              <w:rPr>
                <w:rFonts w:hint="eastAsia"/>
                <w:color w:val="000000" w:themeColor="text1"/>
                <w:sz w:val="24"/>
                <w:szCs w:val="20"/>
                <w:highlight w:val="none"/>
                <w14:textFill>
                  <w14:solidFill>
                    <w14:schemeClr w14:val="tx1"/>
                  </w14:solidFill>
                </w14:textFill>
              </w:rPr>
              <w:t>，不新增永久占地，不占用耕地及基本农田。</w:t>
            </w:r>
          </w:p>
        </w:tc>
      </w:tr>
      <w:tr w14:paraId="51526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99" w:type="dxa"/>
            <w:tcMar>
              <w:left w:w="28" w:type="dxa"/>
              <w:right w:w="28" w:type="dxa"/>
            </w:tcMar>
            <w:vAlign w:val="center"/>
          </w:tcPr>
          <w:p w14:paraId="38F8B17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污染</w:t>
            </w:r>
          </w:p>
          <w:p w14:paraId="2A7F38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物排</w:t>
            </w:r>
          </w:p>
          <w:p w14:paraId="1C37561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放控</w:t>
            </w:r>
          </w:p>
          <w:p w14:paraId="43958B6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制标</w:t>
            </w:r>
          </w:p>
          <w:p w14:paraId="64104D4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准</w:t>
            </w:r>
          </w:p>
        </w:tc>
        <w:tc>
          <w:tcPr>
            <w:tcW w:w="8537" w:type="dxa"/>
            <w:vAlign w:val="center"/>
          </w:tcPr>
          <w:p w14:paraId="1EA0FD68">
            <w:pPr>
              <w:keepNext w:val="0"/>
              <w:keepLines w:val="0"/>
              <w:suppressLineNumbers w:val="0"/>
              <w:spacing w:before="0" w:beforeAutospacing="0" w:after="0" w:afterAutospacing="0" w:line="360" w:lineRule="auto"/>
              <w:ind w:left="0" w:right="0" w:firstLine="562" w:firstLineChars="200"/>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3.13</w:t>
            </w:r>
            <w:r>
              <w:rPr>
                <w:rFonts w:hint="default" w:hAnsi="宋体"/>
                <w:b/>
                <w:color w:val="000000" w:themeColor="text1"/>
                <w:sz w:val="28"/>
                <w:szCs w:val="28"/>
                <w:highlight w:val="none"/>
                <w14:textFill>
                  <w14:solidFill>
                    <w14:schemeClr w14:val="tx1"/>
                  </w14:solidFill>
                </w14:textFill>
              </w:rPr>
              <w:t>大气污染物</w:t>
            </w:r>
          </w:p>
          <w:p w14:paraId="7ADD3BBD">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szCs w:val="20"/>
                <w:highlight w:val="none"/>
                <w14:textFill>
                  <w14:solidFill>
                    <w14:schemeClr w14:val="tx1"/>
                  </w14:solidFill>
                </w14:textFill>
              </w:rPr>
            </w:pPr>
            <w:r>
              <w:rPr>
                <w:rFonts w:hint="default"/>
                <w:bCs/>
                <w:color w:val="000000" w:themeColor="text1"/>
                <w:sz w:val="24"/>
                <w:szCs w:val="20"/>
                <w:highlight w:val="none"/>
                <w14:textFill>
                  <w14:solidFill>
                    <w14:schemeClr w14:val="tx1"/>
                  </w14:solidFill>
                </w14:textFill>
              </w:rPr>
              <w:t>（</w:t>
            </w:r>
            <w:r>
              <w:rPr>
                <w:rFonts w:hint="eastAsia"/>
                <w:bCs/>
                <w:color w:val="000000" w:themeColor="text1"/>
                <w:sz w:val="24"/>
                <w:szCs w:val="20"/>
                <w:highlight w:val="none"/>
                <w14:textFill>
                  <w14:solidFill>
                    <w14:schemeClr w14:val="tx1"/>
                  </w14:solidFill>
                </w14:textFill>
              </w:rPr>
              <w:t>一</w:t>
            </w:r>
            <w:r>
              <w:rPr>
                <w:rFonts w:hint="default"/>
                <w:bCs/>
                <w:color w:val="000000" w:themeColor="text1"/>
                <w:sz w:val="24"/>
                <w:szCs w:val="20"/>
                <w:highlight w:val="none"/>
                <w14:textFill>
                  <w14:solidFill>
                    <w14:schemeClr w14:val="tx1"/>
                  </w14:solidFill>
                </w14:textFill>
              </w:rPr>
              <w:t>）施工期</w:t>
            </w:r>
          </w:p>
          <w:p w14:paraId="12966171">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szCs w:val="20"/>
                <w:highlight w:val="none"/>
                <w14:textFill>
                  <w14:solidFill>
                    <w14:schemeClr w14:val="tx1"/>
                  </w14:solidFill>
                </w14:textFill>
              </w:rPr>
            </w:pPr>
            <w:r>
              <w:rPr>
                <w:rFonts w:hint="default"/>
                <w:bCs/>
                <w:color w:val="000000" w:themeColor="text1"/>
                <w:sz w:val="24"/>
                <w:szCs w:val="20"/>
                <w:highlight w:val="none"/>
                <w14:textFill>
                  <w14:solidFill>
                    <w14:schemeClr w14:val="tx1"/>
                  </w14:solidFill>
                </w14:textFill>
              </w:rPr>
              <w:t>项目施工期无组织颗粒物排放执行《大气污染物综合排放标准》（GB16297-1996）中表2规定的限值，即厂界颗粒物无组织排放浓度≤1.0mg/m</w:t>
            </w:r>
            <w:r>
              <w:rPr>
                <w:rFonts w:hint="default"/>
                <w:bCs/>
                <w:color w:val="000000" w:themeColor="text1"/>
                <w:sz w:val="24"/>
                <w:szCs w:val="20"/>
                <w:highlight w:val="none"/>
                <w:vertAlign w:val="superscript"/>
                <w14:textFill>
                  <w14:solidFill>
                    <w14:schemeClr w14:val="tx1"/>
                  </w14:solidFill>
                </w14:textFill>
              </w:rPr>
              <w:t>3</w:t>
            </w:r>
            <w:r>
              <w:rPr>
                <w:rFonts w:hint="default"/>
                <w:bCs/>
                <w:color w:val="000000" w:themeColor="text1"/>
                <w:sz w:val="24"/>
                <w:szCs w:val="20"/>
                <w:highlight w:val="none"/>
                <w14:textFill>
                  <w14:solidFill>
                    <w14:schemeClr w14:val="tx1"/>
                  </w14:solidFill>
                </w14:textFill>
              </w:rPr>
              <w:t>，具体指标见表</w:t>
            </w:r>
            <w:r>
              <w:rPr>
                <w:rFonts w:hint="eastAsia"/>
                <w:bCs/>
                <w:color w:val="000000" w:themeColor="text1"/>
                <w:sz w:val="24"/>
                <w:szCs w:val="20"/>
                <w:highlight w:val="none"/>
                <w14:textFill>
                  <w14:solidFill>
                    <w14:schemeClr w14:val="tx1"/>
                  </w14:solidFill>
                </w14:textFill>
              </w:rPr>
              <w:t>3-</w:t>
            </w:r>
            <w:r>
              <w:rPr>
                <w:rFonts w:hint="eastAsia"/>
                <w:bCs/>
                <w:color w:val="000000" w:themeColor="text1"/>
                <w:sz w:val="24"/>
                <w:szCs w:val="20"/>
                <w:highlight w:val="none"/>
                <w:lang w:val="en-US" w:eastAsia="zh-CN"/>
                <w14:textFill>
                  <w14:solidFill>
                    <w14:schemeClr w14:val="tx1"/>
                  </w14:solidFill>
                </w14:textFill>
              </w:rPr>
              <w:t>9</w:t>
            </w:r>
            <w:r>
              <w:rPr>
                <w:rFonts w:hint="default"/>
                <w:bCs/>
                <w:color w:val="000000" w:themeColor="text1"/>
                <w:sz w:val="24"/>
                <w:szCs w:val="20"/>
                <w:highlight w:val="none"/>
                <w14:textFill>
                  <w14:solidFill>
                    <w14:schemeClr w14:val="tx1"/>
                  </w14:solidFill>
                </w14:textFill>
              </w:rPr>
              <w:t>。</w:t>
            </w:r>
          </w:p>
          <w:p w14:paraId="545CBA42">
            <w:pPr>
              <w:keepNext w:val="0"/>
              <w:keepLines w:val="0"/>
              <w:suppressLineNumbers w:val="0"/>
              <w:spacing w:before="0" w:beforeAutospacing="0" w:after="0" w:afterAutospacing="0"/>
              <w:ind w:left="0" w:right="0"/>
              <w:jc w:val="center"/>
              <w:rPr>
                <w:rFonts w:hint="default"/>
                <w:b/>
                <w:bCs/>
                <w:color w:val="000000" w:themeColor="text1"/>
                <w:sz w:val="24"/>
                <w:szCs w:val="20"/>
                <w:highlight w:val="none"/>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表</w:t>
            </w:r>
            <w:r>
              <w:rPr>
                <w:rFonts w:hint="eastAsia"/>
                <w:b/>
                <w:bCs/>
                <w:color w:val="000000" w:themeColor="text1"/>
                <w:sz w:val="24"/>
                <w:szCs w:val="20"/>
                <w:highlight w:val="none"/>
                <w14:textFill>
                  <w14:solidFill>
                    <w14:schemeClr w14:val="tx1"/>
                  </w14:solidFill>
                </w14:textFill>
              </w:rPr>
              <w:t>3-</w:t>
            </w:r>
            <w:r>
              <w:rPr>
                <w:rFonts w:hint="eastAsia"/>
                <w:b/>
                <w:bCs/>
                <w:color w:val="000000" w:themeColor="text1"/>
                <w:sz w:val="24"/>
                <w:szCs w:val="20"/>
                <w:highlight w:val="none"/>
                <w:lang w:val="en-US" w:eastAsia="zh-CN"/>
                <w14:textFill>
                  <w14:solidFill>
                    <w14:schemeClr w14:val="tx1"/>
                  </w14:solidFill>
                </w14:textFill>
              </w:rPr>
              <w:t>9</w:t>
            </w:r>
            <w:r>
              <w:rPr>
                <w:rFonts w:hint="eastAsia"/>
                <w:b/>
                <w:bCs/>
                <w:color w:val="000000" w:themeColor="text1"/>
                <w:sz w:val="24"/>
                <w:szCs w:val="20"/>
                <w:highlight w:val="none"/>
                <w14:textFill>
                  <w14:solidFill>
                    <w14:schemeClr w14:val="tx1"/>
                  </w14:solidFill>
                </w14:textFill>
              </w:rPr>
              <w:t xml:space="preserve"> </w:t>
            </w:r>
            <w:r>
              <w:rPr>
                <w:rFonts w:hint="default"/>
                <w:b/>
                <w:bCs/>
                <w:color w:val="000000" w:themeColor="text1"/>
                <w:sz w:val="24"/>
                <w:szCs w:val="20"/>
                <w:highlight w:val="none"/>
                <w14:textFill>
                  <w14:solidFill>
                    <w14:schemeClr w14:val="tx1"/>
                  </w14:solidFill>
                </w14:textFill>
              </w:rPr>
              <w:t xml:space="preserve"> 大气污染物综合排放标准</w:t>
            </w:r>
          </w:p>
          <w:tbl>
            <w:tblPr>
              <w:tblStyle w:val="44"/>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750"/>
              <w:gridCol w:w="5647"/>
            </w:tblGrid>
            <w:tr w14:paraId="744F1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37" w:type="pct"/>
                  <w:tcBorders>
                    <w:top w:val="single" w:color="auto" w:sz="2" w:space="0"/>
                    <w:left w:val="single" w:color="auto" w:sz="2" w:space="0"/>
                    <w:bottom w:val="single" w:color="auto" w:sz="2" w:space="0"/>
                    <w:right w:val="single" w:color="auto" w:sz="4" w:space="0"/>
                  </w:tcBorders>
                  <w:vAlign w:val="center"/>
                </w:tcPr>
                <w:p w14:paraId="4D44061B">
                  <w:pPr>
                    <w:pStyle w:val="10"/>
                    <w:keepNext w:val="0"/>
                    <w:keepLines w:val="0"/>
                    <w:suppressLineNumbers w:val="0"/>
                    <w:spacing w:before="0" w:beforeAutospacing="0" w:after="0" w:afterAutospacing="0"/>
                    <w:ind w:left="0" w:right="0"/>
                    <w:rPr>
                      <w:rFonts w:hint="default" w:eastAsia="宋体"/>
                      <w:b/>
                      <w:bCs/>
                      <w:color w:val="000000" w:themeColor="text1"/>
                      <w:kern w:val="2"/>
                      <w:sz w:val="21"/>
                      <w:szCs w:val="21"/>
                      <w:highlight w:val="none"/>
                      <w:lang w:eastAsia="zh-CN"/>
                      <w14:textFill>
                        <w14:solidFill>
                          <w14:schemeClr w14:val="tx1"/>
                        </w14:solidFill>
                      </w14:textFill>
                    </w:rPr>
                  </w:pPr>
                  <w:r>
                    <w:rPr>
                      <w:rFonts w:hint="default" w:eastAsia="宋体"/>
                      <w:b/>
                      <w:bCs/>
                      <w:color w:val="000000" w:themeColor="text1"/>
                      <w:kern w:val="2"/>
                      <w:sz w:val="21"/>
                      <w:szCs w:val="21"/>
                      <w:highlight w:val="none"/>
                      <w:lang w:eastAsia="zh-CN"/>
                      <w14:textFill>
                        <w14:solidFill>
                          <w14:schemeClr w14:val="tx1"/>
                        </w14:solidFill>
                      </w14:textFill>
                    </w:rPr>
                    <w:t>污染物</w:t>
                  </w:r>
                </w:p>
              </w:tc>
              <w:tc>
                <w:tcPr>
                  <w:tcW w:w="3362" w:type="pct"/>
                  <w:tcBorders>
                    <w:top w:val="single" w:color="auto" w:sz="2" w:space="0"/>
                    <w:left w:val="single" w:color="auto" w:sz="4" w:space="0"/>
                    <w:bottom w:val="single" w:color="auto" w:sz="2" w:space="0"/>
                    <w:right w:val="single" w:color="auto" w:sz="2" w:space="0"/>
                  </w:tcBorders>
                  <w:vAlign w:val="center"/>
                </w:tcPr>
                <w:p w14:paraId="3F713F91">
                  <w:pPr>
                    <w:pStyle w:val="10"/>
                    <w:keepNext w:val="0"/>
                    <w:keepLines w:val="0"/>
                    <w:suppressLineNumbers w:val="0"/>
                    <w:spacing w:before="0" w:beforeAutospacing="0" w:after="0" w:afterAutospacing="0"/>
                    <w:ind w:left="0" w:right="0"/>
                    <w:rPr>
                      <w:rFonts w:hint="default" w:eastAsia="宋体"/>
                      <w:b/>
                      <w:bCs/>
                      <w:color w:val="000000" w:themeColor="text1"/>
                      <w:kern w:val="2"/>
                      <w:sz w:val="21"/>
                      <w:szCs w:val="21"/>
                      <w:highlight w:val="none"/>
                      <w:lang w:eastAsia="zh-CN"/>
                      <w14:textFill>
                        <w14:solidFill>
                          <w14:schemeClr w14:val="tx1"/>
                        </w14:solidFill>
                      </w14:textFill>
                    </w:rPr>
                  </w:pPr>
                  <w:r>
                    <w:rPr>
                      <w:rFonts w:hint="default" w:eastAsia="宋体"/>
                      <w:b/>
                      <w:bCs/>
                      <w:color w:val="000000" w:themeColor="text1"/>
                      <w:kern w:val="2"/>
                      <w:sz w:val="21"/>
                      <w:szCs w:val="21"/>
                      <w:highlight w:val="none"/>
                      <w:lang w:eastAsia="zh-CN"/>
                      <w14:textFill>
                        <w14:solidFill>
                          <w14:schemeClr w14:val="tx1"/>
                        </w14:solidFill>
                      </w14:textFill>
                    </w:rPr>
                    <w:t>无组织排放监控浓度限值</w:t>
                  </w:r>
                </w:p>
              </w:tc>
            </w:tr>
            <w:tr w14:paraId="36F5A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637" w:type="pct"/>
                  <w:tcBorders>
                    <w:top w:val="single" w:color="auto" w:sz="2" w:space="0"/>
                    <w:left w:val="single" w:color="auto" w:sz="2" w:space="0"/>
                    <w:bottom w:val="single" w:color="auto" w:sz="2" w:space="0"/>
                    <w:right w:val="single" w:color="auto" w:sz="4" w:space="0"/>
                  </w:tcBorders>
                  <w:vAlign w:val="center"/>
                </w:tcPr>
                <w:p w14:paraId="3296A29F">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颗粒物</w:t>
                  </w:r>
                </w:p>
              </w:tc>
              <w:tc>
                <w:tcPr>
                  <w:tcW w:w="3362" w:type="pct"/>
                  <w:tcBorders>
                    <w:top w:val="single" w:color="auto" w:sz="2" w:space="0"/>
                    <w:left w:val="single" w:color="auto" w:sz="4" w:space="0"/>
                    <w:bottom w:val="single" w:color="auto" w:sz="2" w:space="0"/>
                    <w:right w:val="single" w:color="auto" w:sz="2" w:space="0"/>
                  </w:tcBorders>
                  <w:vAlign w:val="center"/>
                </w:tcPr>
                <w:p w14:paraId="50370DC6">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1.0mg/m</w:t>
                  </w:r>
                  <w:r>
                    <w:rPr>
                      <w:rFonts w:hint="default"/>
                      <w:color w:val="000000" w:themeColor="text1"/>
                      <w:sz w:val="21"/>
                      <w:szCs w:val="21"/>
                      <w:highlight w:val="none"/>
                      <w:vertAlign w:val="superscript"/>
                      <w14:textFill>
                        <w14:solidFill>
                          <w14:schemeClr w14:val="tx1"/>
                        </w14:solidFill>
                      </w14:textFill>
                    </w:rPr>
                    <w:t>3</w:t>
                  </w:r>
                </w:p>
              </w:tc>
            </w:tr>
          </w:tbl>
          <w:p w14:paraId="6124D744">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szCs w:val="20"/>
                <w:highlight w:val="none"/>
                <w14:textFill>
                  <w14:solidFill>
                    <w14:schemeClr w14:val="tx1"/>
                  </w14:solidFill>
                </w14:textFill>
              </w:rPr>
            </w:pPr>
            <w:r>
              <w:rPr>
                <w:rFonts w:hint="eastAsia"/>
                <w:bCs/>
                <w:color w:val="000000" w:themeColor="text1"/>
                <w:sz w:val="24"/>
                <w:szCs w:val="20"/>
                <w:highlight w:val="none"/>
                <w14:textFill>
                  <w14:solidFill>
                    <w14:schemeClr w14:val="tx1"/>
                  </w14:solidFill>
                </w14:textFill>
              </w:rPr>
              <w:t>（二）运营期</w:t>
            </w:r>
          </w:p>
          <w:p w14:paraId="39A26199">
            <w:pPr>
              <w:keepNext w:val="0"/>
              <w:keepLines w:val="0"/>
              <w:suppressLineNumbers w:val="0"/>
              <w:spacing w:before="0" w:beforeAutospacing="0" w:after="0" w:afterAutospacing="0" w:line="360" w:lineRule="auto"/>
              <w:ind w:left="0" w:right="0" w:firstLine="480" w:firstLineChars="200"/>
              <w:rPr>
                <w:rFonts w:hint="default" w:hAnsi="宋体"/>
                <w:bCs/>
                <w:color w:val="000000" w:themeColor="text1"/>
                <w:sz w:val="24"/>
                <w:szCs w:val="20"/>
                <w:highlight w:val="none"/>
                <w14:textFill>
                  <w14:solidFill>
                    <w14:schemeClr w14:val="tx1"/>
                  </w14:solidFill>
                </w14:textFill>
              </w:rPr>
            </w:pPr>
            <w:r>
              <w:rPr>
                <w:rFonts w:hint="eastAsia" w:hAnsi="宋体"/>
                <w:bCs/>
                <w:color w:val="000000" w:themeColor="text1"/>
                <w:sz w:val="24"/>
                <w:szCs w:val="20"/>
                <w:highlight w:val="none"/>
                <w14:textFill>
                  <w14:solidFill>
                    <w14:schemeClr w14:val="tx1"/>
                  </w14:solidFill>
                </w14:textFill>
              </w:rPr>
              <w:t>（1）无组织废气</w:t>
            </w:r>
          </w:p>
          <w:p w14:paraId="1D2AB67A">
            <w:pPr>
              <w:keepNext w:val="0"/>
              <w:keepLines w:val="0"/>
              <w:suppressLineNumbers w:val="0"/>
              <w:spacing w:before="0" w:beforeAutospacing="0" w:after="0" w:afterAutospacing="0" w:line="360" w:lineRule="auto"/>
              <w:ind w:left="0" w:right="0" w:firstLine="480" w:firstLineChars="200"/>
              <w:rPr>
                <w:rFonts w:hint="default" w:hAnsi="宋体"/>
                <w:bCs/>
                <w:color w:val="000000" w:themeColor="text1"/>
                <w:sz w:val="24"/>
                <w:szCs w:val="20"/>
                <w:highlight w:val="none"/>
                <w14:textFill>
                  <w14:solidFill>
                    <w14:schemeClr w14:val="tx1"/>
                  </w14:solidFill>
                </w14:textFill>
              </w:rPr>
            </w:pPr>
            <w:r>
              <w:rPr>
                <w:rFonts w:hint="default" w:hAnsi="宋体"/>
                <w:bCs/>
                <w:color w:val="000000" w:themeColor="text1"/>
                <w:sz w:val="24"/>
                <w:szCs w:val="20"/>
                <w:highlight w:val="none"/>
                <w14:textFill>
                  <w14:solidFill>
                    <w14:schemeClr w14:val="tx1"/>
                  </w14:solidFill>
                </w14:textFill>
              </w:rPr>
              <w:t>运营期产生的</w:t>
            </w:r>
            <w:r>
              <w:rPr>
                <w:rFonts w:hint="eastAsia" w:hAnsi="宋体"/>
                <w:bCs/>
                <w:color w:val="000000" w:themeColor="text1"/>
                <w:sz w:val="24"/>
                <w:szCs w:val="20"/>
                <w:highlight w:val="none"/>
                <w14:textFill>
                  <w14:solidFill>
                    <w14:schemeClr w14:val="tx1"/>
                  </w14:solidFill>
                </w14:textFill>
              </w:rPr>
              <w:t>无组织</w:t>
            </w:r>
            <w:r>
              <w:rPr>
                <w:rFonts w:hint="default" w:hAnsi="宋体"/>
                <w:bCs/>
                <w:color w:val="000000" w:themeColor="text1"/>
                <w:sz w:val="24"/>
                <w:szCs w:val="20"/>
                <w:highlight w:val="none"/>
                <w14:textFill>
                  <w14:solidFill>
                    <w14:schemeClr w14:val="tx1"/>
                  </w14:solidFill>
                </w14:textFill>
              </w:rPr>
              <w:t>颗粒物</w:t>
            </w:r>
            <w:r>
              <w:rPr>
                <w:rFonts w:hint="eastAsia" w:hAnsi="宋体"/>
                <w:bCs/>
                <w:color w:val="000000" w:themeColor="text1"/>
                <w:sz w:val="24"/>
                <w:szCs w:val="20"/>
                <w:highlight w:val="none"/>
                <w14:textFill>
                  <w14:solidFill>
                    <w14:schemeClr w14:val="tx1"/>
                  </w14:solidFill>
                </w14:textFill>
              </w:rPr>
              <w:t>排放执行</w:t>
            </w:r>
            <w:r>
              <w:rPr>
                <w:rFonts w:hint="default" w:hAnsi="宋体"/>
                <w:bCs/>
                <w:color w:val="000000" w:themeColor="text1"/>
                <w:sz w:val="24"/>
                <w:szCs w:val="20"/>
                <w:highlight w:val="none"/>
                <w14:textFill>
                  <w14:solidFill>
                    <w14:schemeClr w14:val="tx1"/>
                  </w14:solidFill>
                </w14:textFill>
              </w:rPr>
              <w:t>《大气污染物综合排放标准》（</w:t>
            </w:r>
            <w:r>
              <w:rPr>
                <w:rFonts w:hint="default"/>
                <w:bCs/>
                <w:color w:val="000000" w:themeColor="text1"/>
                <w:sz w:val="24"/>
                <w:szCs w:val="20"/>
                <w:highlight w:val="none"/>
                <w14:textFill>
                  <w14:solidFill>
                    <w14:schemeClr w14:val="tx1"/>
                  </w14:solidFill>
                </w14:textFill>
              </w:rPr>
              <w:t>GB16297-1996</w:t>
            </w:r>
            <w:r>
              <w:rPr>
                <w:rFonts w:hint="default" w:hAnsi="宋体"/>
                <w:bCs/>
                <w:color w:val="000000" w:themeColor="text1"/>
                <w:sz w:val="24"/>
                <w:szCs w:val="20"/>
                <w:highlight w:val="none"/>
                <w14:textFill>
                  <w14:solidFill>
                    <w14:schemeClr w14:val="tx1"/>
                  </w14:solidFill>
                </w14:textFill>
              </w:rPr>
              <w:t>）表</w:t>
            </w:r>
            <w:r>
              <w:rPr>
                <w:rFonts w:hint="default"/>
                <w:bCs/>
                <w:color w:val="000000" w:themeColor="text1"/>
                <w:sz w:val="24"/>
                <w:szCs w:val="20"/>
                <w:highlight w:val="none"/>
                <w14:textFill>
                  <w14:solidFill>
                    <w14:schemeClr w14:val="tx1"/>
                  </w14:solidFill>
                </w14:textFill>
              </w:rPr>
              <w:t>2</w:t>
            </w:r>
            <w:r>
              <w:rPr>
                <w:rFonts w:hint="default" w:hAnsi="宋体"/>
                <w:bCs/>
                <w:color w:val="000000" w:themeColor="text1"/>
                <w:sz w:val="24"/>
                <w:szCs w:val="20"/>
                <w:highlight w:val="none"/>
                <w14:textFill>
                  <w14:solidFill>
                    <w14:schemeClr w14:val="tx1"/>
                  </w14:solidFill>
                </w14:textFill>
              </w:rPr>
              <w:t>中无组织排放监控</w:t>
            </w:r>
            <w:r>
              <w:rPr>
                <w:rFonts w:hint="eastAsia" w:hAnsi="宋体"/>
                <w:bCs/>
                <w:color w:val="000000" w:themeColor="text1"/>
                <w:sz w:val="24"/>
                <w:szCs w:val="20"/>
                <w:highlight w:val="none"/>
                <w:lang w:eastAsia="zh-CN"/>
                <w14:textFill>
                  <w14:solidFill>
                    <w14:schemeClr w14:val="tx1"/>
                  </w14:solidFill>
                </w14:textFill>
              </w:rPr>
              <w:t>浓度限值</w:t>
            </w:r>
            <w:r>
              <w:rPr>
                <w:rFonts w:hint="default" w:hAnsi="宋体"/>
                <w:bCs/>
                <w:color w:val="000000" w:themeColor="text1"/>
                <w:sz w:val="24"/>
                <w:szCs w:val="20"/>
                <w:highlight w:val="none"/>
                <w14:textFill>
                  <w14:solidFill>
                    <w14:schemeClr w14:val="tx1"/>
                  </w14:solidFill>
                </w14:textFill>
              </w:rPr>
              <w:t>的要求具体见表</w:t>
            </w:r>
            <w:r>
              <w:rPr>
                <w:rFonts w:hint="eastAsia"/>
                <w:bCs/>
                <w:color w:val="000000" w:themeColor="text1"/>
                <w:sz w:val="24"/>
                <w:szCs w:val="20"/>
                <w:highlight w:val="none"/>
                <w14:textFill>
                  <w14:solidFill>
                    <w14:schemeClr w14:val="tx1"/>
                  </w14:solidFill>
                </w14:textFill>
              </w:rPr>
              <w:t>3-</w:t>
            </w:r>
            <w:r>
              <w:rPr>
                <w:rFonts w:hint="eastAsia"/>
                <w:bCs/>
                <w:color w:val="000000" w:themeColor="text1"/>
                <w:sz w:val="24"/>
                <w:szCs w:val="20"/>
                <w:highlight w:val="none"/>
                <w:lang w:val="en-US" w:eastAsia="zh-CN"/>
                <w14:textFill>
                  <w14:solidFill>
                    <w14:schemeClr w14:val="tx1"/>
                  </w14:solidFill>
                </w14:textFill>
              </w:rPr>
              <w:t>10</w:t>
            </w:r>
            <w:r>
              <w:rPr>
                <w:rFonts w:hint="default" w:hAnsi="宋体"/>
                <w:bCs/>
                <w:color w:val="000000" w:themeColor="text1"/>
                <w:sz w:val="24"/>
                <w:szCs w:val="20"/>
                <w:highlight w:val="none"/>
                <w14:textFill>
                  <w14:solidFill>
                    <w14:schemeClr w14:val="tx1"/>
                  </w14:solidFill>
                </w14:textFill>
              </w:rPr>
              <w:t>。</w:t>
            </w:r>
          </w:p>
          <w:p w14:paraId="41AE9A68">
            <w:pPr>
              <w:pStyle w:val="42"/>
              <w:keepNext w:val="0"/>
              <w:keepLines w:val="0"/>
              <w:suppressLineNumbers w:val="0"/>
              <w:spacing w:beforeAutospacing="0" w:after="0" w:afterAutospacing="0"/>
              <w:ind w:left="0" w:firstLine="0" w:firstLineChars="0"/>
              <w:jc w:val="center"/>
              <w:rPr>
                <w:rFonts w:hint="default" w:hAnsi="宋体"/>
                <w:b/>
                <w:color w:val="000000" w:themeColor="text1"/>
                <w:sz w:val="24"/>
                <w:highlight w:val="none"/>
                <w14:textFill>
                  <w14:solidFill>
                    <w14:schemeClr w14:val="tx1"/>
                  </w14:solidFill>
                </w14:textFill>
              </w:rPr>
            </w:pPr>
            <w:r>
              <w:rPr>
                <w:rFonts w:hint="default" w:hAnsi="宋体"/>
                <w:b/>
                <w:color w:val="000000" w:themeColor="text1"/>
                <w:sz w:val="24"/>
                <w:highlight w:val="none"/>
                <w14:textFill>
                  <w14:solidFill>
                    <w14:schemeClr w14:val="tx1"/>
                  </w14:solidFill>
                </w14:textFill>
              </w:rPr>
              <w:t>表</w:t>
            </w:r>
            <w:r>
              <w:rPr>
                <w:rFonts w:hint="eastAsia"/>
                <w:b/>
                <w:color w:val="000000" w:themeColor="text1"/>
                <w:sz w:val="24"/>
                <w:highlight w:val="none"/>
                <w14:textFill>
                  <w14:solidFill>
                    <w14:schemeClr w14:val="tx1"/>
                  </w14:solidFill>
                </w14:textFill>
              </w:rPr>
              <w:t>3-</w:t>
            </w:r>
            <w:r>
              <w:rPr>
                <w:rFonts w:hint="eastAsia"/>
                <w:b/>
                <w:color w:val="000000" w:themeColor="text1"/>
                <w:sz w:val="24"/>
                <w:highlight w:val="none"/>
                <w:lang w:val="en-US" w:eastAsia="zh-CN"/>
                <w14:textFill>
                  <w14:solidFill>
                    <w14:schemeClr w14:val="tx1"/>
                  </w14:solidFill>
                </w14:textFill>
              </w:rPr>
              <w:t>10</w:t>
            </w:r>
            <w:r>
              <w:rPr>
                <w:rFonts w:hint="default"/>
                <w:b/>
                <w:color w:val="000000" w:themeColor="text1"/>
                <w:sz w:val="24"/>
                <w:highlight w:val="none"/>
                <w14:textFill>
                  <w14:solidFill>
                    <w14:schemeClr w14:val="tx1"/>
                  </w14:solidFill>
                </w14:textFill>
              </w:rPr>
              <w:t xml:space="preserve">  </w:t>
            </w:r>
            <w:r>
              <w:rPr>
                <w:rFonts w:hint="eastAsia" w:hAnsi="宋体"/>
                <w:b/>
                <w:color w:val="000000" w:themeColor="text1"/>
                <w:sz w:val="24"/>
                <w:highlight w:val="none"/>
                <w14:textFill>
                  <w14:solidFill>
                    <w14:schemeClr w14:val="tx1"/>
                  </w14:solidFill>
                </w14:textFill>
              </w:rPr>
              <w:t>无组织</w:t>
            </w:r>
            <w:r>
              <w:rPr>
                <w:rFonts w:hint="default" w:hAnsi="宋体"/>
                <w:b/>
                <w:color w:val="000000" w:themeColor="text1"/>
                <w:sz w:val="24"/>
                <w:highlight w:val="none"/>
                <w14:textFill>
                  <w14:solidFill>
                    <w14:schemeClr w14:val="tx1"/>
                  </w14:solidFill>
                </w14:textFill>
              </w:rPr>
              <w:t>污染物排放限值</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7"/>
              <w:gridCol w:w="2562"/>
              <w:gridCol w:w="1708"/>
              <w:gridCol w:w="2757"/>
            </w:tblGrid>
            <w:tr w14:paraId="37595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4" w:type="pct"/>
                  <w:vAlign w:val="center"/>
                </w:tcPr>
                <w:p w14:paraId="2F9C3B06">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污染物</w:t>
                  </w:r>
                </w:p>
              </w:tc>
              <w:tc>
                <w:tcPr>
                  <w:tcW w:w="1525" w:type="pct"/>
                  <w:vAlign w:val="center"/>
                </w:tcPr>
                <w:p w14:paraId="772E7362">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无组织排放监控浓度限值</w:t>
                  </w:r>
                </w:p>
              </w:tc>
              <w:tc>
                <w:tcPr>
                  <w:tcW w:w="1017" w:type="pct"/>
                  <w:vAlign w:val="center"/>
                </w:tcPr>
                <w:p w14:paraId="65239846">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无组织排放监控点</w:t>
                  </w:r>
                </w:p>
              </w:tc>
              <w:tc>
                <w:tcPr>
                  <w:tcW w:w="1641" w:type="pct"/>
                  <w:vAlign w:val="center"/>
                </w:tcPr>
                <w:p w14:paraId="69DDBA3A">
                  <w:pPr>
                    <w:keepNext w:val="0"/>
                    <w:keepLines w:val="0"/>
                    <w:suppressLineNumbers w:val="0"/>
                    <w:adjustRightInd w:val="0"/>
                    <w:snapToGrid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执行标准</w:t>
                  </w:r>
                </w:p>
              </w:tc>
            </w:tr>
            <w:tr w14:paraId="479FA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4" w:type="pct"/>
                  <w:vAlign w:val="center"/>
                </w:tcPr>
                <w:p w14:paraId="220668A4">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颗粒物</w:t>
                  </w:r>
                </w:p>
              </w:tc>
              <w:tc>
                <w:tcPr>
                  <w:tcW w:w="1525" w:type="pct"/>
                  <w:vAlign w:val="center"/>
                </w:tcPr>
                <w:p w14:paraId="115A1D7C">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1.0mg/m</w:t>
                  </w:r>
                  <w:r>
                    <w:rPr>
                      <w:rFonts w:hint="default"/>
                      <w:color w:val="000000" w:themeColor="text1"/>
                      <w:sz w:val="21"/>
                      <w:szCs w:val="21"/>
                      <w:highlight w:val="none"/>
                      <w:vertAlign w:val="superscript"/>
                      <w14:textFill>
                        <w14:solidFill>
                          <w14:schemeClr w14:val="tx1"/>
                        </w14:solidFill>
                      </w14:textFill>
                    </w:rPr>
                    <w:t>3</w:t>
                  </w:r>
                </w:p>
              </w:tc>
              <w:tc>
                <w:tcPr>
                  <w:tcW w:w="1017" w:type="pct"/>
                  <w:vAlign w:val="center"/>
                </w:tcPr>
                <w:p w14:paraId="449C7FE1">
                  <w:pPr>
                    <w:keepNext w:val="0"/>
                    <w:keepLines w:val="0"/>
                    <w:suppressLineNumbers w:val="0"/>
                    <w:adjustRightInd w:val="0"/>
                    <w:snapToGrid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周界外浓度最高点</w:t>
                  </w:r>
                </w:p>
              </w:tc>
              <w:tc>
                <w:tcPr>
                  <w:tcW w:w="1641" w:type="pct"/>
                  <w:vAlign w:val="center"/>
                </w:tcPr>
                <w:p w14:paraId="28F23E7E">
                  <w:pPr>
                    <w:keepNext w:val="0"/>
                    <w:keepLines w:val="0"/>
                    <w:suppressLineNumbers w:val="0"/>
                    <w:autoSpaceDE w:val="0"/>
                    <w:autoSpaceDN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《大气污染物综合排放标准》（GB16297-1996）</w:t>
                  </w:r>
                </w:p>
              </w:tc>
            </w:tr>
          </w:tbl>
          <w:p w14:paraId="009C0017">
            <w:pPr>
              <w:keepNext w:val="0"/>
              <w:keepLines w:val="0"/>
              <w:suppressLineNumbers w:val="0"/>
              <w:spacing w:before="120" w:beforeLines="50" w:beforeAutospacing="0" w:after="0" w:afterAutospacing="0" w:line="360" w:lineRule="auto"/>
              <w:ind w:left="0" w:right="0" w:firstLine="562" w:firstLineChars="200"/>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3.14</w:t>
            </w:r>
            <w:r>
              <w:rPr>
                <w:rFonts w:hint="default" w:hAnsi="宋体"/>
                <w:b/>
                <w:color w:val="000000" w:themeColor="text1"/>
                <w:sz w:val="28"/>
                <w:szCs w:val="28"/>
                <w:highlight w:val="none"/>
                <w14:textFill>
                  <w14:solidFill>
                    <w14:schemeClr w14:val="tx1"/>
                  </w14:solidFill>
                </w14:textFill>
              </w:rPr>
              <w:t>水污染物</w:t>
            </w:r>
          </w:p>
          <w:p w14:paraId="139323E5">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w:t>
            </w:r>
            <w:r>
              <w:rPr>
                <w:rFonts w:hint="eastAsia"/>
                <w:color w:val="000000" w:themeColor="text1"/>
                <w:sz w:val="24"/>
                <w:szCs w:val="20"/>
                <w:highlight w:val="none"/>
                <w14:textFill>
                  <w14:solidFill>
                    <w14:schemeClr w14:val="tx1"/>
                  </w14:solidFill>
                </w14:textFill>
              </w:rPr>
              <w:t>一</w:t>
            </w:r>
            <w:r>
              <w:rPr>
                <w:rFonts w:hint="default"/>
                <w:color w:val="000000" w:themeColor="text1"/>
                <w:sz w:val="24"/>
                <w:szCs w:val="20"/>
                <w:highlight w:val="none"/>
                <w14:textFill>
                  <w14:solidFill>
                    <w14:schemeClr w14:val="tx1"/>
                  </w14:solidFill>
                </w14:textFill>
              </w:rPr>
              <w:t>）施工期</w:t>
            </w:r>
          </w:p>
          <w:p w14:paraId="7720CD24">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本项目施工废水经收集沉淀处理后全部回用于施工过程和场地洒水抑尘，不外排；施工人员不在施工场地食宿，</w:t>
            </w:r>
            <w:r>
              <w:rPr>
                <w:rFonts w:hint="eastAsia"/>
                <w:color w:val="000000" w:themeColor="text1"/>
                <w:sz w:val="24"/>
                <w:szCs w:val="20"/>
                <w:highlight w:val="none"/>
                <w:lang w:val="en-US" w:eastAsia="zh-CN"/>
                <w14:textFill>
                  <w14:solidFill>
                    <w14:schemeClr w14:val="tx1"/>
                  </w14:solidFill>
                </w14:textFill>
              </w:rPr>
              <w:t>无</w:t>
            </w:r>
            <w:r>
              <w:rPr>
                <w:rFonts w:hint="default"/>
                <w:color w:val="000000" w:themeColor="text1"/>
                <w:sz w:val="24"/>
                <w:szCs w:val="20"/>
                <w:highlight w:val="none"/>
                <w14:textFill>
                  <w14:solidFill>
                    <w14:schemeClr w14:val="tx1"/>
                  </w14:solidFill>
                </w14:textFill>
              </w:rPr>
              <w:t>生活污水。</w:t>
            </w:r>
          </w:p>
          <w:p w14:paraId="09144D80">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w:t>
            </w:r>
            <w:r>
              <w:rPr>
                <w:rFonts w:hint="eastAsia"/>
                <w:color w:val="000000" w:themeColor="text1"/>
                <w:sz w:val="24"/>
                <w:szCs w:val="20"/>
                <w:highlight w:val="none"/>
                <w14:textFill>
                  <w14:solidFill>
                    <w14:schemeClr w14:val="tx1"/>
                  </w14:solidFill>
                </w14:textFill>
              </w:rPr>
              <w:t>二</w:t>
            </w:r>
            <w:r>
              <w:rPr>
                <w:rFonts w:hint="default"/>
                <w:color w:val="000000" w:themeColor="text1"/>
                <w:sz w:val="24"/>
                <w:szCs w:val="20"/>
                <w:highlight w:val="none"/>
                <w14:textFill>
                  <w14:solidFill>
                    <w14:schemeClr w14:val="tx1"/>
                  </w14:solidFill>
                </w14:textFill>
              </w:rPr>
              <w:t>）运营期</w:t>
            </w:r>
          </w:p>
          <w:p w14:paraId="5F287E9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员工盥洗废水及如厕废水均依托租赁场地原有化粪池处理后，定期由周边居民清掏肥田。</w:t>
            </w:r>
            <w:r>
              <w:rPr>
                <w:rFonts w:hint="default" w:ascii="Times New Roman" w:hAnsi="Times New Roman" w:eastAsia="宋体" w:cs="Times New Roman"/>
                <w:color w:val="000000" w:themeColor="text1"/>
                <w:sz w:val="24"/>
                <w:szCs w:val="20"/>
                <w:highlight w:val="none"/>
                <w14:textFill>
                  <w14:solidFill>
                    <w14:schemeClr w14:val="tx1"/>
                  </w14:solidFill>
                </w14:textFill>
              </w:rPr>
              <w:t>生产过程无工艺废水产生，抑尘洒水自然蒸发</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厂区初期雨水依托原厂雨水收集系统后排入厂区新建的280m</w:t>
            </w:r>
            <w:r>
              <w:rPr>
                <w:rFonts w:hint="eastAsia" w:ascii="Times New Roman" w:hAnsi="Times New Roman" w:eastAsia="宋体" w:cs="Times New Roman"/>
                <w:color w:val="000000" w:themeColor="text1"/>
                <w:sz w:val="24"/>
                <w:szCs w:val="20"/>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0"/>
                <w:highlight w:val="none"/>
                <w:vertAlign w:val="baseline"/>
                <w:lang w:val="en-US" w:eastAsia="zh-CN"/>
                <w14:textFill>
                  <w14:solidFill>
                    <w14:schemeClr w14:val="tx1"/>
                  </w14:solidFill>
                </w14:textFill>
              </w:rPr>
              <w:t>初期雨水池后，回用于厂区洒水抑尘。</w:t>
            </w:r>
          </w:p>
          <w:p w14:paraId="7D127D10">
            <w:pPr>
              <w:keepNext w:val="0"/>
              <w:keepLines w:val="0"/>
              <w:suppressLineNumbers w:val="0"/>
              <w:spacing w:before="0" w:beforeAutospacing="0" w:after="0" w:afterAutospacing="0" w:line="360" w:lineRule="auto"/>
              <w:ind w:left="0" w:right="0" w:firstLine="482"/>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3.15</w:t>
            </w:r>
            <w:r>
              <w:rPr>
                <w:rFonts w:hint="default" w:hAnsi="宋体"/>
                <w:b/>
                <w:color w:val="000000" w:themeColor="text1"/>
                <w:sz w:val="28"/>
                <w:szCs w:val="28"/>
                <w:highlight w:val="none"/>
                <w14:textFill>
                  <w14:solidFill>
                    <w14:schemeClr w14:val="tx1"/>
                  </w14:solidFill>
                </w14:textFill>
              </w:rPr>
              <w:t>噪声</w:t>
            </w:r>
          </w:p>
          <w:p w14:paraId="44D5DD0C">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szCs w:val="20"/>
                <w:highlight w:val="none"/>
                <w14:textFill>
                  <w14:solidFill>
                    <w14:schemeClr w14:val="tx1"/>
                  </w14:solidFill>
                </w14:textFill>
              </w:rPr>
            </w:pPr>
            <w:r>
              <w:rPr>
                <w:rFonts w:hint="default"/>
                <w:bCs/>
                <w:color w:val="000000" w:themeColor="text1"/>
                <w:sz w:val="24"/>
                <w:szCs w:val="20"/>
                <w:highlight w:val="none"/>
                <w14:textFill>
                  <w14:solidFill>
                    <w14:schemeClr w14:val="tx1"/>
                  </w14:solidFill>
                </w14:textFill>
              </w:rPr>
              <w:t>（</w:t>
            </w:r>
            <w:r>
              <w:rPr>
                <w:rFonts w:hint="eastAsia"/>
                <w:bCs/>
                <w:color w:val="000000" w:themeColor="text1"/>
                <w:sz w:val="24"/>
                <w:szCs w:val="20"/>
                <w:highlight w:val="none"/>
                <w14:textFill>
                  <w14:solidFill>
                    <w14:schemeClr w14:val="tx1"/>
                  </w14:solidFill>
                </w14:textFill>
              </w:rPr>
              <w:t>一</w:t>
            </w:r>
            <w:r>
              <w:rPr>
                <w:rFonts w:hint="default"/>
                <w:bCs/>
                <w:color w:val="000000" w:themeColor="text1"/>
                <w:sz w:val="24"/>
                <w:szCs w:val="20"/>
                <w:highlight w:val="none"/>
                <w14:textFill>
                  <w14:solidFill>
                    <w14:schemeClr w14:val="tx1"/>
                  </w14:solidFill>
                </w14:textFill>
              </w:rPr>
              <w:t>）施工期</w:t>
            </w:r>
          </w:p>
          <w:p w14:paraId="2D109462">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szCs w:val="20"/>
                <w:highlight w:val="none"/>
                <w14:textFill>
                  <w14:solidFill>
                    <w14:schemeClr w14:val="tx1"/>
                  </w14:solidFill>
                </w14:textFill>
              </w:rPr>
            </w:pPr>
            <w:r>
              <w:rPr>
                <w:rFonts w:hint="eastAsia"/>
                <w:bCs/>
                <w:color w:val="000000" w:themeColor="text1"/>
                <w:sz w:val="24"/>
                <w:szCs w:val="20"/>
                <w:highlight w:val="none"/>
                <w14:textFill>
                  <w14:solidFill>
                    <w14:schemeClr w14:val="tx1"/>
                  </w14:solidFill>
                </w14:textFill>
              </w:rPr>
              <w:t>项目</w:t>
            </w:r>
            <w:r>
              <w:rPr>
                <w:rFonts w:hint="default"/>
                <w:bCs/>
                <w:color w:val="000000" w:themeColor="text1"/>
                <w:sz w:val="24"/>
                <w:szCs w:val="20"/>
                <w:highlight w:val="none"/>
                <w14:textFill>
                  <w14:solidFill>
                    <w14:schemeClr w14:val="tx1"/>
                  </w14:solidFill>
                </w14:textFill>
              </w:rPr>
              <w:t>施工期噪声执行</w:t>
            </w:r>
            <w:r>
              <w:rPr>
                <w:rFonts w:hint="eastAsia"/>
                <w:bCs/>
                <w:color w:val="000000" w:themeColor="text1"/>
                <w:sz w:val="24"/>
                <w:szCs w:val="20"/>
                <w:highlight w:val="none"/>
                <w14:textFill>
                  <w14:solidFill>
                    <w14:schemeClr w14:val="tx1"/>
                  </w14:solidFill>
                </w14:textFill>
              </w:rPr>
              <w:t>《建筑施工噪声排放标准》（GB 12523—2025</w:t>
            </w:r>
            <w:r>
              <w:rPr>
                <w:rFonts w:hint="eastAsia"/>
                <w:bCs/>
                <w:color w:val="000000" w:themeColor="text1"/>
                <w:sz w:val="24"/>
                <w:szCs w:val="20"/>
                <w:highlight w:val="none"/>
                <w:lang w:eastAsia="zh-CN"/>
                <w14:textFill>
                  <w14:solidFill>
                    <w14:schemeClr w14:val="tx1"/>
                  </w14:solidFill>
                </w14:textFill>
              </w:rPr>
              <w:t>）</w:t>
            </w:r>
            <w:r>
              <w:rPr>
                <w:rFonts w:hint="default"/>
                <w:bCs/>
                <w:color w:val="000000" w:themeColor="text1"/>
                <w:sz w:val="24"/>
                <w:szCs w:val="20"/>
                <w:highlight w:val="none"/>
                <w14:textFill>
                  <w14:solidFill>
                    <w14:schemeClr w14:val="tx1"/>
                  </w14:solidFill>
                </w14:textFill>
              </w:rPr>
              <w:t>，</w:t>
            </w:r>
            <w:r>
              <w:rPr>
                <w:rFonts w:hint="eastAsia"/>
                <w:bCs/>
                <w:color w:val="000000" w:themeColor="text1"/>
                <w:sz w:val="24"/>
                <w:szCs w:val="20"/>
                <w:highlight w:val="none"/>
                <w14:textFill>
                  <w14:solidFill>
                    <w14:schemeClr w14:val="tx1"/>
                  </w14:solidFill>
                </w14:textFill>
              </w:rPr>
              <w:t>具体</w:t>
            </w:r>
            <w:r>
              <w:rPr>
                <w:rFonts w:hint="default"/>
                <w:bCs/>
                <w:color w:val="000000" w:themeColor="text1"/>
                <w:sz w:val="24"/>
                <w:szCs w:val="20"/>
                <w:highlight w:val="none"/>
                <w14:textFill>
                  <w14:solidFill>
                    <w14:schemeClr w14:val="tx1"/>
                  </w14:solidFill>
                </w14:textFill>
              </w:rPr>
              <w:t>指标见表</w:t>
            </w:r>
            <w:r>
              <w:rPr>
                <w:rFonts w:hint="eastAsia"/>
                <w:bCs/>
                <w:color w:val="000000" w:themeColor="text1"/>
                <w:sz w:val="24"/>
                <w:szCs w:val="20"/>
                <w:highlight w:val="none"/>
                <w14:textFill>
                  <w14:solidFill>
                    <w14:schemeClr w14:val="tx1"/>
                  </w14:solidFill>
                </w14:textFill>
              </w:rPr>
              <w:t>3-</w:t>
            </w:r>
            <w:r>
              <w:rPr>
                <w:rFonts w:hint="eastAsia"/>
                <w:bCs/>
                <w:color w:val="000000" w:themeColor="text1"/>
                <w:sz w:val="24"/>
                <w:szCs w:val="20"/>
                <w:highlight w:val="none"/>
                <w:lang w:val="en-US" w:eastAsia="zh-CN"/>
                <w14:textFill>
                  <w14:solidFill>
                    <w14:schemeClr w14:val="tx1"/>
                  </w14:solidFill>
                </w14:textFill>
              </w:rPr>
              <w:t>11</w:t>
            </w:r>
            <w:r>
              <w:rPr>
                <w:rFonts w:hint="default"/>
                <w:bCs/>
                <w:color w:val="000000" w:themeColor="text1"/>
                <w:sz w:val="24"/>
                <w:szCs w:val="20"/>
                <w:highlight w:val="none"/>
                <w14:textFill>
                  <w14:solidFill>
                    <w14:schemeClr w14:val="tx1"/>
                  </w14:solidFill>
                </w14:textFill>
              </w:rPr>
              <w:t>。</w:t>
            </w:r>
          </w:p>
          <w:p w14:paraId="26EC7BF2">
            <w:pPr>
              <w:keepNext w:val="0"/>
              <w:keepLines w:val="0"/>
              <w:suppressLineNumbers w:val="0"/>
              <w:spacing w:before="0" w:beforeAutospacing="0" w:after="0" w:afterAutospacing="0" w:line="400" w:lineRule="atLeast"/>
              <w:ind w:left="0" w:right="0"/>
              <w:jc w:val="center"/>
              <w:rPr>
                <w:rFonts w:hint="default"/>
                <w:b/>
                <w:bCs/>
                <w:color w:val="000000" w:themeColor="text1"/>
                <w:sz w:val="24"/>
                <w:szCs w:val="20"/>
                <w:highlight w:val="none"/>
                <w14:textFill>
                  <w14:solidFill>
                    <w14:schemeClr w14:val="tx1"/>
                  </w14:solidFill>
                </w14:textFill>
              </w:rPr>
            </w:pPr>
            <w:r>
              <w:rPr>
                <w:rFonts w:hint="default"/>
                <w:b/>
                <w:bCs/>
                <w:color w:val="000000" w:themeColor="text1"/>
                <w:sz w:val="24"/>
                <w:szCs w:val="20"/>
                <w:highlight w:val="none"/>
                <w14:textFill>
                  <w14:solidFill>
                    <w14:schemeClr w14:val="tx1"/>
                  </w14:solidFill>
                </w14:textFill>
              </w:rPr>
              <w:t>表</w:t>
            </w:r>
            <w:r>
              <w:rPr>
                <w:rFonts w:hint="eastAsia"/>
                <w:b/>
                <w:bCs/>
                <w:color w:val="000000" w:themeColor="text1"/>
                <w:sz w:val="24"/>
                <w:szCs w:val="20"/>
                <w:highlight w:val="none"/>
                <w14:textFill>
                  <w14:solidFill>
                    <w14:schemeClr w14:val="tx1"/>
                  </w14:solidFill>
                </w14:textFill>
              </w:rPr>
              <w:t>3-</w:t>
            </w:r>
            <w:r>
              <w:rPr>
                <w:rFonts w:hint="eastAsia"/>
                <w:b/>
                <w:bCs/>
                <w:color w:val="000000" w:themeColor="text1"/>
                <w:sz w:val="24"/>
                <w:szCs w:val="20"/>
                <w:highlight w:val="none"/>
                <w:lang w:val="en-US" w:eastAsia="zh-CN"/>
                <w14:textFill>
                  <w14:solidFill>
                    <w14:schemeClr w14:val="tx1"/>
                  </w14:solidFill>
                </w14:textFill>
              </w:rPr>
              <w:t>11</w:t>
            </w:r>
            <w:r>
              <w:rPr>
                <w:rFonts w:hint="eastAsia"/>
                <w:b/>
                <w:bCs/>
                <w:color w:val="000000" w:themeColor="text1"/>
                <w:sz w:val="24"/>
                <w:szCs w:val="20"/>
                <w:highlight w:val="none"/>
                <w14:textFill>
                  <w14:solidFill>
                    <w14:schemeClr w14:val="tx1"/>
                  </w14:solidFill>
                </w14:textFill>
              </w:rPr>
              <w:t xml:space="preserve">  </w:t>
            </w:r>
            <w:r>
              <w:rPr>
                <w:rFonts w:hint="default"/>
                <w:b/>
                <w:bCs/>
                <w:color w:val="000000" w:themeColor="text1"/>
                <w:sz w:val="24"/>
                <w:szCs w:val="20"/>
                <w:highlight w:val="none"/>
                <w14:textFill>
                  <w14:solidFill>
                    <w14:schemeClr w14:val="tx1"/>
                  </w14:solidFill>
                </w14:textFill>
              </w:rPr>
              <w:t>建筑施工场界</w:t>
            </w:r>
            <w:r>
              <w:rPr>
                <w:rFonts w:hint="eastAsia"/>
                <w:b/>
                <w:bCs/>
                <w:color w:val="000000" w:themeColor="text1"/>
                <w:sz w:val="24"/>
                <w:szCs w:val="20"/>
                <w:highlight w:val="none"/>
                <w14:textFill>
                  <w14:solidFill>
                    <w14:schemeClr w14:val="tx1"/>
                  </w14:solidFill>
                </w14:textFill>
              </w:rPr>
              <w:t>环境</w:t>
            </w:r>
            <w:r>
              <w:rPr>
                <w:rFonts w:hint="default"/>
                <w:b/>
                <w:bCs/>
                <w:color w:val="000000" w:themeColor="text1"/>
                <w:sz w:val="24"/>
                <w:szCs w:val="20"/>
                <w:highlight w:val="none"/>
                <w14:textFill>
                  <w14:solidFill>
                    <w14:schemeClr w14:val="tx1"/>
                  </w14:solidFill>
                </w14:textFill>
              </w:rPr>
              <w:t>噪声</w:t>
            </w:r>
            <w:r>
              <w:rPr>
                <w:rFonts w:hint="eastAsia"/>
                <w:b/>
                <w:bCs/>
                <w:color w:val="000000" w:themeColor="text1"/>
                <w:sz w:val="24"/>
                <w:szCs w:val="20"/>
                <w:highlight w:val="none"/>
                <w14:textFill>
                  <w14:solidFill>
                    <w14:schemeClr w14:val="tx1"/>
                  </w14:solidFill>
                </w14:textFill>
              </w:rPr>
              <w:t>排放</w:t>
            </w:r>
            <w:r>
              <w:rPr>
                <w:rFonts w:hint="default"/>
                <w:b/>
                <w:bCs/>
                <w:color w:val="000000" w:themeColor="text1"/>
                <w:sz w:val="24"/>
                <w:szCs w:val="20"/>
                <w:highlight w:val="none"/>
                <w14:textFill>
                  <w14:solidFill>
                    <w14:schemeClr w14:val="tx1"/>
                  </w14:solidFill>
                </w14:textFill>
              </w:rPr>
              <w:t>限值</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6"/>
              <w:gridCol w:w="3908"/>
            </w:tblGrid>
            <w:tr w14:paraId="46E1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000" w:type="pct"/>
                  <w:gridSpan w:val="2"/>
                  <w:vAlign w:val="center"/>
                </w:tcPr>
                <w:p w14:paraId="73468D3B">
                  <w:pPr>
                    <w:keepNext w:val="0"/>
                    <w:keepLines w:val="0"/>
                    <w:suppressLineNumbers w:val="0"/>
                    <w:spacing w:before="0" w:beforeAutospacing="0" w:after="0" w:afterAutospacing="0"/>
                    <w:ind w:left="134" w:leftChars="67" w:right="310" w:rightChars="155"/>
                    <w:jc w:val="center"/>
                    <w:rPr>
                      <w:rFonts w:hint="default"/>
                      <w:b/>
                      <w:bCs w:val="0"/>
                      <w:color w:val="000000" w:themeColor="text1"/>
                      <w:sz w:val="21"/>
                      <w:szCs w:val="21"/>
                      <w:highlight w:val="none"/>
                      <w14:textFill>
                        <w14:solidFill>
                          <w14:schemeClr w14:val="tx1"/>
                        </w14:solidFill>
                      </w14:textFill>
                    </w:rPr>
                  </w:pPr>
                  <w:r>
                    <w:rPr>
                      <w:rFonts w:hint="default"/>
                      <w:b/>
                      <w:bCs w:val="0"/>
                      <w:color w:val="000000" w:themeColor="text1"/>
                      <w:sz w:val="21"/>
                      <w:szCs w:val="21"/>
                      <w:highlight w:val="none"/>
                      <w14:textFill>
                        <w14:solidFill>
                          <w14:schemeClr w14:val="tx1"/>
                        </w14:solidFill>
                      </w14:textFill>
                    </w:rPr>
                    <w:t>噪声限值</w:t>
                  </w:r>
                </w:p>
              </w:tc>
            </w:tr>
            <w:tr w14:paraId="3CEF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672" w:type="pct"/>
                  <w:vAlign w:val="center"/>
                </w:tcPr>
                <w:p w14:paraId="4C812749">
                  <w:pPr>
                    <w:keepNext w:val="0"/>
                    <w:keepLines w:val="0"/>
                    <w:suppressLineNumbers w:val="0"/>
                    <w:spacing w:before="0" w:beforeAutospacing="0" w:after="0" w:afterAutospacing="0"/>
                    <w:ind w:left="134" w:leftChars="67" w:right="310" w:rightChars="155"/>
                    <w:jc w:val="center"/>
                    <w:rPr>
                      <w:rFonts w:hint="default"/>
                      <w:b/>
                      <w:bCs w:val="0"/>
                      <w:color w:val="000000" w:themeColor="text1"/>
                      <w:sz w:val="21"/>
                      <w:szCs w:val="21"/>
                      <w:highlight w:val="none"/>
                      <w14:textFill>
                        <w14:solidFill>
                          <w14:schemeClr w14:val="tx1"/>
                        </w14:solidFill>
                      </w14:textFill>
                    </w:rPr>
                  </w:pPr>
                  <w:r>
                    <w:rPr>
                      <w:rFonts w:hint="default"/>
                      <w:b/>
                      <w:bCs w:val="0"/>
                      <w:color w:val="000000" w:themeColor="text1"/>
                      <w:sz w:val="21"/>
                      <w:szCs w:val="21"/>
                      <w:highlight w:val="none"/>
                      <w14:textFill>
                        <w14:solidFill>
                          <w14:schemeClr w14:val="tx1"/>
                        </w14:solidFill>
                      </w14:textFill>
                    </w:rPr>
                    <w:t>昼间[dB</w:t>
                  </w:r>
                  <w:r>
                    <w:rPr>
                      <w:rFonts w:hint="eastAsia"/>
                      <w:b/>
                      <w:bCs w:val="0"/>
                      <w:color w:val="000000" w:themeColor="text1"/>
                      <w:sz w:val="21"/>
                      <w:szCs w:val="21"/>
                      <w:highlight w:val="none"/>
                      <w:lang w:eastAsia="zh-CN"/>
                      <w14:textFill>
                        <w14:solidFill>
                          <w14:schemeClr w14:val="tx1"/>
                        </w14:solidFill>
                      </w14:textFill>
                    </w:rPr>
                    <w:t>（</w:t>
                  </w:r>
                  <w:r>
                    <w:rPr>
                      <w:rFonts w:hint="default"/>
                      <w:b/>
                      <w:bCs w:val="0"/>
                      <w:color w:val="000000" w:themeColor="text1"/>
                      <w:sz w:val="21"/>
                      <w:szCs w:val="21"/>
                      <w:highlight w:val="none"/>
                      <w14:textFill>
                        <w14:solidFill>
                          <w14:schemeClr w14:val="tx1"/>
                        </w14:solidFill>
                      </w14:textFill>
                    </w:rPr>
                    <w:t>A</w:t>
                  </w:r>
                  <w:r>
                    <w:rPr>
                      <w:rFonts w:hint="eastAsia"/>
                      <w:b/>
                      <w:bCs w:val="0"/>
                      <w:color w:val="000000" w:themeColor="text1"/>
                      <w:sz w:val="21"/>
                      <w:szCs w:val="21"/>
                      <w:highlight w:val="none"/>
                      <w:lang w:eastAsia="zh-CN"/>
                      <w14:textFill>
                        <w14:solidFill>
                          <w14:schemeClr w14:val="tx1"/>
                        </w14:solidFill>
                      </w14:textFill>
                    </w:rPr>
                    <w:t>）</w:t>
                  </w:r>
                  <w:r>
                    <w:rPr>
                      <w:rFonts w:hint="default"/>
                      <w:b/>
                      <w:bCs w:val="0"/>
                      <w:color w:val="000000" w:themeColor="text1"/>
                      <w:sz w:val="21"/>
                      <w:szCs w:val="21"/>
                      <w:highlight w:val="none"/>
                      <w14:textFill>
                        <w14:solidFill>
                          <w14:schemeClr w14:val="tx1"/>
                        </w14:solidFill>
                      </w14:textFill>
                    </w:rPr>
                    <w:t>]</w:t>
                  </w:r>
                </w:p>
              </w:tc>
              <w:tc>
                <w:tcPr>
                  <w:tcW w:w="2327" w:type="pct"/>
                  <w:vAlign w:val="center"/>
                </w:tcPr>
                <w:p w14:paraId="5F678C40">
                  <w:pPr>
                    <w:keepNext w:val="0"/>
                    <w:keepLines w:val="0"/>
                    <w:suppressLineNumbers w:val="0"/>
                    <w:spacing w:before="0" w:beforeAutospacing="0" w:after="0" w:afterAutospacing="0"/>
                    <w:ind w:left="134" w:leftChars="67" w:right="310" w:rightChars="155"/>
                    <w:jc w:val="center"/>
                    <w:rPr>
                      <w:rFonts w:hint="default"/>
                      <w:b/>
                      <w:bCs w:val="0"/>
                      <w:color w:val="000000" w:themeColor="text1"/>
                      <w:sz w:val="21"/>
                      <w:szCs w:val="21"/>
                      <w:highlight w:val="none"/>
                      <w14:textFill>
                        <w14:solidFill>
                          <w14:schemeClr w14:val="tx1"/>
                        </w14:solidFill>
                      </w14:textFill>
                    </w:rPr>
                  </w:pPr>
                  <w:r>
                    <w:rPr>
                      <w:rFonts w:hint="default"/>
                      <w:b/>
                      <w:bCs w:val="0"/>
                      <w:color w:val="000000" w:themeColor="text1"/>
                      <w:sz w:val="21"/>
                      <w:szCs w:val="21"/>
                      <w:highlight w:val="none"/>
                      <w14:textFill>
                        <w14:solidFill>
                          <w14:schemeClr w14:val="tx1"/>
                        </w14:solidFill>
                      </w14:textFill>
                    </w:rPr>
                    <w:t>夜间[dB</w:t>
                  </w:r>
                  <w:r>
                    <w:rPr>
                      <w:rFonts w:hint="eastAsia"/>
                      <w:b/>
                      <w:bCs w:val="0"/>
                      <w:color w:val="000000" w:themeColor="text1"/>
                      <w:sz w:val="21"/>
                      <w:szCs w:val="21"/>
                      <w:highlight w:val="none"/>
                      <w:lang w:eastAsia="zh-CN"/>
                      <w14:textFill>
                        <w14:solidFill>
                          <w14:schemeClr w14:val="tx1"/>
                        </w14:solidFill>
                      </w14:textFill>
                    </w:rPr>
                    <w:t>（</w:t>
                  </w:r>
                  <w:r>
                    <w:rPr>
                      <w:rFonts w:hint="default"/>
                      <w:b/>
                      <w:bCs w:val="0"/>
                      <w:color w:val="000000" w:themeColor="text1"/>
                      <w:sz w:val="21"/>
                      <w:szCs w:val="21"/>
                      <w:highlight w:val="none"/>
                      <w14:textFill>
                        <w14:solidFill>
                          <w14:schemeClr w14:val="tx1"/>
                        </w14:solidFill>
                      </w14:textFill>
                    </w:rPr>
                    <w:t>A</w:t>
                  </w:r>
                  <w:r>
                    <w:rPr>
                      <w:rFonts w:hint="eastAsia"/>
                      <w:b/>
                      <w:bCs w:val="0"/>
                      <w:color w:val="000000" w:themeColor="text1"/>
                      <w:sz w:val="21"/>
                      <w:szCs w:val="21"/>
                      <w:highlight w:val="none"/>
                      <w:lang w:eastAsia="zh-CN"/>
                      <w14:textFill>
                        <w14:solidFill>
                          <w14:schemeClr w14:val="tx1"/>
                        </w14:solidFill>
                      </w14:textFill>
                    </w:rPr>
                    <w:t>）</w:t>
                  </w:r>
                  <w:r>
                    <w:rPr>
                      <w:rFonts w:hint="default"/>
                      <w:b/>
                      <w:bCs w:val="0"/>
                      <w:color w:val="000000" w:themeColor="text1"/>
                      <w:sz w:val="21"/>
                      <w:szCs w:val="21"/>
                      <w:highlight w:val="none"/>
                      <w14:textFill>
                        <w14:solidFill>
                          <w14:schemeClr w14:val="tx1"/>
                        </w14:solidFill>
                      </w14:textFill>
                    </w:rPr>
                    <w:t>]</w:t>
                  </w:r>
                </w:p>
              </w:tc>
            </w:tr>
            <w:tr w14:paraId="481E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672" w:type="pct"/>
                  <w:vAlign w:val="center"/>
                </w:tcPr>
                <w:p w14:paraId="3C138BCE">
                  <w:pPr>
                    <w:keepNext w:val="0"/>
                    <w:keepLines w:val="0"/>
                    <w:suppressLineNumbers w:val="0"/>
                    <w:tabs>
                      <w:tab w:val="left" w:pos="360"/>
                      <w:tab w:val="left" w:pos="540"/>
                    </w:tabs>
                    <w:spacing w:before="0" w:beforeAutospacing="0" w:after="0" w:afterAutospacing="0"/>
                    <w:ind w:left="134" w:leftChars="67" w:right="310" w:rightChars="155"/>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7</w:t>
                  </w:r>
                  <w:r>
                    <w:rPr>
                      <w:rFonts w:hint="eastAsia"/>
                      <w:color w:val="000000" w:themeColor="text1"/>
                      <w:sz w:val="21"/>
                      <w:szCs w:val="21"/>
                      <w:highlight w:val="none"/>
                      <w14:textFill>
                        <w14:solidFill>
                          <w14:schemeClr w14:val="tx1"/>
                        </w14:solidFill>
                      </w14:textFill>
                    </w:rPr>
                    <w:t>0</w:t>
                  </w:r>
                </w:p>
              </w:tc>
              <w:tc>
                <w:tcPr>
                  <w:tcW w:w="2327" w:type="pct"/>
                  <w:vAlign w:val="center"/>
                </w:tcPr>
                <w:p w14:paraId="60AF1F02">
                  <w:pPr>
                    <w:keepNext w:val="0"/>
                    <w:keepLines w:val="0"/>
                    <w:suppressLineNumbers w:val="0"/>
                    <w:tabs>
                      <w:tab w:val="left" w:pos="360"/>
                      <w:tab w:val="left" w:pos="540"/>
                    </w:tabs>
                    <w:spacing w:before="0" w:beforeAutospacing="0" w:after="0" w:afterAutospacing="0"/>
                    <w:ind w:left="134" w:leftChars="67" w:right="310" w:rightChars="155"/>
                    <w:jc w:val="center"/>
                    <w:rPr>
                      <w:rFonts w:hint="default"/>
                      <w:color w:val="000000" w:themeColor="text1"/>
                      <w:sz w:val="21"/>
                      <w:szCs w:val="21"/>
                      <w:highlight w:val="none"/>
                      <w14:textFill>
                        <w14:solidFill>
                          <w14:schemeClr w14:val="tx1"/>
                        </w14:solidFill>
                      </w14:textFill>
                    </w:rPr>
                  </w:pPr>
                  <w:r>
                    <w:rPr>
                      <w:rFonts w:hint="default"/>
                      <w:color w:val="000000" w:themeColor="text1"/>
                      <w:sz w:val="21"/>
                      <w:szCs w:val="21"/>
                      <w:highlight w:val="none"/>
                      <w14:textFill>
                        <w14:solidFill>
                          <w14:schemeClr w14:val="tx1"/>
                        </w14:solidFill>
                      </w14:textFill>
                    </w:rPr>
                    <w:t>55</w:t>
                  </w:r>
                </w:p>
              </w:tc>
            </w:tr>
          </w:tbl>
          <w:p w14:paraId="7249E895">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w:t>
            </w:r>
            <w:r>
              <w:rPr>
                <w:rFonts w:hint="eastAsia"/>
                <w:color w:val="000000" w:themeColor="text1"/>
                <w:sz w:val="24"/>
                <w:szCs w:val="20"/>
                <w:highlight w:val="none"/>
                <w14:textFill>
                  <w14:solidFill>
                    <w14:schemeClr w14:val="tx1"/>
                  </w14:solidFill>
                </w14:textFill>
              </w:rPr>
              <w:t>二</w:t>
            </w:r>
            <w:r>
              <w:rPr>
                <w:rFonts w:hint="default"/>
                <w:color w:val="000000" w:themeColor="text1"/>
                <w:sz w:val="24"/>
                <w:szCs w:val="20"/>
                <w:highlight w:val="none"/>
                <w14:textFill>
                  <w14:solidFill>
                    <w14:schemeClr w14:val="tx1"/>
                  </w14:solidFill>
                </w14:textFill>
              </w:rPr>
              <w:t>）运营期</w:t>
            </w:r>
          </w:p>
          <w:p w14:paraId="23769992">
            <w:pPr>
              <w:keepNext w:val="0"/>
              <w:keepLines w:val="0"/>
              <w:suppressLineNumbers w:val="0"/>
              <w:tabs>
                <w:tab w:val="left" w:pos="6300"/>
              </w:tabs>
              <w:spacing w:before="0" w:beforeAutospacing="0" w:after="0" w:afterAutospacing="0" w:line="360" w:lineRule="auto"/>
              <w:ind w:left="0" w:right="0" w:firstLine="480" w:firstLineChars="200"/>
              <w:rPr>
                <w:rFonts w:hint="default"/>
                <w:bCs/>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本项目厂界噪声执行《工业企业厂界环境噪声排放标准》（GB 12348-2008）2类标准（昼间60 dB</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A</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，夜间50 dB</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A</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w:t>
            </w:r>
          </w:p>
          <w:p w14:paraId="4C6A93BB">
            <w:pPr>
              <w:keepNext w:val="0"/>
              <w:keepLines w:val="0"/>
              <w:suppressLineNumbers w:val="0"/>
              <w:spacing w:before="0" w:beforeAutospacing="0" w:after="0" w:afterAutospacing="0"/>
              <w:ind w:left="0" w:right="0"/>
              <w:jc w:val="center"/>
              <w:rPr>
                <w:rFonts w:hint="default"/>
                <w:b/>
                <w:color w:val="000000" w:themeColor="text1"/>
                <w:sz w:val="24"/>
                <w:szCs w:val="20"/>
                <w:highlight w:val="none"/>
                <w14:textFill>
                  <w14:solidFill>
                    <w14:schemeClr w14:val="tx1"/>
                  </w14:solidFill>
                </w14:textFill>
              </w:rPr>
            </w:pPr>
            <w:r>
              <w:rPr>
                <w:rFonts w:hint="default"/>
                <w:b/>
                <w:color w:val="000000" w:themeColor="text1"/>
                <w:sz w:val="24"/>
                <w:szCs w:val="20"/>
                <w:highlight w:val="none"/>
                <w14:textFill>
                  <w14:solidFill>
                    <w14:schemeClr w14:val="tx1"/>
                  </w14:solidFill>
                </w14:textFill>
              </w:rPr>
              <w:t>表</w:t>
            </w:r>
            <w:r>
              <w:rPr>
                <w:rFonts w:hint="eastAsia"/>
                <w:b/>
                <w:color w:val="000000" w:themeColor="text1"/>
                <w:sz w:val="24"/>
                <w:szCs w:val="20"/>
                <w:highlight w:val="none"/>
                <w14:textFill>
                  <w14:solidFill>
                    <w14:schemeClr w14:val="tx1"/>
                  </w14:solidFill>
                </w14:textFill>
              </w:rPr>
              <w:t>3-1</w:t>
            </w:r>
            <w:r>
              <w:rPr>
                <w:rFonts w:hint="eastAsia"/>
                <w:b/>
                <w:color w:val="000000" w:themeColor="text1"/>
                <w:sz w:val="24"/>
                <w:szCs w:val="20"/>
                <w:highlight w:val="none"/>
                <w:lang w:val="en-US" w:eastAsia="zh-CN"/>
                <w14:textFill>
                  <w14:solidFill>
                    <w14:schemeClr w14:val="tx1"/>
                  </w14:solidFill>
                </w14:textFill>
              </w:rPr>
              <w:t>2</w:t>
            </w:r>
            <w:r>
              <w:rPr>
                <w:rFonts w:hint="eastAsia"/>
                <w:b/>
                <w:color w:val="000000" w:themeColor="text1"/>
                <w:sz w:val="24"/>
                <w:szCs w:val="20"/>
                <w:highlight w:val="none"/>
                <w14:textFill>
                  <w14:solidFill>
                    <w14:schemeClr w14:val="tx1"/>
                  </w14:solidFill>
                </w14:textFill>
              </w:rPr>
              <w:t xml:space="preserve">  工业企业厂界环境噪声</w:t>
            </w:r>
            <w:r>
              <w:rPr>
                <w:rFonts w:hint="default"/>
                <w:b/>
                <w:color w:val="000000" w:themeColor="text1"/>
                <w:sz w:val="24"/>
                <w:szCs w:val="20"/>
                <w:highlight w:val="none"/>
                <w14:textFill>
                  <w14:solidFill>
                    <w14:schemeClr w14:val="tx1"/>
                  </w14:solidFill>
                </w14:textFill>
              </w:rPr>
              <w:t>排放限值</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0"/>
              <w:gridCol w:w="2885"/>
              <w:gridCol w:w="2497"/>
            </w:tblGrid>
            <w:tr w14:paraId="3A6B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93" w:type="pct"/>
                  <w:vAlign w:val="center"/>
                </w:tcPr>
                <w:p w14:paraId="6576C5C8">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类别</w:t>
                  </w:r>
                </w:p>
              </w:tc>
              <w:tc>
                <w:tcPr>
                  <w:tcW w:w="1718" w:type="pct"/>
                  <w:vAlign w:val="center"/>
                </w:tcPr>
                <w:p w14:paraId="33A456B4">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昼间[dB</w:t>
                  </w:r>
                  <w:r>
                    <w:rPr>
                      <w:rFonts w:hint="eastAsia"/>
                      <w:b/>
                      <w:bCs/>
                      <w:color w:val="000000" w:themeColor="text1"/>
                      <w:sz w:val="21"/>
                      <w:szCs w:val="21"/>
                      <w:highlight w:val="none"/>
                      <w:lang w:eastAsia="zh-CN"/>
                      <w14:textFill>
                        <w14:solidFill>
                          <w14:schemeClr w14:val="tx1"/>
                        </w14:solidFill>
                      </w14:textFill>
                    </w:rPr>
                    <w:t>（</w:t>
                  </w:r>
                  <w:r>
                    <w:rPr>
                      <w:rFonts w:hint="default"/>
                      <w:b/>
                      <w:bCs/>
                      <w:color w:val="000000" w:themeColor="text1"/>
                      <w:sz w:val="21"/>
                      <w:szCs w:val="21"/>
                      <w:highlight w:val="none"/>
                      <w14:textFill>
                        <w14:solidFill>
                          <w14:schemeClr w14:val="tx1"/>
                        </w14:solidFill>
                      </w14:textFill>
                    </w:rPr>
                    <w:t>A</w:t>
                  </w:r>
                  <w:r>
                    <w:rPr>
                      <w:rFonts w:hint="eastAsia"/>
                      <w:b/>
                      <w:bCs/>
                      <w:color w:val="000000" w:themeColor="text1"/>
                      <w:sz w:val="21"/>
                      <w:szCs w:val="21"/>
                      <w:highlight w:val="none"/>
                      <w:lang w:eastAsia="zh-CN"/>
                      <w14:textFill>
                        <w14:solidFill>
                          <w14:schemeClr w14:val="tx1"/>
                        </w14:solidFill>
                      </w14:textFill>
                    </w:rPr>
                    <w:t>）</w:t>
                  </w:r>
                  <w:r>
                    <w:rPr>
                      <w:rFonts w:hint="default"/>
                      <w:b/>
                      <w:bCs/>
                      <w:color w:val="000000" w:themeColor="text1"/>
                      <w:sz w:val="21"/>
                      <w:szCs w:val="21"/>
                      <w:highlight w:val="none"/>
                      <w14:textFill>
                        <w14:solidFill>
                          <w14:schemeClr w14:val="tx1"/>
                        </w14:solidFill>
                      </w14:textFill>
                    </w:rPr>
                    <w:t>]</w:t>
                  </w:r>
                </w:p>
              </w:tc>
              <w:tc>
                <w:tcPr>
                  <w:tcW w:w="1487" w:type="pct"/>
                  <w:vAlign w:val="center"/>
                </w:tcPr>
                <w:p w14:paraId="4B33A444">
                  <w:pPr>
                    <w:keepNext w:val="0"/>
                    <w:keepLines w:val="0"/>
                    <w:suppressLineNumbers w:val="0"/>
                    <w:spacing w:before="0" w:beforeAutospacing="0" w:after="0" w:afterAutospacing="0"/>
                    <w:ind w:left="0" w:right="0"/>
                    <w:jc w:val="center"/>
                    <w:rPr>
                      <w:rFonts w:hint="default"/>
                      <w:b/>
                      <w:bCs/>
                      <w:color w:val="000000" w:themeColor="text1"/>
                      <w:sz w:val="21"/>
                      <w:szCs w:val="21"/>
                      <w:highlight w:val="none"/>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夜间[dB</w:t>
                  </w:r>
                  <w:r>
                    <w:rPr>
                      <w:rFonts w:hint="eastAsia"/>
                      <w:b/>
                      <w:bCs/>
                      <w:color w:val="000000" w:themeColor="text1"/>
                      <w:sz w:val="21"/>
                      <w:szCs w:val="21"/>
                      <w:highlight w:val="none"/>
                      <w:lang w:eastAsia="zh-CN"/>
                      <w14:textFill>
                        <w14:solidFill>
                          <w14:schemeClr w14:val="tx1"/>
                        </w14:solidFill>
                      </w14:textFill>
                    </w:rPr>
                    <w:t>（</w:t>
                  </w:r>
                  <w:r>
                    <w:rPr>
                      <w:rFonts w:hint="default"/>
                      <w:b/>
                      <w:bCs/>
                      <w:color w:val="000000" w:themeColor="text1"/>
                      <w:sz w:val="21"/>
                      <w:szCs w:val="21"/>
                      <w:highlight w:val="none"/>
                      <w14:textFill>
                        <w14:solidFill>
                          <w14:schemeClr w14:val="tx1"/>
                        </w14:solidFill>
                      </w14:textFill>
                    </w:rPr>
                    <w:t>A</w:t>
                  </w:r>
                  <w:r>
                    <w:rPr>
                      <w:rFonts w:hint="eastAsia"/>
                      <w:b/>
                      <w:bCs/>
                      <w:color w:val="000000" w:themeColor="text1"/>
                      <w:sz w:val="21"/>
                      <w:szCs w:val="21"/>
                      <w:highlight w:val="none"/>
                      <w:lang w:eastAsia="zh-CN"/>
                      <w14:textFill>
                        <w14:solidFill>
                          <w14:schemeClr w14:val="tx1"/>
                        </w14:solidFill>
                      </w14:textFill>
                    </w:rPr>
                    <w:t>）</w:t>
                  </w:r>
                  <w:r>
                    <w:rPr>
                      <w:rFonts w:hint="default"/>
                      <w:b/>
                      <w:bCs/>
                      <w:color w:val="000000" w:themeColor="text1"/>
                      <w:sz w:val="21"/>
                      <w:szCs w:val="21"/>
                      <w:highlight w:val="none"/>
                      <w14:textFill>
                        <w14:solidFill>
                          <w14:schemeClr w14:val="tx1"/>
                        </w14:solidFill>
                      </w14:textFill>
                    </w:rPr>
                    <w:t>]</w:t>
                  </w:r>
                </w:p>
              </w:tc>
            </w:tr>
            <w:tr w14:paraId="4348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93" w:type="pct"/>
                  <w:vAlign w:val="center"/>
                </w:tcPr>
                <w:p w14:paraId="34D0B3C5">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default"/>
                      <w:color w:val="000000" w:themeColor="text1"/>
                      <w:sz w:val="21"/>
                      <w:szCs w:val="21"/>
                      <w:highlight w:val="none"/>
                      <w14:textFill>
                        <w14:solidFill>
                          <w14:schemeClr w14:val="tx1"/>
                        </w14:solidFill>
                      </w14:textFill>
                    </w:rPr>
                    <w:t>类</w:t>
                  </w:r>
                </w:p>
              </w:tc>
              <w:tc>
                <w:tcPr>
                  <w:tcW w:w="1718" w:type="pct"/>
                  <w:vAlign w:val="center"/>
                </w:tcPr>
                <w:p w14:paraId="52549035">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60</w:t>
                  </w:r>
                </w:p>
              </w:tc>
              <w:tc>
                <w:tcPr>
                  <w:tcW w:w="1487" w:type="pct"/>
                  <w:vAlign w:val="center"/>
                </w:tcPr>
                <w:p w14:paraId="4D3176FB">
                  <w:pPr>
                    <w:keepNext w:val="0"/>
                    <w:keepLines w:val="0"/>
                    <w:suppressLineNumbers w:val="0"/>
                    <w:spacing w:before="0" w:beforeAutospacing="0" w:after="0" w:afterAutospacing="0"/>
                    <w:ind w:left="0" w:right="0"/>
                    <w:jc w:val="center"/>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50</w:t>
                  </w:r>
                </w:p>
              </w:tc>
            </w:tr>
          </w:tbl>
          <w:p w14:paraId="67E784DC">
            <w:pPr>
              <w:keepNext w:val="0"/>
              <w:keepLines w:val="0"/>
              <w:suppressLineNumbers w:val="0"/>
              <w:spacing w:before="120" w:beforeLines="50" w:beforeAutospacing="0" w:after="0" w:afterAutospacing="0" w:line="360" w:lineRule="auto"/>
              <w:ind w:left="0" w:right="0" w:firstLine="562" w:firstLineChars="200"/>
              <w:rPr>
                <w:rFonts w:hint="default"/>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3.16</w:t>
            </w:r>
            <w:r>
              <w:rPr>
                <w:rFonts w:hint="default" w:hAnsi="宋体"/>
                <w:b/>
                <w:bCs/>
                <w:color w:val="000000" w:themeColor="text1"/>
                <w:sz w:val="28"/>
                <w:szCs w:val="28"/>
                <w:highlight w:val="none"/>
                <w14:textFill>
                  <w14:solidFill>
                    <w14:schemeClr w14:val="tx1"/>
                  </w14:solidFill>
                </w14:textFill>
              </w:rPr>
              <w:t>固体废弃物</w:t>
            </w:r>
          </w:p>
          <w:p w14:paraId="386DA069">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hAnsi="宋体"/>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1</w:t>
            </w:r>
            <w:r>
              <w:rPr>
                <w:rFonts w:hint="default" w:hAnsi="宋体"/>
                <w:color w:val="000000" w:themeColor="text1"/>
                <w:sz w:val="24"/>
                <w:szCs w:val="20"/>
                <w:highlight w:val="none"/>
                <w14:textFill>
                  <w14:solidFill>
                    <w14:schemeClr w14:val="tx1"/>
                  </w14:solidFill>
                </w14:textFill>
              </w:rPr>
              <w:t>）危险废物</w:t>
            </w:r>
          </w:p>
          <w:p w14:paraId="255A76EA">
            <w:pPr>
              <w:keepNext w:val="0"/>
              <w:keepLines w:val="0"/>
              <w:suppressLineNumbers w:val="0"/>
              <w:spacing w:before="0" w:beforeAutospacing="0" w:after="0" w:afterAutospacing="0" w:line="360" w:lineRule="auto"/>
              <w:ind w:left="0" w:right="0" w:firstLine="480" w:firstLineChars="200"/>
              <w:rPr>
                <w:rFonts w:hint="default" w:hAnsi="宋体"/>
                <w:color w:val="000000" w:themeColor="text1"/>
                <w:sz w:val="24"/>
                <w:szCs w:val="22"/>
                <w:highlight w:val="none"/>
                <w14:textFill>
                  <w14:solidFill>
                    <w14:schemeClr w14:val="tx1"/>
                  </w14:solidFill>
                </w14:textFill>
              </w:rPr>
            </w:pPr>
            <w:r>
              <w:rPr>
                <w:rFonts w:hint="default" w:hAnsi="宋体"/>
                <w:color w:val="000000" w:themeColor="text1"/>
                <w:sz w:val="24"/>
                <w:szCs w:val="20"/>
                <w:highlight w:val="none"/>
                <w14:textFill>
                  <w14:solidFill>
                    <w14:schemeClr w14:val="tx1"/>
                  </w14:solidFill>
                </w14:textFill>
              </w:rPr>
              <w:t>危险</w:t>
            </w:r>
            <w:r>
              <w:rPr>
                <w:rFonts w:hint="eastAsia" w:hAnsi="宋体"/>
                <w:color w:val="000000" w:themeColor="text1"/>
                <w:sz w:val="24"/>
                <w:szCs w:val="20"/>
                <w:highlight w:val="none"/>
                <w:lang w:val="en-US" w:eastAsia="zh-CN"/>
                <w14:textFill>
                  <w14:solidFill>
                    <w14:schemeClr w14:val="tx1"/>
                  </w14:solidFill>
                </w14:textFill>
              </w:rPr>
              <w:t>废物</w:t>
            </w:r>
            <w:r>
              <w:rPr>
                <w:rFonts w:hint="default" w:hAnsi="宋体"/>
                <w:color w:val="000000" w:themeColor="text1"/>
                <w:sz w:val="24"/>
                <w:szCs w:val="20"/>
                <w:highlight w:val="none"/>
                <w14:textFill>
                  <w14:solidFill>
                    <w14:schemeClr w14:val="tx1"/>
                  </w14:solidFill>
                </w14:textFill>
              </w:rPr>
              <w:t>在场内暂存执行《危险废物贮存污染控制标准》（</w:t>
            </w:r>
            <w:r>
              <w:rPr>
                <w:rFonts w:hint="default"/>
                <w:color w:val="000000" w:themeColor="text1"/>
                <w:sz w:val="24"/>
                <w:szCs w:val="20"/>
                <w:highlight w:val="none"/>
                <w14:textFill>
                  <w14:solidFill>
                    <w14:schemeClr w14:val="tx1"/>
                  </w14:solidFill>
                </w14:textFill>
              </w:rPr>
              <w:t>GB</w:t>
            </w:r>
            <w:r>
              <w:rPr>
                <w:rFonts w:hint="eastAsia"/>
                <w:color w:val="000000" w:themeColor="text1"/>
                <w:sz w:val="24"/>
                <w:szCs w:val="20"/>
                <w:highlight w:val="none"/>
                <w14:textFill>
                  <w14:solidFill>
                    <w14:schemeClr w14:val="tx1"/>
                  </w14:solidFill>
                </w14:textFill>
              </w:rPr>
              <w:t xml:space="preserve"> </w:t>
            </w:r>
            <w:r>
              <w:rPr>
                <w:rFonts w:hint="default"/>
                <w:color w:val="000000" w:themeColor="text1"/>
                <w:sz w:val="24"/>
                <w:szCs w:val="20"/>
                <w:highlight w:val="none"/>
                <w14:textFill>
                  <w14:solidFill>
                    <w14:schemeClr w14:val="tx1"/>
                  </w14:solidFill>
                </w14:textFill>
              </w:rPr>
              <w:t>18597-20</w:t>
            </w:r>
            <w:r>
              <w:rPr>
                <w:rFonts w:hint="eastAsia"/>
                <w:color w:val="000000" w:themeColor="text1"/>
                <w:sz w:val="24"/>
                <w:szCs w:val="20"/>
                <w:highlight w:val="none"/>
                <w14:textFill>
                  <w14:solidFill>
                    <w14:schemeClr w14:val="tx1"/>
                  </w14:solidFill>
                </w14:textFill>
              </w:rPr>
              <w:t>23</w:t>
            </w:r>
            <w:r>
              <w:rPr>
                <w:rFonts w:hint="default" w:hAnsi="宋体"/>
                <w:color w:val="000000" w:themeColor="text1"/>
                <w:sz w:val="24"/>
                <w:szCs w:val="20"/>
                <w:highlight w:val="none"/>
                <w14:textFill>
                  <w14:solidFill>
                    <w14:schemeClr w14:val="tx1"/>
                  </w14:solidFill>
                </w14:textFill>
              </w:rPr>
              <w:t>）。</w:t>
            </w:r>
          </w:p>
          <w:p w14:paraId="1D93C362">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hAnsi="宋体"/>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2</w:t>
            </w:r>
            <w:r>
              <w:rPr>
                <w:rFonts w:hint="default" w:hAnsi="宋体"/>
                <w:color w:val="000000" w:themeColor="text1"/>
                <w:sz w:val="24"/>
                <w:szCs w:val="20"/>
                <w:highlight w:val="none"/>
                <w14:textFill>
                  <w14:solidFill>
                    <w14:schemeClr w14:val="tx1"/>
                  </w14:solidFill>
                </w14:textFill>
              </w:rPr>
              <w:t>）一般固体废物</w:t>
            </w:r>
          </w:p>
          <w:p w14:paraId="06C9A775">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sz w:val="20"/>
                <w:szCs w:val="20"/>
                <w:highlight w:val="none"/>
                <w:lang w:val="en-US" w:eastAsia="zh-CN"/>
                <w14:textFill>
                  <w14:solidFill>
                    <w14:schemeClr w14:val="tx1"/>
                  </w14:solidFill>
                </w14:textFill>
              </w:rPr>
            </w:pPr>
            <w:r>
              <w:rPr>
                <w:rFonts w:hint="default" w:hAnsi="宋体"/>
                <w:color w:val="000000" w:themeColor="text1"/>
                <w:sz w:val="24"/>
                <w:szCs w:val="20"/>
                <w:highlight w:val="none"/>
                <w14:textFill>
                  <w14:solidFill>
                    <w14:schemeClr w14:val="tx1"/>
                  </w14:solidFill>
                </w14:textFill>
              </w:rPr>
              <w:t>一般固体废物执行《一般工业固体废物贮存</w:t>
            </w:r>
            <w:r>
              <w:rPr>
                <w:rFonts w:hint="eastAsia" w:hAnsi="宋体"/>
                <w:color w:val="000000" w:themeColor="text1"/>
                <w:sz w:val="24"/>
                <w:szCs w:val="20"/>
                <w:highlight w:val="none"/>
                <w14:textFill>
                  <w14:solidFill>
                    <w14:schemeClr w14:val="tx1"/>
                  </w14:solidFill>
                </w14:textFill>
              </w:rPr>
              <w:t>和</w:t>
            </w:r>
            <w:r>
              <w:rPr>
                <w:rFonts w:hint="default" w:hAnsi="宋体"/>
                <w:color w:val="000000" w:themeColor="text1"/>
                <w:sz w:val="24"/>
                <w:szCs w:val="20"/>
                <w:highlight w:val="none"/>
                <w14:textFill>
                  <w14:solidFill>
                    <w14:schemeClr w14:val="tx1"/>
                  </w14:solidFill>
                </w14:textFill>
              </w:rPr>
              <w:t>填埋污染控制标准》</w:t>
            </w:r>
            <w:r>
              <w:rPr>
                <w:rFonts w:hint="eastAsia" w:hAnsi="宋体"/>
                <w:color w:val="000000" w:themeColor="text1"/>
                <w:sz w:val="24"/>
                <w:szCs w:val="20"/>
                <w:highlight w:val="none"/>
                <w14:textFill>
                  <w14:solidFill>
                    <w14:schemeClr w14:val="tx1"/>
                  </w14:solidFill>
                </w14:textFill>
              </w:rPr>
              <w:t>（GB18599-2020）</w:t>
            </w:r>
            <w:r>
              <w:rPr>
                <w:rFonts w:hint="default" w:hAnsi="宋体"/>
                <w:color w:val="000000" w:themeColor="text1"/>
                <w:sz w:val="24"/>
                <w:szCs w:val="22"/>
                <w:highlight w:val="none"/>
                <w14:textFill>
                  <w14:solidFill>
                    <w14:schemeClr w14:val="tx1"/>
                  </w14:solidFill>
                </w14:textFill>
              </w:rPr>
              <w:t>。</w:t>
            </w:r>
          </w:p>
        </w:tc>
      </w:tr>
      <w:tr w14:paraId="40BD7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499" w:type="dxa"/>
            <w:vAlign w:val="center"/>
          </w:tcPr>
          <w:p w14:paraId="3340BD6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总量</w:t>
            </w:r>
          </w:p>
          <w:p w14:paraId="4E77655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控制</w:t>
            </w:r>
          </w:p>
          <w:p w14:paraId="4C70345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指标</w:t>
            </w:r>
          </w:p>
        </w:tc>
        <w:tc>
          <w:tcPr>
            <w:tcW w:w="8537" w:type="dxa"/>
            <w:vAlign w:val="top"/>
          </w:tcPr>
          <w:p w14:paraId="5D7F5079">
            <w:pPr>
              <w:keepNext w:val="0"/>
              <w:keepLines w:val="0"/>
              <w:suppressLineNumbers w:val="0"/>
              <w:spacing w:before="0" w:beforeAutospacing="0" w:after="0" w:afterAutospacing="0" w:line="360" w:lineRule="auto"/>
              <w:ind w:left="0" w:right="0"/>
              <w:jc w:val="both"/>
              <w:rPr>
                <w:rFonts w:hint="default"/>
                <w:b/>
                <w:color w:val="000000" w:themeColor="text1"/>
                <w:sz w:val="28"/>
                <w:szCs w:val="28"/>
                <w:highlight w:val="none"/>
                <w14:textFill>
                  <w14:solidFill>
                    <w14:schemeClr w14:val="tx1"/>
                  </w14:solidFill>
                </w14:textFill>
              </w:rPr>
            </w:pPr>
            <w:r>
              <w:rPr>
                <w:rFonts w:hint="default" w:hAnsi="宋体"/>
                <w:b/>
                <w:color w:val="000000" w:themeColor="text1"/>
                <w:sz w:val="28"/>
                <w:szCs w:val="28"/>
                <w:highlight w:val="none"/>
                <w14:textFill>
                  <w14:solidFill>
                    <w14:schemeClr w14:val="tx1"/>
                  </w14:solidFill>
                </w14:textFill>
              </w:rPr>
              <w:t>总量建议控制指标：</w:t>
            </w:r>
          </w:p>
          <w:p w14:paraId="08DFFB2B">
            <w:pPr>
              <w:keepNext w:val="0"/>
              <w:keepLines w:val="0"/>
              <w:suppressLineNumbers w:val="0"/>
              <w:spacing w:before="0" w:beforeAutospacing="0" w:after="0" w:afterAutospacing="0" w:line="360" w:lineRule="auto"/>
              <w:ind w:left="0" w:right="0" w:firstLine="480" w:firstLineChars="200"/>
              <w:jc w:val="both"/>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本项目废气颗粒物呈无组织排放，废水全部回用不外排，固废100%合理处置，不设置废气、废水、固体废物总量控制指标。</w:t>
            </w:r>
          </w:p>
          <w:p w14:paraId="224632A6">
            <w:pPr>
              <w:keepNext w:val="0"/>
              <w:keepLines w:val="0"/>
              <w:suppressLineNumbers w:val="0"/>
              <w:spacing w:before="0" w:beforeAutospacing="0" w:after="0" w:afterAutospacing="0" w:line="360" w:lineRule="auto"/>
              <w:ind w:left="0" w:right="0" w:firstLine="480" w:firstLineChars="200"/>
              <w:jc w:val="both"/>
              <w:rPr>
                <w:rFonts w:hint="eastAsia"/>
                <w:color w:val="000000" w:themeColor="text1"/>
                <w:sz w:val="24"/>
                <w:szCs w:val="20"/>
                <w:highlight w:val="none"/>
                <w14:textFill>
                  <w14:solidFill>
                    <w14:schemeClr w14:val="tx1"/>
                  </w14:solidFill>
                </w14:textFill>
              </w:rPr>
            </w:pPr>
          </w:p>
          <w:p w14:paraId="3E5272D9">
            <w:pPr>
              <w:keepNext w:val="0"/>
              <w:keepLines w:val="0"/>
              <w:suppressLineNumbers w:val="0"/>
              <w:spacing w:before="0" w:beforeAutospacing="0" w:after="0" w:afterAutospacing="0" w:line="360" w:lineRule="auto"/>
              <w:ind w:left="0" w:right="0" w:firstLine="480" w:firstLineChars="200"/>
              <w:jc w:val="both"/>
              <w:rPr>
                <w:rFonts w:hint="eastAsia"/>
                <w:color w:val="000000" w:themeColor="text1"/>
                <w:sz w:val="24"/>
                <w:szCs w:val="20"/>
                <w:highlight w:val="none"/>
                <w14:textFill>
                  <w14:solidFill>
                    <w14:schemeClr w14:val="tx1"/>
                  </w14:solidFill>
                </w14:textFill>
              </w:rPr>
            </w:pPr>
          </w:p>
          <w:p w14:paraId="510F6E1B">
            <w:pPr>
              <w:keepNext w:val="0"/>
              <w:keepLines w:val="0"/>
              <w:suppressLineNumbers w:val="0"/>
              <w:spacing w:before="0" w:beforeAutospacing="0" w:after="0" w:afterAutospacing="0" w:line="360" w:lineRule="auto"/>
              <w:ind w:left="0" w:right="0" w:firstLine="480" w:firstLineChars="200"/>
              <w:jc w:val="both"/>
              <w:rPr>
                <w:rFonts w:hint="eastAsia"/>
                <w:color w:val="000000" w:themeColor="text1"/>
                <w:sz w:val="24"/>
                <w:szCs w:val="20"/>
                <w:highlight w:val="none"/>
                <w14:textFill>
                  <w14:solidFill>
                    <w14:schemeClr w14:val="tx1"/>
                  </w14:solidFill>
                </w14:textFill>
              </w:rPr>
            </w:pPr>
          </w:p>
          <w:p w14:paraId="2F12BDF1">
            <w:pPr>
              <w:keepNext w:val="0"/>
              <w:keepLines w:val="0"/>
              <w:suppressLineNumbers w:val="0"/>
              <w:spacing w:before="0" w:beforeAutospacing="0" w:after="0" w:afterAutospacing="0" w:line="360" w:lineRule="auto"/>
              <w:ind w:left="0" w:right="0" w:firstLine="480" w:firstLineChars="200"/>
              <w:jc w:val="both"/>
              <w:rPr>
                <w:rFonts w:hint="eastAsia"/>
                <w:color w:val="000000" w:themeColor="text1"/>
                <w:sz w:val="24"/>
                <w:szCs w:val="20"/>
                <w:highlight w:val="none"/>
                <w14:textFill>
                  <w14:solidFill>
                    <w14:schemeClr w14:val="tx1"/>
                  </w14:solidFill>
                </w14:textFill>
              </w:rPr>
            </w:pPr>
          </w:p>
          <w:p w14:paraId="09DB4A03">
            <w:pPr>
              <w:keepNext w:val="0"/>
              <w:keepLines w:val="0"/>
              <w:suppressLineNumbers w:val="0"/>
              <w:spacing w:before="0" w:beforeAutospacing="0" w:after="0" w:afterAutospacing="0" w:line="360" w:lineRule="auto"/>
              <w:ind w:left="0" w:right="0" w:firstLine="480" w:firstLineChars="200"/>
              <w:jc w:val="both"/>
              <w:rPr>
                <w:rFonts w:hint="eastAsia"/>
                <w:color w:val="000000" w:themeColor="text1"/>
                <w:sz w:val="24"/>
                <w:szCs w:val="20"/>
                <w:highlight w:val="none"/>
                <w14:textFill>
                  <w14:solidFill>
                    <w14:schemeClr w14:val="tx1"/>
                  </w14:solidFill>
                </w14:textFill>
              </w:rPr>
            </w:pPr>
          </w:p>
          <w:p w14:paraId="24589380">
            <w:pPr>
              <w:keepNext w:val="0"/>
              <w:keepLines w:val="0"/>
              <w:suppressLineNumbers w:val="0"/>
              <w:spacing w:before="0" w:beforeAutospacing="0" w:after="0" w:afterAutospacing="0" w:line="360" w:lineRule="auto"/>
              <w:ind w:left="0" w:right="0" w:firstLine="480" w:firstLineChars="200"/>
              <w:jc w:val="both"/>
              <w:rPr>
                <w:rFonts w:hint="eastAsia"/>
                <w:color w:val="000000" w:themeColor="text1"/>
                <w:sz w:val="24"/>
                <w:szCs w:val="20"/>
                <w:highlight w:val="none"/>
                <w14:textFill>
                  <w14:solidFill>
                    <w14:schemeClr w14:val="tx1"/>
                  </w14:solidFill>
                </w14:textFill>
              </w:rPr>
            </w:pPr>
          </w:p>
          <w:p w14:paraId="4C7306F9">
            <w:pPr>
              <w:keepNext w:val="0"/>
              <w:keepLines w:val="0"/>
              <w:suppressLineNumbers w:val="0"/>
              <w:spacing w:before="0" w:beforeAutospacing="0" w:after="0" w:afterAutospacing="0" w:line="360" w:lineRule="auto"/>
              <w:ind w:left="0" w:right="0" w:firstLine="480" w:firstLineChars="200"/>
              <w:jc w:val="both"/>
              <w:rPr>
                <w:rFonts w:hint="eastAsia"/>
                <w:color w:val="000000" w:themeColor="text1"/>
                <w:sz w:val="24"/>
                <w:szCs w:val="20"/>
                <w:highlight w:val="none"/>
                <w14:textFill>
                  <w14:solidFill>
                    <w14:schemeClr w14:val="tx1"/>
                  </w14:solidFill>
                </w14:textFill>
              </w:rPr>
            </w:pPr>
          </w:p>
          <w:p w14:paraId="52D4AF1E">
            <w:pPr>
              <w:keepNext w:val="0"/>
              <w:keepLines w:val="0"/>
              <w:suppressLineNumbers w:val="0"/>
              <w:spacing w:before="0" w:beforeAutospacing="0" w:after="0" w:afterAutospacing="0" w:line="360" w:lineRule="auto"/>
              <w:ind w:left="0" w:right="0" w:firstLine="480" w:firstLineChars="200"/>
              <w:jc w:val="both"/>
              <w:rPr>
                <w:rFonts w:hint="eastAsia"/>
                <w:color w:val="000000" w:themeColor="text1"/>
                <w:sz w:val="24"/>
                <w:szCs w:val="20"/>
                <w:highlight w:val="none"/>
                <w14:textFill>
                  <w14:solidFill>
                    <w14:schemeClr w14:val="tx1"/>
                  </w14:solidFill>
                </w14:textFill>
              </w:rPr>
            </w:pPr>
          </w:p>
          <w:p w14:paraId="62795CBC">
            <w:pPr>
              <w:keepNext w:val="0"/>
              <w:keepLines w:val="0"/>
              <w:suppressLineNumbers w:val="0"/>
              <w:spacing w:before="0" w:beforeAutospacing="0" w:after="0" w:afterAutospacing="0" w:line="360" w:lineRule="auto"/>
              <w:ind w:left="0" w:right="0" w:firstLine="480" w:firstLineChars="200"/>
              <w:jc w:val="both"/>
              <w:rPr>
                <w:rFonts w:hint="eastAsia"/>
                <w:color w:val="000000" w:themeColor="text1"/>
                <w:sz w:val="24"/>
                <w:szCs w:val="20"/>
                <w:highlight w:val="none"/>
                <w14:textFill>
                  <w14:solidFill>
                    <w14:schemeClr w14:val="tx1"/>
                  </w14:solidFill>
                </w14:textFill>
              </w:rPr>
            </w:pPr>
          </w:p>
          <w:p w14:paraId="22E41E79">
            <w:pPr>
              <w:keepNext w:val="0"/>
              <w:keepLines w:val="0"/>
              <w:suppressLineNumbers w:val="0"/>
              <w:spacing w:before="0" w:beforeAutospacing="0" w:after="0" w:afterAutospacing="0" w:line="360" w:lineRule="auto"/>
              <w:ind w:left="0" w:right="0" w:firstLine="480" w:firstLineChars="200"/>
              <w:jc w:val="both"/>
              <w:rPr>
                <w:rFonts w:hint="default"/>
                <w:color w:val="000000" w:themeColor="text1"/>
                <w:sz w:val="24"/>
                <w:szCs w:val="20"/>
                <w:highlight w:val="none"/>
                <w14:textFill>
                  <w14:solidFill>
                    <w14:schemeClr w14:val="tx1"/>
                  </w14:solidFill>
                </w14:textFill>
              </w:rPr>
            </w:pPr>
          </w:p>
        </w:tc>
      </w:tr>
    </w:tbl>
    <w:p w14:paraId="735F1D41">
      <w:pPr>
        <w:pStyle w:val="40"/>
        <w:spacing w:before="0" w:beforeAutospacing="0" w:after="0" w:afterAutospacing="0"/>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16" w:name="_Toc69399390"/>
      <w:r>
        <w:rPr>
          <w:rFonts w:hint="eastAsia"/>
          <w:b/>
          <w:snapToGrid w:val="0"/>
          <w:sz w:val="30"/>
          <w:szCs w:val="30"/>
        </w:rPr>
        <w:t>四、主要环境影响和保护措施</w:t>
      </w:r>
    </w:p>
    <w:tbl>
      <w:tblPr>
        <w:tblStyle w:val="44"/>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4"/>
        <w:gridCol w:w="8567"/>
      </w:tblGrid>
      <w:tr w14:paraId="55DEB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dxa"/>
            <w:tcMar>
              <w:left w:w="28" w:type="dxa"/>
              <w:right w:w="28" w:type="dxa"/>
            </w:tcMar>
            <w:vAlign w:val="center"/>
          </w:tcPr>
          <w:p w14:paraId="438036C9">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施工</w:t>
            </w:r>
          </w:p>
          <w:p w14:paraId="2E3E0728">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期环</w:t>
            </w:r>
          </w:p>
          <w:p w14:paraId="662D1516">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境保</w:t>
            </w:r>
          </w:p>
          <w:p w14:paraId="4D1F916F">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护措</w:t>
            </w:r>
          </w:p>
          <w:p w14:paraId="3BDFC2C9">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施</w:t>
            </w:r>
          </w:p>
        </w:tc>
        <w:tc>
          <w:tcPr>
            <w:tcW w:w="8567" w:type="dxa"/>
            <w:vAlign w:val="center"/>
          </w:tcPr>
          <w:p w14:paraId="2D1AAF2C">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sz w:val="24"/>
                <w:szCs w:val="20"/>
                <w:highlight w:val="none"/>
                <w:lang w:eastAsia="zh-CN"/>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本项目施工期主要工程包括：改性</w:t>
            </w:r>
            <w:r>
              <w:rPr>
                <w:rFonts w:hint="eastAsia"/>
                <w:color w:val="000000" w:themeColor="text1"/>
                <w:sz w:val="24"/>
                <w:szCs w:val="20"/>
                <w:highlight w:val="none"/>
                <w:lang w:val="en-US" w:eastAsia="zh-CN"/>
                <w14:textFill>
                  <w14:solidFill>
                    <w14:schemeClr w14:val="tx1"/>
                  </w14:solidFill>
                </w14:textFill>
              </w:rPr>
              <w:t>车间的建设及</w:t>
            </w:r>
            <w:r>
              <w:rPr>
                <w:rFonts w:hint="eastAsia"/>
                <w:color w:val="000000" w:themeColor="text1"/>
                <w:sz w:val="24"/>
                <w:szCs w:val="20"/>
                <w:highlight w:val="none"/>
                <w14:textFill>
                  <w14:solidFill>
                    <w14:schemeClr w14:val="tx1"/>
                  </w14:solidFill>
                </w14:textFill>
              </w:rPr>
              <w:t>设备安装</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lang w:val="en-US" w:eastAsia="zh-CN"/>
                <w14:textFill>
                  <w14:solidFill>
                    <w14:schemeClr w14:val="tx1"/>
                  </w14:solidFill>
                </w14:textFill>
              </w:rPr>
              <w:t>待检区建设以及车间内部的防腐防渗工程施工等</w:t>
            </w:r>
            <w:r>
              <w:rPr>
                <w:rFonts w:hint="eastAsia"/>
                <w:color w:val="000000" w:themeColor="text1"/>
                <w:sz w:val="24"/>
                <w:szCs w:val="20"/>
                <w:highlight w:val="none"/>
                <w:lang w:eastAsia="zh-CN"/>
                <w14:textFill>
                  <w14:solidFill>
                    <w14:schemeClr w14:val="tx1"/>
                  </w14:solidFill>
                </w14:textFill>
              </w:rPr>
              <w:t>。</w:t>
            </w:r>
          </w:p>
          <w:p w14:paraId="36D0178B">
            <w:pPr>
              <w:keepNext w:val="0"/>
              <w:keepLines w:val="0"/>
              <w:suppressLineNumbers w:val="0"/>
              <w:spacing w:before="0" w:beforeAutospacing="0" w:after="0" w:afterAutospacing="0" w:line="360" w:lineRule="auto"/>
              <w:ind w:left="0" w:right="0" w:firstLine="562" w:firstLineChars="200"/>
              <w:rPr>
                <w:rFonts w:hint="default"/>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4.1</w:t>
            </w:r>
            <w:r>
              <w:rPr>
                <w:rFonts w:hint="default" w:hAnsi="宋体"/>
                <w:b/>
                <w:bCs/>
                <w:color w:val="000000" w:themeColor="text1"/>
                <w:sz w:val="28"/>
                <w:szCs w:val="28"/>
                <w:highlight w:val="none"/>
                <w14:textFill>
                  <w14:solidFill>
                    <w14:schemeClr w14:val="tx1"/>
                  </w14:solidFill>
                </w14:textFill>
              </w:rPr>
              <w:t>废气影响</w:t>
            </w:r>
            <w:r>
              <w:rPr>
                <w:rFonts w:hint="eastAsia" w:hAnsi="宋体"/>
                <w:b/>
                <w:bCs/>
                <w:color w:val="000000" w:themeColor="text1"/>
                <w:sz w:val="28"/>
                <w:szCs w:val="28"/>
                <w:highlight w:val="none"/>
                <w14:textFill>
                  <w14:solidFill>
                    <w14:schemeClr w14:val="tx1"/>
                  </w14:solidFill>
                </w14:textFill>
              </w:rPr>
              <w:t>和</w:t>
            </w:r>
            <w:r>
              <w:rPr>
                <w:rFonts w:hint="default" w:hAnsi="宋体"/>
                <w:b/>
                <w:bCs/>
                <w:color w:val="000000" w:themeColor="text1"/>
                <w:sz w:val="28"/>
                <w:szCs w:val="28"/>
                <w:highlight w:val="none"/>
                <w14:textFill>
                  <w14:solidFill>
                    <w14:schemeClr w14:val="tx1"/>
                  </w14:solidFill>
                </w14:textFill>
              </w:rPr>
              <w:t>保护措施</w:t>
            </w:r>
          </w:p>
          <w:p w14:paraId="6DE9DA71">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hAnsi="宋体"/>
                <w:color w:val="000000" w:themeColor="text1"/>
                <w:sz w:val="24"/>
                <w:szCs w:val="22"/>
                <w:highlight w:val="none"/>
                <w14:textFill>
                  <w14:solidFill>
                    <w14:schemeClr w14:val="tx1"/>
                  </w14:solidFill>
                </w14:textFill>
              </w:rPr>
              <w:t>施工期废气主要包括</w:t>
            </w:r>
            <w:r>
              <w:rPr>
                <w:rFonts w:hint="eastAsia" w:hAnsi="宋体"/>
                <w:color w:val="000000" w:themeColor="text1"/>
                <w:sz w:val="24"/>
                <w:szCs w:val="22"/>
                <w:highlight w:val="none"/>
                <w14:textFill>
                  <w14:solidFill>
                    <w14:schemeClr w14:val="tx1"/>
                  </w14:solidFill>
                </w14:textFill>
              </w:rPr>
              <w:t>设备运输、安装过</w:t>
            </w:r>
            <w:r>
              <w:rPr>
                <w:rFonts w:hint="eastAsia" w:hAnsi="宋体"/>
                <w:color w:val="000000" w:themeColor="text1"/>
                <w:sz w:val="24"/>
                <w:szCs w:val="22"/>
                <w:highlight w:val="none"/>
                <w:lang w:eastAsia="zh-CN"/>
                <w14:textFill>
                  <w14:solidFill>
                    <w14:schemeClr w14:val="tx1"/>
                  </w14:solidFill>
                </w14:textFill>
              </w:rPr>
              <w:t>程中</w:t>
            </w:r>
            <w:r>
              <w:rPr>
                <w:rFonts w:hint="default" w:hAnsi="宋体"/>
                <w:color w:val="000000" w:themeColor="text1"/>
                <w:sz w:val="24"/>
                <w:szCs w:val="20"/>
                <w:highlight w:val="none"/>
                <w14:textFill>
                  <w14:solidFill>
                    <w14:schemeClr w14:val="tx1"/>
                  </w14:solidFill>
                </w14:textFill>
              </w:rPr>
              <w:t>产生的扬尘</w:t>
            </w:r>
            <w:r>
              <w:rPr>
                <w:rFonts w:hint="default" w:hAnsi="宋体"/>
                <w:color w:val="000000" w:themeColor="text1"/>
                <w:sz w:val="24"/>
                <w:szCs w:val="22"/>
                <w:highlight w:val="none"/>
                <w14:textFill>
                  <w14:solidFill>
                    <w14:schemeClr w14:val="tx1"/>
                  </w14:solidFill>
                </w14:textFill>
              </w:rPr>
              <w:t>；运输车辆、施工机械产生的废气</w:t>
            </w:r>
            <w:r>
              <w:rPr>
                <w:rFonts w:hint="default" w:hAnsi="宋体"/>
                <w:color w:val="000000" w:themeColor="text1"/>
                <w:sz w:val="24"/>
                <w:szCs w:val="20"/>
                <w:highlight w:val="none"/>
                <w14:textFill>
                  <w14:solidFill>
                    <w14:schemeClr w14:val="tx1"/>
                  </w14:solidFill>
                </w14:textFill>
              </w:rPr>
              <w:t>。</w:t>
            </w:r>
          </w:p>
          <w:p w14:paraId="2CDF6279">
            <w:pPr>
              <w:keepNext w:val="0"/>
              <w:keepLines w:val="0"/>
              <w:suppressLineNumbers w:val="0"/>
              <w:spacing w:before="0" w:beforeAutospacing="0" w:after="0" w:afterAutospacing="0" w:line="360" w:lineRule="auto"/>
              <w:ind w:left="0" w:right="0" w:firstLine="480" w:firstLineChars="200"/>
              <w:rPr>
                <w:rFonts w:hint="default" w:hAnsi="宋体"/>
                <w:color w:val="000000" w:themeColor="text1"/>
                <w:sz w:val="24"/>
                <w:szCs w:val="20"/>
                <w:highlight w:val="none"/>
                <w14:textFill>
                  <w14:solidFill>
                    <w14:schemeClr w14:val="tx1"/>
                  </w14:solidFill>
                </w14:textFill>
              </w:rPr>
            </w:pPr>
            <w:r>
              <w:rPr>
                <w:rFonts w:hint="default" w:hAnsi="宋体"/>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1</w:t>
            </w:r>
            <w:r>
              <w:rPr>
                <w:rFonts w:hint="default" w:hAnsi="宋体"/>
                <w:color w:val="000000" w:themeColor="text1"/>
                <w:sz w:val="24"/>
                <w:szCs w:val="20"/>
                <w:highlight w:val="none"/>
                <w14:textFill>
                  <w14:solidFill>
                    <w14:schemeClr w14:val="tx1"/>
                  </w14:solidFill>
                </w14:textFill>
              </w:rPr>
              <w:t>）扬尘影响分析</w:t>
            </w:r>
          </w:p>
          <w:p w14:paraId="4A5D3375">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ascii="Times New Roman" w:hAnsi="Times New Roman"/>
                <w:color w:val="000000" w:themeColor="text1"/>
                <w:sz w:val="24"/>
                <w:szCs w:val="20"/>
                <w:highlight w:val="none"/>
                <w14:textFill>
                  <w14:solidFill>
                    <w14:schemeClr w14:val="tx1"/>
                  </w14:solidFill>
                </w14:textFill>
              </w:rPr>
              <w:t>本项目建设时</w:t>
            </w:r>
            <w:r>
              <w:rPr>
                <w:rFonts w:hint="eastAsia"/>
                <w:color w:val="000000" w:themeColor="text1"/>
                <w:sz w:val="24"/>
                <w:szCs w:val="20"/>
                <w:highlight w:val="none"/>
                <w:lang w:eastAsia="zh-CN"/>
                <w14:textFill>
                  <w14:solidFill>
                    <w14:schemeClr w14:val="tx1"/>
                  </w14:solidFill>
                </w14:textFill>
              </w:rPr>
              <w:t>需</w:t>
            </w:r>
            <w:r>
              <w:rPr>
                <w:rFonts w:hint="eastAsia" w:ascii="Times New Roman" w:hAnsi="Times New Roman"/>
                <w:color w:val="000000" w:themeColor="text1"/>
                <w:sz w:val="24"/>
                <w:szCs w:val="20"/>
                <w:highlight w:val="none"/>
                <w14:textFill>
                  <w14:solidFill>
                    <w14:schemeClr w14:val="tx1"/>
                  </w14:solidFill>
                </w14:textFill>
              </w:rPr>
              <w:t>进行</w:t>
            </w:r>
            <w:r>
              <w:rPr>
                <w:rFonts w:hint="eastAsia" w:hAnsi="Times New Roman"/>
                <w:color w:val="000000" w:themeColor="text1"/>
                <w:sz w:val="24"/>
                <w:szCs w:val="20"/>
                <w:highlight w:val="none"/>
                <w14:textFill>
                  <w14:solidFill>
                    <w14:schemeClr w14:val="tx1"/>
                  </w14:solidFill>
                </w14:textFill>
              </w:rPr>
              <w:t>设备运输和安装</w:t>
            </w:r>
            <w:r>
              <w:rPr>
                <w:rFonts w:hint="eastAsia" w:ascii="Times New Roman" w:hAnsi="Times New Roman"/>
                <w:color w:val="000000" w:themeColor="text1"/>
                <w:sz w:val="24"/>
                <w:szCs w:val="20"/>
                <w:highlight w:val="none"/>
                <w14:textFill>
                  <w14:solidFill>
                    <w14:schemeClr w14:val="tx1"/>
                  </w14:solidFill>
                </w14:textFill>
              </w:rPr>
              <w:t>。施工扬尘主要产生于</w:t>
            </w:r>
            <w:r>
              <w:rPr>
                <w:rFonts w:hint="eastAsia" w:hAnsi="Times New Roman"/>
                <w:color w:val="000000" w:themeColor="text1"/>
                <w:sz w:val="24"/>
                <w:szCs w:val="20"/>
                <w:highlight w:val="none"/>
                <w14:textFill>
                  <w14:solidFill>
                    <w14:schemeClr w14:val="tx1"/>
                  </w14:solidFill>
                </w14:textFill>
              </w:rPr>
              <w:t>地面防渗措施施工、设备运输和安装</w:t>
            </w:r>
            <w:r>
              <w:rPr>
                <w:rFonts w:hint="eastAsia" w:ascii="Times New Roman" w:hAnsi="Times New Roman"/>
                <w:color w:val="000000" w:themeColor="text1"/>
                <w:sz w:val="24"/>
                <w:szCs w:val="20"/>
                <w:highlight w:val="none"/>
                <w14:textFill>
                  <w14:solidFill>
                    <w14:schemeClr w14:val="tx1"/>
                  </w14:solidFill>
                </w14:textFill>
              </w:rPr>
              <w:t>，以及施工材料的运输和堆放等过程。施工产生的扬尘的主要污染因子为TSP。</w:t>
            </w:r>
          </w:p>
          <w:p w14:paraId="153F3A79">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施工期废气主要包括土方施工扬尘、设备运输扬尘及施工机械尾气。根据施工总平面布置，项目最近环境敏感点为王岗屯村、云集村。施工扬尘主要影响范围在200m内，敏感点位于影响范围外。</w:t>
            </w:r>
          </w:p>
          <w:p w14:paraId="053333E2">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对于施工期所产生的扬尘废气，项目将严格按照《防治城市扬尘污染技术规范》（</w:t>
            </w:r>
            <w:r>
              <w:rPr>
                <w:rFonts w:hint="default"/>
                <w:color w:val="000000" w:themeColor="text1"/>
                <w:sz w:val="24"/>
                <w:szCs w:val="20"/>
                <w:highlight w:val="none"/>
                <w14:textFill>
                  <w14:solidFill>
                    <w14:schemeClr w14:val="tx1"/>
                  </w14:solidFill>
                </w14:textFill>
              </w:rPr>
              <w:t>HJ/T393-2007</w:t>
            </w:r>
            <w:r>
              <w:rPr>
                <w:rFonts w:hint="eastAsia"/>
                <w:color w:val="000000" w:themeColor="text1"/>
                <w:sz w:val="24"/>
                <w:szCs w:val="20"/>
                <w:highlight w:val="none"/>
                <w14:textFill>
                  <w14:solidFill>
                    <w14:schemeClr w14:val="tx1"/>
                  </w14:solidFill>
                </w14:textFill>
              </w:rPr>
              <w:t>）及《环境空气细颗粒物污染防治技术政策》（环保部公告</w:t>
            </w:r>
            <w:r>
              <w:rPr>
                <w:rFonts w:hint="default"/>
                <w:color w:val="000000" w:themeColor="text1"/>
                <w:sz w:val="24"/>
                <w:szCs w:val="20"/>
                <w:highlight w:val="none"/>
                <w14:textFill>
                  <w14:solidFill>
                    <w14:schemeClr w14:val="tx1"/>
                  </w14:solidFill>
                </w14:textFill>
              </w:rPr>
              <w:t>2013</w:t>
            </w:r>
            <w:r>
              <w:rPr>
                <w:rFonts w:hint="eastAsia"/>
                <w:color w:val="000000" w:themeColor="text1"/>
                <w:sz w:val="24"/>
                <w:szCs w:val="20"/>
                <w:highlight w:val="none"/>
                <w:lang w:eastAsia="zh-CN"/>
                <w14:textFill>
                  <w14:solidFill>
                    <w14:schemeClr w14:val="tx1"/>
                  </w14:solidFill>
                </w14:textFill>
              </w:rPr>
              <w:t>年第</w:t>
            </w:r>
            <w:r>
              <w:rPr>
                <w:rFonts w:hint="default"/>
                <w:color w:val="000000" w:themeColor="text1"/>
                <w:sz w:val="24"/>
                <w:szCs w:val="20"/>
                <w:highlight w:val="none"/>
                <w14:textFill>
                  <w14:solidFill>
                    <w14:schemeClr w14:val="tx1"/>
                  </w14:solidFill>
                </w14:textFill>
              </w:rPr>
              <w:t>59</w:t>
            </w:r>
            <w:r>
              <w:rPr>
                <w:rFonts w:hint="eastAsia"/>
                <w:color w:val="000000" w:themeColor="text1"/>
                <w:sz w:val="24"/>
                <w:szCs w:val="20"/>
                <w:highlight w:val="none"/>
                <w14:textFill>
                  <w14:solidFill>
                    <w14:schemeClr w14:val="tx1"/>
                  </w14:solidFill>
                </w14:textFill>
              </w:rPr>
              <w:t>号）等国家及地方要求采取相应的处理措施：</w:t>
            </w:r>
          </w:p>
          <w:p w14:paraId="1A52CDA9">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①防尘污染重在加强管理，施工队伍现场作业必须明确环保责任，主管部门要加强管理和监理。安排员工定期对施工场地洒水以减少扬尘的飞扬；</w:t>
            </w:r>
          </w:p>
          <w:p w14:paraId="69F8F7A7">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②</w:t>
            </w:r>
            <w:r>
              <w:rPr>
                <w:rFonts w:hint="default"/>
                <w:color w:val="000000" w:themeColor="text1"/>
                <w:sz w:val="24"/>
                <w:szCs w:val="20"/>
                <w:highlight w:val="none"/>
                <w:lang w:val="zh-CN"/>
                <w14:textFill>
                  <w14:solidFill>
                    <w14:schemeClr w14:val="tx1"/>
                  </w14:solidFill>
                </w14:textFill>
              </w:rPr>
              <w:t>产生的施工废弃物应及时清运，</w:t>
            </w:r>
            <w:r>
              <w:rPr>
                <w:rFonts w:hint="eastAsia"/>
                <w:color w:val="000000" w:themeColor="text1"/>
                <w:sz w:val="24"/>
                <w:szCs w:val="20"/>
                <w:highlight w:val="none"/>
                <w14:textFill>
                  <w14:solidFill>
                    <w14:schemeClr w14:val="tx1"/>
                  </w14:solidFill>
                </w14:textFill>
              </w:rPr>
              <w:t>合理布设施工作业场地，作业场地按施工规划应设置在施工场地内，并尽量远离敏感保护目标；</w:t>
            </w:r>
          </w:p>
          <w:p w14:paraId="46F917D7">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fldChar w:fldCharType="begin"/>
            </w:r>
            <w:r>
              <w:rPr>
                <w:rFonts w:hint="default"/>
                <w:color w:val="000000" w:themeColor="text1"/>
                <w:sz w:val="24"/>
                <w:szCs w:val="20"/>
                <w:highlight w:val="none"/>
                <w14:textFill>
                  <w14:solidFill>
                    <w14:schemeClr w14:val="tx1"/>
                  </w14:solidFill>
                </w14:textFill>
              </w:rPr>
              <w:instrText xml:space="preserve">= 3 \* GB3</w:instrText>
            </w:r>
            <w:r>
              <w:rPr>
                <w:rFonts w:hint="default"/>
                <w:color w:val="000000" w:themeColor="text1"/>
                <w:sz w:val="24"/>
                <w:szCs w:val="20"/>
                <w:highlight w:val="none"/>
                <w14:textFill>
                  <w14:solidFill>
                    <w14:schemeClr w14:val="tx1"/>
                  </w14:solidFill>
                </w14:textFill>
              </w:rPr>
              <w:fldChar w:fldCharType="separate"/>
            </w:r>
            <w:r>
              <w:rPr>
                <w:rFonts w:hint="eastAsia"/>
                <w:color w:val="000000" w:themeColor="text1"/>
                <w:sz w:val="24"/>
                <w:szCs w:val="20"/>
                <w:highlight w:val="none"/>
                <w14:textFill>
                  <w14:solidFill>
                    <w14:schemeClr w14:val="tx1"/>
                  </w14:solidFill>
                </w14:textFill>
              </w:rPr>
              <w:t>③</w:t>
            </w:r>
            <w:r>
              <w:rPr>
                <w:rFonts w:hint="default"/>
                <w:color w:val="000000" w:themeColor="text1"/>
                <w:sz w:val="24"/>
                <w:szCs w:val="20"/>
                <w:highlight w:val="none"/>
                <w14:textFill>
                  <w14:solidFill>
                    <w14:schemeClr w14:val="tx1"/>
                  </w14:solidFill>
                </w14:textFill>
              </w:rPr>
              <w:fldChar w:fldCharType="end"/>
            </w:r>
            <w:r>
              <w:rPr>
                <w:rFonts w:hint="eastAsia"/>
                <w:color w:val="000000" w:themeColor="text1"/>
                <w:sz w:val="24"/>
                <w:szCs w:val="20"/>
                <w:highlight w:val="none"/>
                <w14:textFill>
                  <w14:solidFill>
                    <w14:schemeClr w14:val="tx1"/>
                  </w14:solidFill>
                </w14:textFill>
              </w:rPr>
              <w:t>严格管理运输车辆，对运输车辆实行限速、限制超载，并采取篷布覆盖等措施；</w:t>
            </w:r>
          </w:p>
          <w:p w14:paraId="554008A8">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④优化项目区运输道路，并定时对运输线路进行清扫、冲洗及洒水作业，以减少道路扬尘；</w:t>
            </w:r>
          </w:p>
          <w:p w14:paraId="02250FE3">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⑤施工期环保对策措施的执行与落实纳入施工监理专项工作，设专人负责施工期环保管理和对策措施执行情况及效果巡查，发现环境污染、</w:t>
            </w:r>
            <w:r>
              <w:rPr>
                <w:rFonts w:hint="eastAsia"/>
                <w:color w:val="000000" w:themeColor="text1"/>
                <w:sz w:val="24"/>
                <w:szCs w:val="20"/>
                <w:highlight w:val="none"/>
                <w:lang w:eastAsia="zh-CN"/>
                <w14:textFill>
                  <w14:solidFill>
                    <w14:schemeClr w14:val="tx1"/>
                  </w14:solidFill>
                </w14:textFill>
              </w:rPr>
              <w:t>投诉</w:t>
            </w:r>
            <w:r>
              <w:rPr>
                <w:rFonts w:hint="eastAsia"/>
                <w:color w:val="000000" w:themeColor="text1"/>
                <w:sz w:val="24"/>
                <w:szCs w:val="20"/>
                <w:highlight w:val="none"/>
                <w14:textFill>
                  <w14:solidFill>
                    <w14:schemeClr w14:val="tx1"/>
                  </w14:solidFill>
                </w14:textFill>
              </w:rPr>
              <w:t>和纠纷等问题，要及时上报并</w:t>
            </w:r>
            <w:r>
              <w:rPr>
                <w:rFonts w:hint="eastAsia"/>
                <w:color w:val="000000" w:themeColor="text1"/>
                <w:sz w:val="24"/>
                <w:szCs w:val="20"/>
                <w:highlight w:val="none"/>
                <w:lang w:eastAsia="zh-CN"/>
                <w14:textFill>
                  <w14:solidFill>
                    <w14:schemeClr w14:val="tx1"/>
                  </w14:solidFill>
                </w14:textFill>
              </w:rPr>
              <w:t>妥善</w:t>
            </w:r>
            <w:r>
              <w:rPr>
                <w:rFonts w:hint="eastAsia"/>
                <w:color w:val="000000" w:themeColor="text1"/>
                <w:sz w:val="24"/>
                <w:szCs w:val="20"/>
                <w:highlight w:val="none"/>
                <w14:textFill>
                  <w14:solidFill>
                    <w14:schemeClr w14:val="tx1"/>
                  </w14:solidFill>
                </w14:textFill>
              </w:rPr>
              <w:t>合理解决。</w:t>
            </w:r>
          </w:p>
          <w:p w14:paraId="14CE09EB">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0"/>
                <w:highlight w:val="none"/>
                <w:lang w:val="zh-CN"/>
                <w14:textFill>
                  <w14:solidFill>
                    <w14:schemeClr w14:val="tx1"/>
                  </w14:solidFill>
                </w14:textFill>
              </w:rPr>
            </w:pPr>
            <w:r>
              <w:rPr>
                <w:rFonts w:hint="default"/>
                <w:color w:val="000000" w:themeColor="text1"/>
                <w:sz w:val="24"/>
                <w:szCs w:val="20"/>
                <w:highlight w:val="none"/>
                <w14:textFill>
                  <w14:solidFill>
                    <w14:schemeClr w14:val="tx1"/>
                  </w14:solidFill>
                </w14:textFill>
              </w:rPr>
              <w:t>综上</w:t>
            </w:r>
            <w:r>
              <w:rPr>
                <w:rFonts w:hint="eastAsia"/>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建设单位</w:t>
            </w:r>
            <w:r>
              <w:rPr>
                <w:rFonts w:hint="eastAsia"/>
                <w:color w:val="000000" w:themeColor="text1"/>
                <w:sz w:val="24"/>
                <w:szCs w:val="20"/>
                <w:highlight w:val="none"/>
                <w14:textFill>
                  <w14:solidFill>
                    <w14:schemeClr w14:val="tx1"/>
                  </w14:solidFill>
                </w14:textFill>
              </w:rPr>
              <w:t>通过采取合理有效的环保措施，可最大限度地</w:t>
            </w:r>
            <w:r>
              <w:rPr>
                <w:rFonts w:hint="eastAsia"/>
                <w:color w:val="000000" w:themeColor="text1"/>
                <w:sz w:val="24"/>
                <w:szCs w:val="20"/>
                <w:highlight w:val="none"/>
                <w:lang w:eastAsia="zh-CN"/>
                <w14:textFill>
                  <w14:solidFill>
                    <w14:schemeClr w14:val="tx1"/>
                  </w14:solidFill>
                </w14:textFill>
              </w:rPr>
              <w:t>减少</w:t>
            </w:r>
            <w:r>
              <w:rPr>
                <w:rFonts w:hint="eastAsia"/>
                <w:color w:val="000000" w:themeColor="text1"/>
                <w:sz w:val="24"/>
                <w:szCs w:val="20"/>
                <w:highlight w:val="none"/>
                <w14:textFill>
                  <w14:solidFill>
                    <w14:schemeClr w14:val="tx1"/>
                  </w14:solidFill>
                </w14:textFill>
              </w:rPr>
              <w:t>扬尘等大气污染物对周围环境敏感点及周围环境空气质量的污染影响，达到环境可接受要求。且</w:t>
            </w:r>
            <w:r>
              <w:rPr>
                <w:rFonts w:hint="default"/>
                <w:color w:val="000000" w:themeColor="text1"/>
                <w:sz w:val="24"/>
                <w:szCs w:val="20"/>
                <w:highlight w:val="none"/>
                <w14:textFill>
                  <w14:solidFill>
                    <w14:schemeClr w14:val="tx1"/>
                  </w14:solidFill>
                </w14:textFill>
              </w:rPr>
              <w:t>项目工程量较小，施工期扬尘影响不大</w:t>
            </w:r>
            <w:r>
              <w:rPr>
                <w:rFonts w:hint="eastAsia" w:ascii="Times New Roman" w:hAnsi="Times New Roman"/>
                <w:color w:val="000000" w:themeColor="text1"/>
                <w:sz w:val="24"/>
                <w:szCs w:val="20"/>
                <w:highlight w:val="none"/>
                <w:lang w:val="zh-CN"/>
                <w14:textFill>
                  <w14:solidFill>
                    <w14:schemeClr w14:val="tx1"/>
                  </w14:solidFill>
                </w14:textFill>
              </w:rPr>
              <w:t>，且随施工期结束而结束。</w:t>
            </w:r>
            <w:r>
              <w:rPr>
                <w:rFonts w:hint="eastAsia" w:ascii="Times New Roman"/>
                <w:color w:val="000000" w:themeColor="text1"/>
                <w:sz w:val="24"/>
                <w:szCs w:val="20"/>
                <w:highlight w:val="none"/>
                <w14:textFill>
                  <w14:solidFill>
                    <w14:schemeClr w14:val="tx1"/>
                  </w14:solidFill>
                </w14:textFill>
              </w:rPr>
              <w:t>施工扬尘可达《大气污染物综</w:t>
            </w:r>
            <w:r>
              <w:rPr>
                <w:rFonts w:hint="eastAsia" w:ascii="Times New Roman" w:hAnsi="Times New Roman"/>
                <w:color w:val="000000" w:themeColor="text1"/>
                <w:sz w:val="24"/>
                <w:szCs w:val="20"/>
                <w:highlight w:val="none"/>
                <w14:textFill>
                  <w14:solidFill>
                    <w14:schemeClr w14:val="tx1"/>
                  </w14:solidFill>
                </w14:textFill>
              </w:rPr>
              <w:t>合排放标准》（GB16297-1996）中的无</w:t>
            </w:r>
            <w:r>
              <w:rPr>
                <w:rFonts w:hint="eastAsia" w:ascii="Times New Roman"/>
                <w:color w:val="000000" w:themeColor="text1"/>
                <w:sz w:val="24"/>
                <w:szCs w:val="20"/>
                <w:highlight w:val="none"/>
                <w14:textFill>
                  <w14:solidFill>
                    <w14:schemeClr w14:val="tx1"/>
                  </w14:solidFill>
                </w14:textFill>
              </w:rPr>
              <w:t>组织排放监控浓度限值要求。</w:t>
            </w:r>
          </w:p>
          <w:p w14:paraId="29709193">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hAnsi="Times New Roman"/>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2</w:t>
            </w:r>
            <w:r>
              <w:rPr>
                <w:rFonts w:hint="eastAsia" w:hAnsi="Times New Roman"/>
                <w:color w:val="000000" w:themeColor="text1"/>
                <w:sz w:val="24"/>
                <w:szCs w:val="20"/>
                <w:highlight w:val="none"/>
                <w14:textFill>
                  <w14:solidFill>
                    <w14:schemeClr w14:val="tx1"/>
                  </w14:solidFill>
                </w14:textFill>
              </w:rPr>
              <w:t>）施工机械、运输车辆产生的废气对环境的影响分析</w:t>
            </w:r>
          </w:p>
          <w:p w14:paraId="1F7D4F39">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lang w:val="zh-CN"/>
                <w14:textFill>
                  <w14:solidFill>
                    <w14:schemeClr w14:val="tx1"/>
                  </w14:solidFill>
                </w14:textFill>
              </w:rPr>
              <w:t>施工机械废气集中产生于项目施工的初期阶段，</w:t>
            </w:r>
            <w:r>
              <w:rPr>
                <w:rFonts w:hint="eastAsia" w:hAnsi="Times New Roman"/>
                <w:color w:val="000000" w:themeColor="text1"/>
                <w:sz w:val="24"/>
                <w:szCs w:val="20"/>
                <w:highlight w:val="none"/>
                <w14:textFill>
                  <w14:solidFill>
                    <w14:schemeClr w14:val="tx1"/>
                  </w14:solidFill>
                </w14:textFill>
              </w:rPr>
              <w:t>施工机械和运输车辆，使用燃油作为能源，在运行时排放的废气会对环境产生一定的影响。废气包括的污染物主要是</w:t>
            </w:r>
            <w:r>
              <w:rPr>
                <w:rFonts w:hint="eastAsia"/>
                <w:color w:val="000000" w:themeColor="text1"/>
                <w:sz w:val="24"/>
                <w:szCs w:val="20"/>
                <w:highlight w:val="none"/>
                <w:lang w:val="en-GB"/>
                <w14:textFill>
                  <w14:solidFill>
                    <w14:schemeClr w14:val="tx1"/>
                  </w14:solidFill>
                </w14:textFill>
              </w:rPr>
              <w:t>NO</w:t>
            </w:r>
            <w:r>
              <w:rPr>
                <w:rFonts w:hint="eastAsia"/>
                <w:color w:val="000000" w:themeColor="text1"/>
                <w:sz w:val="24"/>
                <w:szCs w:val="20"/>
                <w:highlight w:val="none"/>
                <w:vertAlign w:val="subscript"/>
                <w:lang w:val="en-GB"/>
                <w14:textFill>
                  <w14:solidFill>
                    <w14:schemeClr w14:val="tx1"/>
                  </w14:solidFill>
                </w14:textFill>
              </w:rPr>
              <w:t>X</w:t>
            </w:r>
            <w:r>
              <w:rPr>
                <w:rFonts w:hint="eastAsia" w:hAnsi="Times New Roman"/>
                <w:color w:val="000000" w:themeColor="text1"/>
                <w:sz w:val="24"/>
                <w:szCs w:val="20"/>
                <w:highlight w:val="none"/>
                <w:lang w:val="en-GB"/>
                <w14:textFill>
                  <w14:solidFill>
                    <w14:schemeClr w14:val="tx1"/>
                  </w14:solidFill>
                </w14:textFill>
              </w:rPr>
              <w:t>、</w:t>
            </w:r>
            <w:r>
              <w:rPr>
                <w:rFonts w:hint="eastAsia"/>
                <w:color w:val="000000" w:themeColor="text1"/>
                <w:sz w:val="24"/>
                <w:szCs w:val="20"/>
                <w:highlight w:val="none"/>
                <w:lang w:val="en-GB"/>
                <w14:textFill>
                  <w14:solidFill>
                    <w14:schemeClr w14:val="tx1"/>
                  </w14:solidFill>
                </w14:textFill>
              </w:rPr>
              <w:t>CO</w:t>
            </w:r>
            <w:r>
              <w:rPr>
                <w:rFonts w:hint="eastAsia" w:hAnsi="Times New Roman"/>
                <w:color w:val="000000" w:themeColor="text1"/>
                <w:sz w:val="24"/>
                <w:szCs w:val="20"/>
                <w:highlight w:val="none"/>
                <w:lang w:val="en-GB"/>
                <w14:textFill>
                  <w14:solidFill>
                    <w14:schemeClr w14:val="tx1"/>
                  </w14:solidFill>
                </w14:textFill>
              </w:rPr>
              <w:t>、</w:t>
            </w:r>
            <w:r>
              <w:rPr>
                <w:rFonts w:hint="eastAsia"/>
                <w:bCs w:val="0"/>
                <w:color w:val="000000" w:themeColor="text1"/>
                <w:sz w:val="24"/>
                <w:szCs w:val="20"/>
                <w:highlight w:val="none"/>
                <w14:textFill>
                  <w14:solidFill>
                    <w14:schemeClr w14:val="tx1"/>
                  </w14:solidFill>
                </w14:textFill>
              </w:rPr>
              <w:t>CH</w:t>
            </w:r>
            <w:r>
              <w:rPr>
                <w:rFonts w:hint="eastAsia"/>
                <w:bCs w:val="0"/>
                <w:color w:val="000000" w:themeColor="text1"/>
                <w:sz w:val="24"/>
                <w:szCs w:val="20"/>
                <w:highlight w:val="none"/>
                <w:vertAlign w:val="baseline"/>
                <w14:textFill>
                  <w14:solidFill>
                    <w14:schemeClr w14:val="tx1"/>
                  </w14:solidFill>
                </w14:textFill>
              </w:rPr>
              <w:t>x</w:t>
            </w:r>
            <w:r>
              <w:rPr>
                <w:rFonts w:hint="eastAsia" w:hAnsi="Times New Roman"/>
                <w:color w:val="000000" w:themeColor="text1"/>
                <w:sz w:val="24"/>
                <w:szCs w:val="20"/>
                <w:highlight w:val="none"/>
                <w14:textFill>
                  <w14:solidFill>
                    <w14:schemeClr w14:val="tx1"/>
                  </w14:solidFill>
                </w14:textFill>
              </w:rPr>
              <w:t>等，其产生量及废气中污染物浓度视其使用频率及发动机对燃料的燃烧情况而异。</w:t>
            </w:r>
          </w:p>
          <w:p w14:paraId="300772D4">
            <w:pPr>
              <w:keepNext w:val="0"/>
              <w:keepLines w:val="0"/>
              <w:suppressLineNumbers w:val="0"/>
              <w:adjustRightInd w:val="0"/>
              <w:snapToGrid w:val="0"/>
              <w:spacing w:before="0" w:beforeAutospacing="0" w:after="0" w:afterAutospacing="0" w:line="360" w:lineRule="auto"/>
              <w:ind w:left="0" w:right="0" w:firstLine="480" w:firstLineChars="200"/>
              <w:rPr>
                <w:rFonts w:hint="eastAsia" w:hAnsi="Times New Roman"/>
                <w:color w:val="000000" w:themeColor="text1"/>
                <w:sz w:val="24"/>
                <w:szCs w:val="20"/>
                <w:highlight w:val="none"/>
                <w14:textFill>
                  <w14:solidFill>
                    <w14:schemeClr w14:val="tx1"/>
                  </w14:solidFill>
                </w14:textFill>
              </w:rPr>
            </w:pPr>
            <w:r>
              <w:rPr>
                <w:rFonts w:hint="eastAsia" w:hAnsi="Times New Roman"/>
                <w:color w:val="000000" w:themeColor="text1"/>
                <w:sz w:val="24"/>
                <w:szCs w:val="20"/>
                <w:highlight w:val="none"/>
                <w14:textFill>
                  <w14:solidFill>
                    <w14:schemeClr w14:val="tx1"/>
                  </w14:solidFill>
                </w14:textFill>
              </w:rPr>
              <w:t>由于施工机械废气属低架点源无组织排放性质，具有间断性产生、产生量较小、产生点相对分散、易被稀释扩散等特点，加之项目区施工范围相对较大，施工场地周围较空旷，大气扩散条件相对较好，故一般情况下，施工机械和运输车辆所产生污染在空气中经自然扩散和稀释后，对评价区域的空气环境质量影响不大。</w:t>
            </w:r>
          </w:p>
          <w:p w14:paraId="0FFD6C6B">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为尽量降低施工机械尾气产生的影响，评价要求采取以下措施：</w:t>
            </w:r>
          </w:p>
          <w:p w14:paraId="02CBF968">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①</w:t>
            </w:r>
            <w:r>
              <w:rPr>
                <w:rFonts w:hint="default"/>
                <w:color w:val="000000" w:themeColor="text1"/>
                <w:sz w:val="24"/>
                <w:szCs w:val="20"/>
                <w:highlight w:val="none"/>
                <w14:textFill>
                  <w14:solidFill>
                    <w14:schemeClr w14:val="tx1"/>
                  </w14:solidFill>
                </w14:textFill>
              </w:rPr>
              <w:t>通过加强对施工车辆的检修和维护，严禁使用超期服役和尾气超标的车辆。</w:t>
            </w:r>
          </w:p>
          <w:p w14:paraId="1EA1313E">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②</w:t>
            </w:r>
            <w:r>
              <w:rPr>
                <w:rFonts w:hint="default"/>
                <w:color w:val="000000" w:themeColor="text1"/>
                <w:sz w:val="24"/>
                <w:szCs w:val="20"/>
                <w:highlight w:val="none"/>
                <w14:textFill>
                  <w14:solidFill>
                    <w14:schemeClr w14:val="tx1"/>
                  </w14:solidFill>
                </w14:textFill>
              </w:rPr>
              <w:t>对施工期间进出施工现场车流量进行合理安排，防止施工现场车流量过大。</w:t>
            </w:r>
          </w:p>
          <w:p w14:paraId="3C0348E8">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③</w:t>
            </w:r>
            <w:r>
              <w:rPr>
                <w:rFonts w:hint="default"/>
                <w:color w:val="000000" w:themeColor="text1"/>
                <w:sz w:val="24"/>
                <w:szCs w:val="20"/>
                <w:highlight w:val="none"/>
                <w14:textFill>
                  <w14:solidFill>
                    <w14:schemeClr w14:val="tx1"/>
                  </w14:solidFill>
                </w14:textFill>
              </w:rPr>
              <w:t>尽可</w:t>
            </w:r>
            <w:r>
              <w:rPr>
                <w:rFonts w:hint="eastAsia"/>
                <w:color w:val="000000" w:themeColor="text1"/>
                <w:sz w:val="24"/>
                <w:szCs w:val="20"/>
                <w:highlight w:val="none"/>
                <w:lang w:val="zh-CN"/>
                <w14:textFill>
                  <w14:solidFill>
                    <w14:schemeClr w14:val="tx1"/>
                  </w14:solidFill>
                </w14:textFill>
              </w:rPr>
              <w:t>能使用耗油低，排气小的施工车辆，选用优质燃油，减少机械和车辆的有害废气排放。</w:t>
            </w:r>
          </w:p>
          <w:p w14:paraId="7E3A320B">
            <w:pPr>
              <w:keepNext w:val="0"/>
              <w:keepLines w:val="0"/>
              <w:suppressLineNumbers w:val="0"/>
              <w:adjustRightInd w:val="0"/>
              <w:snapToGrid w:val="0"/>
              <w:spacing w:before="0" w:beforeAutospacing="0" w:after="0" w:afterAutospacing="0" w:line="360" w:lineRule="auto"/>
              <w:ind w:left="0" w:right="0" w:firstLine="480" w:firstLineChars="200"/>
              <w:rPr>
                <w:rFonts w:hint="default" w:hAnsi="宋体"/>
                <w:color w:val="000000" w:themeColor="text1"/>
                <w:sz w:val="24"/>
                <w:szCs w:val="22"/>
                <w:highlight w:val="none"/>
                <w14:textFill>
                  <w14:solidFill>
                    <w14:schemeClr w14:val="tx1"/>
                  </w14:solidFill>
                </w14:textFill>
              </w:rPr>
            </w:pPr>
            <w:r>
              <w:rPr>
                <w:rFonts w:hint="eastAsia" w:hAnsi="Times New Roman"/>
                <w:color w:val="000000" w:themeColor="text1"/>
                <w:sz w:val="24"/>
                <w:szCs w:val="20"/>
                <w:highlight w:val="none"/>
                <w14:textFill>
                  <w14:solidFill>
                    <w14:schemeClr w14:val="tx1"/>
                  </w14:solidFill>
                </w14:textFill>
              </w:rPr>
              <w:t>综上所述，施工期扬尘、施工机械及汽车尾气对环境空气的影响都属短期的、非连续性的影响。通过合理安排施工进度，缩短基础建设持续时间，采取</w:t>
            </w:r>
            <w:r>
              <w:rPr>
                <w:rFonts w:hint="default" w:hAnsi="宋体"/>
                <w:color w:val="000000" w:themeColor="text1"/>
                <w:sz w:val="24"/>
                <w:szCs w:val="22"/>
                <w:highlight w:val="none"/>
                <w14:textFill>
                  <w14:solidFill>
                    <w14:schemeClr w14:val="tx1"/>
                  </w14:solidFill>
                </w14:textFill>
              </w:rPr>
              <w:t>一定防治措施后，可有效减轻施工期对周围环境空气的不利影响。</w:t>
            </w:r>
          </w:p>
          <w:p w14:paraId="082D5F56">
            <w:pPr>
              <w:keepNext w:val="0"/>
              <w:keepLines w:val="0"/>
              <w:suppressLineNumbers w:val="0"/>
              <w:spacing w:before="0" w:beforeAutospacing="0" w:after="0" w:afterAutospacing="0" w:line="360" w:lineRule="auto"/>
              <w:ind w:left="0" w:right="0" w:firstLine="562" w:firstLineChars="200"/>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4.2</w:t>
            </w:r>
            <w:r>
              <w:rPr>
                <w:rFonts w:hint="default" w:hAnsi="宋体"/>
                <w:b/>
                <w:color w:val="000000" w:themeColor="text1"/>
                <w:sz w:val="28"/>
                <w:szCs w:val="28"/>
                <w:highlight w:val="none"/>
                <w14:textFill>
                  <w14:solidFill>
                    <w14:schemeClr w14:val="tx1"/>
                  </w14:solidFill>
                </w14:textFill>
              </w:rPr>
              <w:t>噪声影响</w:t>
            </w:r>
            <w:r>
              <w:rPr>
                <w:rFonts w:hint="eastAsia" w:hAnsi="宋体"/>
                <w:b/>
                <w:color w:val="000000" w:themeColor="text1"/>
                <w:sz w:val="28"/>
                <w:szCs w:val="28"/>
                <w:highlight w:val="none"/>
                <w14:textFill>
                  <w14:solidFill>
                    <w14:schemeClr w14:val="tx1"/>
                  </w14:solidFill>
                </w14:textFill>
              </w:rPr>
              <w:t>和</w:t>
            </w:r>
            <w:r>
              <w:rPr>
                <w:rFonts w:hint="default" w:hAnsi="宋体"/>
                <w:b/>
                <w:color w:val="000000" w:themeColor="text1"/>
                <w:sz w:val="28"/>
                <w:szCs w:val="28"/>
                <w:highlight w:val="none"/>
                <w14:textFill>
                  <w14:solidFill>
                    <w14:schemeClr w14:val="tx1"/>
                  </w14:solidFill>
                </w14:textFill>
              </w:rPr>
              <w:t>保护措施</w:t>
            </w:r>
          </w:p>
          <w:p w14:paraId="0C71AF7A">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本项目施工期仅5</w:t>
            </w:r>
            <w:r>
              <w:rPr>
                <w:rFonts w:hint="eastAsia"/>
                <w:color w:val="000000" w:themeColor="text1"/>
                <w:sz w:val="24"/>
                <w:szCs w:val="20"/>
                <w:highlight w:val="none"/>
                <w:lang w:eastAsia="zh-CN"/>
                <w14:textFill>
                  <w14:solidFill>
                    <w14:schemeClr w14:val="tx1"/>
                  </w14:solidFill>
                </w14:textFill>
              </w:rPr>
              <w:t>～</w:t>
            </w:r>
            <w:r>
              <w:rPr>
                <w:rFonts w:hint="eastAsia"/>
                <w:color w:val="000000" w:themeColor="text1"/>
                <w:sz w:val="24"/>
                <w:szCs w:val="20"/>
                <w:highlight w:val="none"/>
                <w14:textFill>
                  <w14:solidFill>
                    <w14:schemeClr w14:val="tx1"/>
                  </w14:solidFill>
                </w14:textFill>
              </w:rPr>
              <w:t>10天（设备安装及场地准备），</w:t>
            </w:r>
            <w:r>
              <w:rPr>
                <w:rFonts w:hint="eastAsia"/>
                <w:color w:val="000000" w:themeColor="text1"/>
                <w:sz w:val="24"/>
                <w:szCs w:val="20"/>
                <w:highlight w:val="none"/>
                <w:lang w:val="en-US" w:eastAsia="zh-CN"/>
                <w14:textFill>
                  <w14:solidFill>
                    <w14:schemeClr w14:val="tx1"/>
                  </w14:solidFill>
                </w14:textFill>
              </w:rPr>
              <w:t>300</w:t>
            </w:r>
            <w:r>
              <w:rPr>
                <w:rFonts w:hint="eastAsia"/>
                <w:color w:val="000000" w:themeColor="text1"/>
                <w:sz w:val="24"/>
                <w:szCs w:val="20"/>
                <w:highlight w:val="none"/>
                <w14:textFill>
                  <w14:solidFill>
                    <w14:schemeClr w14:val="tx1"/>
                  </w14:solidFill>
                </w14:textFill>
              </w:rPr>
              <w:t>天磷石膏改性生产属于运营期，不纳入施工期环境影响分析。施工期噪声主要来源于施工机械作业噪声和施工车辆噪声，根据现场踏勘，本项目</w:t>
            </w:r>
            <w:r>
              <w:rPr>
                <w:rFonts w:hint="eastAsia"/>
                <w:color w:val="000000" w:themeColor="text1"/>
                <w:sz w:val="24"/>
                <w:szCs w:val="20"/>
                <w:highlight w:val="none"/>
                <w:lang w:eastAsia="zh-CN"/>
                <w14:textFill>
                  <w14:solidFill>
                    <w14:schemeClr w14:val="tx1"/>
                  </w14:solidFill>
                </w14:textFill>
              </w:rPr>
              <w:t>周边</w:t>
            </w:r>
            <w:r>
              <w:rPr>
                <w:rFonts w:hint="eastAsia"/>
                <w:color w:val="000000" w:themeColor="text1"/>
                <w:sz w:val="24"/>
                <w:szCs w:val="20"/>
                <w:highlight w:val="none"/>
                <w14:textFill>
                  <w14:solidFill>
                    <w14:schemeClr w14:val="tx1"/>
                  </w14:solidFill>
                </w14:textFill>
              </w:rPr>
              <w:t>50m范围内无声环境敏感目标。为减缓施工噪声的影响，本环评提出如下措施：</w:t>
            </w:r>
          </w:p>
          <w:p w14:paraId="7A4AD254">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①</w:t>
            </w:r>
            <w:r>
              <w:rPr>
                <w:rFonts w:hint="default"/>
                <w:color w:val="000000" w:themeColor="text1"/>
                <w:sz w:val="24"/>
                <w:szCs w:val="20"/>
                <w:highlight w:val="none"/>
                <w14:textFill>
                  <w14:solidFill>
                    <w14:schemeClr w14:val="tx1"/>
                  </w14:solidFill>
                </w14:textFill>
              </w:rPr>
              <w:t>合理安排施工机械布置和高噪声机械设备使用时间，错峰使用；</w:t>
            </w:r>
          </w:p>
          <w:p w14:paraId="55C2026D">
            <w:pPr>
              <w:keepNext w:val="0"/>
              <w:keepLines w:val="0"/>
              <w:suppressLineNumbers w:val="0"/>
              <w:spacing w:before="0" w:beforeAutospacing="0" w:after="0" w:afterAutospacing="0" w:line="360" w:lineRule="auto"/>
              <w:ind w:left="0" w:right="0" w:firstLine="480" w:firstLineChars="200"/>
              <w:rPr>
                <w:rFonts w:hint="default"/>
                <w:color w:val="000000" w:themeColor="text1"/>
                <w:sz w:val="20"/>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②严禁</w:t>
            </w:r>
            <w:r>
              <w:rPr>
                <w:rFonts w:hint="eastAsia" w:ascii="宋体" w:hAnsi="宋体" w:cs="宋体"/>
                <w:color w:val="000000" w:themeColor="text1"/>
                <w:sz w:val="24"/>
                <w:szCs w:val="24"/>
                <w:highlight w:val="none"/>
                <w:lang w:bidi="ar"/>
                <w14:textFill>
                  <w14:solidFill>
                    <w14:schemeClr w14:val="tx1"/>
                  </w14:solidFill>
                </w14:textFill>
              </w:rPr>
              <w:t>夜间施工，若必须进行夜间作业，需按要求提前向主管部门申请，</w:t>
            </w:r>
            <w:r>
              <w:rPr>
                <w:rFonts w:hint="eastAsia" w:ascii="宋体" w:hAnsi="宋体" w:cs="宋体"/>
                <w:color w:val="000000" w:themeColor="text1"/>
                <w:sz w:val="24"/>
                <w:szCs w:val="24"/>
                <w:highlight w:val="none"/>
                <w:lang w:eastAsia="zh-CN" w:bidi="ar"/>
                <w14:textFill>
                  <w14:solidFill>
                    <w14:schemeClr w14:val="tx1"/>
                  </w14:solidFill>
                </w14:textFill>
              </w:rPr>
              <w:t>并</w:t>
            </w:r>
            <w:r>
              <w:rPr>
                <w:rFonts w:hint="eastAsia" w:ascii="宋体" w:hAnsi="宋体" w:cs="宋体"/>
                <w:color w:val="000000" w:themeColor="text1"/>
                <w:sz w:val="24"/>
                <w:szCs w:val="24"/>
                <w:highlight w:val="none"/>
                <w:lang w:bidi="ar"/>
                <w14:textFill>
                  <w14:solidFill>
                    <w14:schemeClr w14:val="tx1"/>
                  </w14:solidFill>
                </w14:textFill>
              </w:rPr>
              <w:t>将施工信息告知周边住户及单位；</w:t>
            </w:r>
          </w:p>
          <w:p w14:paraId="0D6E53AA">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③</w:t>
            </w:r>
            <w:r>
              <w:rPr>
                <w:rFonts w:hint="default"/>
                <w:color w:val="000000" w:themeColor="text1"/>
                <w:sz w:val="24"/>
                <w:szCs w:val="20"/>
                <w:highlight w:val="none"/>
                <w14:textFill>
                  <w14:solidFill>
                    <w14:schemeClr w14:val="tx1"/>
                  </w14:solidFill>
                </w14:textFill>
              </w:rPr>
              <w:t>对于电焊</w:t>
            </w:r>
            <w:r>
              <w:rPr>
                <w:rFonts w:hint="eastAsia"/>
                <w:color w:val="000000" w:themeColor="text1"/>
                <w:sz w:val="24"/>
                <w:szCs w:val="20"/>
                <w:highlight w:val="none"/>
                <w14:textFill>
                  <w14:solidFill>
                    <w14:schemeClr w14:val="tx1"/>
                  </w14:solidFill>
                </w14:textFill>
              </w:rPr>
              <w:t>机</w:t>
            </w:r>
            <w:r>
              <w:rPr>
                <w:rFonts w:hint="default"/>
                <w:color w:val="000000" w:themeColor="text1"/>
                <w:sz w:val="24"/>
                <w:szCs w:val="20"/>
                <w:highlight w:val="none"/>
                <w14:textFill>
                  <w14:solidFill>
                    <w14:schemeClr w14:val="tx1"/>
                  </w14:solidFill>
                </w14:textFill>
              </w:rPr>
              <w:t>、电锯等高噪声设备在使用时安装</w:t>
            </w:r>
            <w:r>
              <w:rPr>
                <w:rFonts w:hint="eastAsia"/>
                <w:color w:val="000000" w:themeColor="text1"/>
                <w:sz w:val="24"/>
                <w:szCs w:val="20"/>
                <w:highlight w:val="none"/>
                <w:lang w:eastAsia="zh-CN"/>
                <w14:textFill>
                  <w14:solidFill>
                    <w14:schemeClr w14:val="tx1"/>
                  </w14:solidFill>
                </w14:textFill>
              </w:rPr>
              <w:t>减振</w:t>
            </w:r>
            <w:r>
              <w:rPr>
                <w:rFonts w:hint="default"/>
                <w:color w:val="000000" w:themeColor="text1"/>
                <w:sz w:val="24"/>
                <w:szCs w:val="20"/>
                <w:highlight w:val="none"/>
                <w14:textFill>
                  <w14:solidFill>
                    <w14:schemeClr w14:val="tx1"/>
                  </w14:solidFill>
                </w14:textFill>
              </w:rPr>
              <w:t>垫；</w:t>
            </w:r>
          </w:p>
          <w:p w14:paraId="69DAD165">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④</w:t>
            </w:r>
            <w:r>
              <w:rPr>
                <w:rFonts w:hint="default"/>
                <w:color w:val="000000" w:themeColor="text1"/>
                <w:sz w:val="24"/>
                <w:szCs w:val="20"/>
                <w:highlight w:val="none"/>
                <w14:textFill>
                  <w14:solidFill>
                    <w14:schemeClr w14:val="tx1"/>
                  </w14:solidFill>
                </w14:textFill>
              </w:rPr>
              <w:t>建设管理部门应加强对施工场地的噪声管理，施工企业也应对施工噪声进行自律，文明施工，施工期间组织好区内交通，施工场地的施工车辆出入现场时应低速、禁鸣，设立专职人员负责该工作。</w:t>
            </w:r>
          </w:p>
          <w:p w14:paraId="2B738277">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hAnsi="宋体"/>
                <w:color w:val="000000" w:themeColor="text1"/>
                <w:sz w:val="24"/>
                <w:szCs w:val="22"/>
                <w:highlight w:val="none"/>
                <w14:textFill>
                  <w14:solidFill>
                    <w14:schemeClr w14:val="tx1"/>
                  </w14:solidFill>
                </w14:textFill>
              </w:rPr>
              <w:t>项目施工期结束后相应的噪声污染即随之消失，不会对周围声环境产生长期不良的影响。</w:t>
            </w:r>
          </w:p>
          <w:p w14:paraId="7BDF2C70">
            <w:pPr>
              <w:keepNext w:val="0"/>
              <w:keepLines w:val="0"/>
              <w:suppressLineNumbers w:val="0"/>
              <w:spacing w:before="0" w:beforeAutospacing="0" w:after="0" w:afterAutospacing="0" w:line="360" w:lineRule="auto"/>
              <w:ind w:left="0" w:right="0" w:firstLine="562" w:firstLineChars="200"/>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4.3</w:t>
            </w:r>
            <w:r>
              <w:rPr>
                <w:rFonts w:hint="default" w:hAnsi="宋体"/>
                <w:b/>
                <w:color w:val="000000" w:themeColor="text1"/>
                <w:sz w:val="28"/>
                <w:szCs w:val="28"/>
                <w:highlight w:val="none"/>
                <w14:textFill>
                  <w14:solidFill>
                    <w14:schemeClr w14:val="tx1"/>
                  </w14:solidFill>
                </w14:textFill>
              </w:rPr>
              <w:t>废水影响</w:t>
            </w:r>
            <w:r>
              <w:rPr>
                <w:rFonts w:hint="eastAsia" w:hAnsi="宋体"/>
                <w:b/>
                <w:color w:val="000000" w:themeColor="text1"/>
                <w:sz w:val="28"/>
                <w:szCs w:val="28"/>
                <w:highlight w:val="none"/>
                <w14:textFill>
                  <w14:solidFill>
                    <w14:schemeClr w14:val="tx1"/>
                  </w14:solidFill>
                </w14:textFill>
              </w:rPr>
              <w:t>和</w:t>
            </w:r>
            <w:r>
              <w:rPr>
                <w:rFonts w:hint="default" w:hAnsi="宋体"/>
                <w:b/>
                <w:color w:val="000000" w:themeColor="text1"/>
                <w:sz w:val="28"/>
                <w:szCs w:val="28"/>
                <w:highlight w:val="none"/>
                <w14:textFill>
                  <w14:solidFill>
                    <w14:schemeClr w14:val="tx1"/>
                  </w14:solidFill>
                </w14:textFill>
              </w:rPr>
              <w:t>保护措施</w:t>
            </w:r>
          </w:p>
          <w:p w14:paraId="200D85E7">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kern w:val="18"/>
                <w:sz w:val="24"/>
                <w:szCs w:val="20"/>
                <w:highlight w:val="none"/>
                <w:lang w:val="zh-CN"/>
                <w14:textFill>
                  <w14:solidFill>
                    <w14:schemeClr w14:val="tx1"/>
                  </w14:solidFill>
                </w14:textFill>
              </w:rPr>
            </w:pPr>
            <w:r>
              <w:rPr>
                <w:rFonts w:hint="eastAsia"/>
                <w:color w:val="000000" w:themeColor="text1"/>
                <w:kern w:val="18"/>
                <w:sz w:val="24"/>
                <w:szCs w:val="20"/>
                <w:highlight w:val="none"/>
                <w:lang w:val="zh-CN"/>
                <w14:textFill>
                  <w14:solidFill>
                    <w14:schemeClr w14:val="tx1"/>
                  </w14:solidFill>
                </w14:textFill>
              </w:rPr>
              <w:t>本项目施工期短（约5～10天），施工人员少（3～5人）。施工人员均不在项目区食宿，如厕及洗浴依托厂区外现有公共设施或自行解决，厂区内不产生如厕废水。</w:t>
            </w:r>
          </w:p>
          <w:p w14:paraId="5AF0FC34">
            <w:pPr>
              <w:keepNext w:val="0"/>
              <w:keepLines w:val="0"/>
              <w:suppressLineNumbers w:val="0"/>
              <w:spacing w:before="0" w:beforeAutospacing="0" w:after="0" w:afterAutospacing="0" w:line="360" w:lineRule="auto"/>
              <w:ind w:left="0" w:right="0" w:firstLine="562" w:firstLineChars="200"/>
              <w:rPr>
                <w:rFonts w:hint="default"/>
                <w:b/>
                <w:color w:val="000000" w:themeColor="text1"/>
                <w:sz w:val="28"/>
                <w:szCs w:val="28"/>
                <w:highlight w:val="none"/>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4.4</w:t>
            </w:r>
            <w:r>
              <w:rPr>
                <w:rFonts w:hint="default" w:hAnsi="宋体"/>
                <w:b/>
                <w:color w:val="000000" w:themeColor="text1"/>
                <w:sz w:val="28"/>
                <w:szCs w:val="28"/>
                <w:highlight w:val="none"/>
                <w14:textFill>
                  <w14:solidFill>
                    <w14:schemeClr w14:val="tx1"/>
                  </w14:solidFill>
                </w14:textFill>
              </w:rPr>
              <w:t>固体废弃物影响</w:t>
            </w:r>
            <w:r>
              <w:rPr>
                <w:rFonts w:hint="eastAsia" w:hAnsi="宋体"/>
                <w:b/>
                <w:color w:val="000000" w:themeColor="text1"/>
                <w:sz w:val="28"/>
                <w:szCs w:val="28"/>
                <w:highlight w:val="none"/>
                <w14:textFill>
                  <w14:solidFill>
                    <w14:schemeClr w14:val="tx1"/>
                  </w14:solidFill>
                </w14:textFill>
              </w:rPr>
              <w:t>和</w:t>
            </w:r>
            <w:r>
              <w:rPr>
                <w:rFonts w:hint="default" w:hAnsi="宋体"/>
                <w:b/>
                <w:color w:val="000000" w:themeColor="text1"/>
                <w:sz w:val="28"/>
                <w:szCs w:val="28"/>
                <w:highlight w:val="none"/>
                <w14:textFill>
                  <w14:solidFill>
                    <w14:schemeClr w14:val="tx1"/>
                  </w14:solidFill>
                </w14:textFill>
              </w:rPr>
              <w:t>保护措施</w:t>
            </w:r>
          </w:p>
          <w:p w14:paraId="349DF8B9">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施工期的固体废物主要有</w:t>
            </w:r>
            <w:r>
              <w:rPr>
                <w:rFonts w:hint="eastAsia"/>
                <w:color w:val="000000" w:themeColor="text1"/>
                <w:sz w:val="24"/>
                <w:szCs w:val="20"/>
                <w:highlight w:val="none"/>
                <w14:textFill>
                  <w14:solidFill>
                    <w14:schemeClr w14:val="tx1"/>
                  </w14:solidFill>
                </w14:textFill>
              </w:rPr>
              <w:t>包装废料</w:t>
            </w:r>
            <w:r>
              <w:rPr>
                <w:rFonts w:hint="eastAsia"/>
                <w:color w:val="000000" w:themeColor="text1"/>
                <w:sz w:val="24"/>
                <w:szCs w:val="20"/>
                <w:highlight w:val="none"/>
                <w:lang w:eastAsia="zh-CN"/>
                <w14:textFill>
                  <w14:solidFill>
                    <w14:schemeClr w14:val="tx1"/>
                  </w14:solidFill>
                </w14:textFill>
              </w:rPr>
              <w:t>，以及</w:t>
            </w:r>
            <w:r>
              <w:rPr>
                <w:rFonts w:hint="default"/>
                <w:color w:val="000000" w:themeColor="text1"/>
                <w:sz w:val="24"/>
                <w:szCs w:val="20"/>
                <w:highlight w:val="none"/>
                <w14:textFill>
                  <w14:solidFill>
                    <w14:schemeClr w14:val="tx1"/>
                  </w14:solidFill>
                </w14:textFill>
              </w:rPr>
              <w:t>生活垃圾。</w:t>
            </w:r>
          </w:p>
          <w:p w14:paraId="17FA17E8">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w:t>
            </w:r>
            <w:r>
              <w:rPr>
                <w:rFonts w:hint="eastAsia"/>
                <w:color w:val="000000" w:themeColor="text1"/>
                <w:sz w:val="24"/>
                <w:szCs w:val="20"/>
                <w:highlight w:val="none"/>
                <w14:textFill>
                  <w14:solidFill>
                    <w14:schemeClr w14:val="tx1"/>
                  </w14:solidFill>
                </w14:textFill>
              </w:rPr>
              <w:t>1</w:t>
            </w:r>
            <w:r>
              <w:rPr>
                <w:rFonts w:hint="default"/>
                <w:color w:val="000000" w:themeColor="text1"/>
                <w:sz w:val="24"/>
                <w:szCs w:val="20"/>
                <w:highlight w:val="none"/>
                <w14:textFill>
                  <w14:solidFill>
                    <w14:schemeClr w14:val="tx1"/>
                  </w14:solidFill>
                </w14:textFill>
              </w:rPr>
              <w:t>）施工期的</w:t>
            </w:r>
            <w:r>
              <w:rPr>
                <w:rFonts w:hint="eastAsia"/>
                <w:color w:val="000000" w:themeColor="text1"/>
                <w:sz w:val="24"/>
                <w:szCs w:val="20"/>
                <w:highlight w:val="none"/>
                <w14:textFill>
                  <w14:solidFill>
                    <w14:schemeClr w14:val="tx1"/>
                  </w14:solidFill>
                </w14:textFill>
              </w:rPr>
              <w:t>包装废料</w:t>
            </w:r>
          </w:p>
          <w:p w14:paraId="36414B10">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设备安装过程产生的包装废料，主要有各种设备的包装箱、包装袋、各种废钢配件和金属管线废料等，产生的包装废料应进行充分回收利用，不能利用的部分应给予收集，由建设单位运往当地管理部门指定地点进行妥善处置，不能随意丢弃。</w:t>
            </w:r>
          </w:p>
          <w:p w14:paraId="31D2CC07">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（2）施工人员的生活垃圾</w:t>
            </w:r>
          </w:p>
          <w:p w14:paraId="0307A051">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项目施工期施工人员3</w:t>
            </w:r>
            <w:r>
              <w:rPr>
                <w:rFonts w:hint="eastAsia"/>
                <w:color w:val="000000" w:themeColor="text1"/>
                <w:sz w:val="24"/>
                <w:szCs w:val="20"/>
                <w:highlight w:val="none"/>
                <w:lang w:val="en-US" w:eastAsia="zh-CN"/>
                <w14:textFill>
                  <w14:solidFill>
                    <w14:schemeClr w14:val="tx1"/>
                  </w14:solidFill>
                </w14:textFill>
              </w:rPr>
              <w:t>~5</w:t>
            </w:r>
            <w:r>
              <w:rPr>
                <w:rFonts w:hint="eastAsia"/>
                <w:color w:val="000000" w:themeColor="text1"/>
                <w:sz w:val="24"/>
                <w:szCs w:val="20"/>
                <w:highlight w:val="none"/>
                <w14:textFill>
                  <w14:solidFill>
                    <w14:schemeClr w14:val="tx1"/>
                  </w14:solidFill>
                </w14:textFill>
              </w:rPr>
              <w:t>人，施工人员不在项目区食宿，每人每天生活垃圾产生量按</w:t>
            </w:r>
            <w:r>
              <w:rPr>
                <w:rFonts w:hint="eastAsia" w:hAnsi="Times New Roman"/>
                <w:color w:val="000000" w:themeColor="text1"/>
                <w:sz w:val="24"/>
                <w:szCs w:val="20"/>
                <w:highlight w:val="none"/>
                <w14:textFill>
                  <w14:solidFill>
                    <w14:schemeClr w14:val="tx1"/>
                  </w14:solidFill>
                </w14:textFill>
              </w:rPr>
              <w:t>0.5kg/d·人计</w:t>
            </w:r>
            <w:r>
              <w:rPr>
                <w:rFonts w:hint="eastAsia"/>
                <w:color w:val="000000" w:themeColor="text1"/>
                <w:sz w:val="24"/>
                <w:szCs w:val="20"/>
                <w:highlight w:val="none"/>
                <w14:textFill>
                  <w14:solidFill>
                    <w14:schemeClr w14:val="tx1"/>
                  </w14:solidFill>
                </w14:textFill>
              </w:rPr>
              <w:t>，则施工期生活垃圾产生量为1.5kg/d。施工人员生活垃圾统一集中收集后，委托当地环卫部门定期清运处置。</w:t>
            </w:r>
          </w:p>
          <w:p w14:paraId="6F991EB3">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（3）施工期建筑垃圾</w:t>
            </w:r>
          </w:p>
          <w:p w14:paraId="12A1F660">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改性区依托租赁场地现有厂房，主要工程内容为设备安装及防渗改造，不涉及大规模土建施工，建筑垃圾产生量极少。少量建筑垃圾（如废弃混凝土碎块、废砖石等）经分类收集后，可回填场地低洼处或运至当地住建部门指定的建筑垃圾消纳场处置，不外排、不随意倾倒。</w:t>
            </w:r>
          </w:p>
          <w:p w14:paraId="78F21CF0">
            <w:pPr>
              <w:keepNext w:val="0"/>
              <w:keepLines w:val="0"/>
              <w:suppressLineNumbers w:val="0"/>
              <w:spacing w:before="0" w:beforeAutospacing="0" w:after="0" w:afterAutospacing="0" w:line="360" w:lineRule="auto"/>
              <w:ind w:left="0" w:right="0" w:firstLine="480" w:firstLineChars="200"/>
              <w:rPr>
                <w:rFonts w:hint="eastAsia" w:hAnsi="Times New Roman"/>
                <w:color w:val="000000" w:themeColor="text1"/>
                <w:sz w:val="24"/>
                <w:szCs w:val="20"/>
                <w:highlight w:val="none"/>
                <w14:textFill>
                  <w14:solidFill>
                    <w14:schemeClr w14:val="tx1"/>
                  </w14:solidFill>
                </w14:textFill>
              </w:rPr>
            </w:pPr>
            <w:r>
              <w:rPr>
                <w:rFonts w:hint="eastAsia" w:hAnsi="Times New Roman"/>
                <w:color w:val="000000" w:themeColor="text1"/>
                <w:sz w:val="24"/>
                <w:szCs w:val="20"/>
                <w:highlight w:val="none"/>
                <w14:textFill>
                  <w14:solidFill>
                    <w14:schemeClr w14:val="tx1"/>
                  </w14:solidFill>
                </w14:textFill>
              </w:rPr>
              <w:t>综上所述，</w:t>
            </w:r>
            <w:r>
              <w:rPr>
                <w:rFonts w:hint="eastAsia" w:hAnsi="Times New Roman"/>
                <w:color w:val="000000" w:themeColor="text1"/>
                <w:kern w:val="0"/>
                <w:sz w:val="24"/>
                <w:szCs w:val="20"/>
                <w:highlight w:val="none"/>
                <w14:textFill>
                  <w14:solidFill>
                    <w14:schemeClr w14:val="tx1"/>
                  </w14:solidFill>
                </w14:textFill>
              </w:rPr>
              <w:t>本项目施工期产生的固体废弃物在采取相应防治措施后，</w:t>
            </w:r>
            <w:r>
              <w:rPr>
                <w:rFonts w:hint="eastAsia"/>
                <w:color w:val="000000" w:themeColor="text1"/>
                <w:sz w:val="24"/>
                <w:szCs w:val="20"/>
                <w:highlight w:val="none"/>
                <w14:textFill>
                  <w14:solidFill>
                    <w14:schemeClr w14:val="tx1"/>
                  </w14:solidFill>
                </w14:textFill>
              </w:rPr>
              <w:t>项目施工期固废处置率为100%，对周围环境的影响很小</w:t>
            </w:r>
            <w:r>
              <w:rPr>
                <w:rFonts w:hint="eastAsia" w:hAnsi="Times New Roman"/>
                <w:color w:val="000000" w:themeColor="text1"/>
                <w:kern w:val="0"/>
                <w:sz w:val="24"/>
                <w:szCs w:val="20"/>
                <w:highlight w:val="none"/>
                <w14:textFill>
                  <w14:solidFill>
                    <w14:schemeClr w14:val="tx1"/>
                  </w14:solidFill>
                </w14:textFill>
              </w:rPr>
              <w:t>，且</w:t>
            </w:r>
            <w:r>
              <w:rPr>
                <w:rFonts w:hint="eastAsia" w:hAnsi="Times New Roman"/>
                <w:color w:val="000000" w:themeColor="text1"/>
                <w:sz w:val="24"/>
                <w:szCs w:val="20"/>
                <w:highlight w:val="none"/>
                <w14:textFill>
                  <w14:solidFill>
                    <w14:schemeClr w14:val="tx1"/>
                  </w14:solidFill>
                </w14:textFill>
              </w:rPr>
              <w:t>施工结束后，施工固体废物影响即终止。本项目施工期不产生危险废物（施工机械维修外委周边修理厂），一般固废处置率达100%，对周围环境影响很小。</w:t>
            </w:r>
          </w:p>
          <w:p w14:paraId="353B48D0">
            <w:pPr>
              <w:pStyle w:val="17"/>
              <w:keepNext w:val="0"/>
              <w:keepLines w:val="0"/>
              <w:suppressLineNumbers w:val="0"/>
              <w:spacing w:beforeAutospacing="0" w:afterAutospacing="0"/>
              <w:ind w:left="0"/>
              <w:rPr>
                <w:rFonts w:hint="eastAsia" w:hAnsi="Times New Roman"/>
                <w:color w:val="000000" w:themeColor="text1"/>
                <w:sz w:val="24"/>
                <w:szCs w:val="20"/>
                <w:highlight w:val="none"/>
                <w14:textFill>
                  <w14:solidFill>
                    <w14:schemeClr w14:val="tx1"/>
                  </w14:solidFill>
                </w14:textFill>
              </w:rPr>
            </w:pPr>
          </w:p>
          <w:p w14:paraId="29729B1F">
            <w:pPr>
              <w:keepNext w:val="0"/>
              <w:keepLines w:val="0"/>
              <w:suppressLineNumbers w:val="0"/>
              <w:spacing w:before="0" w:beforeAutospacing="0" w:after="0" w:afterAutospacing="0"/>
              <w:ind w:left="0" w:right="0"/>
              <w:rPr>
                <w:rFonts w:hint="eastAsia" w:hAnsi="Times New Roman"/>
                <w:color w:val="000000" w:themeColor="text1"/>
                <w:sz w:val="24"/>
                <w:szCs w:val="20"/>
                <w:highlight w:val="none"/>
                <w14:textFill>
                  <w14:solidFill>
                    <w14:schemeClr w14:val="tx1"/>
                  </w14:solidFill>
                </w14:textFill>
              </w:rPr>
            </w:pPr>
          </w:p>
          <w:p w14:paraId="07134D70">
            <w:pPr>
              <w:pStyle w:val="17"/>
              <w:keepNext w:val="0"/>
              <w:keepLines w:val="0"/>
              <w:suppressLineNumbers w:val="0"/>
              <w:spacing w:beforeAutospacing="0" w:afterAutospacing="0"/>
              <w:ind w:left="0"/>
              <w:rPr>
                <w:rFonts w:hint="eastAsia" w:hAnsi="Times New Roman"/>
                <w:color w:val="000000" w:themeColor="text1"/>
                <w:sz w:val="24"/>
                <w:szCs w:val="20"/>
                <w:highlight w:val="none"/>
                <w14:textFill>
                  <w14:solidFill>
                    <w14:schemeClr w14:val="tx1"/>
                  </w14:solidFill>
                </w14:textFill>
              </w:rPr>
            </w:pPr>
          </w:p>
          <w:p w14:paraId="00F319FB">
            <w:pPr>
              <w:keepNext w:val="0"/>
              <w:keepLines w:val="0"/>
              <w:suppressLineNumbers w:val="0"/>
              <w:spacing w:before="0" w:beforeAutospacing="0" w:after="0" w:afterAutospacing="0"/>
              <w:ind w:left="0" w:right="0"/>
              <w:rPr>
                <w:rFonts w:hint="eastAsia" w:hAnsi="Times New Roman"/>
                <w:color w:val="000000" w:themeColor="text1"/>
                <w:sz w:val="24"/>
                <w:szCs w:val="20"/>
                <w:highlight w:val="none"/>
                <w14:textFill>
                  <w14:solidFill>
                    <w14:schemeClr w14:val="tx1"/>
                  </w14:solidFill>
                </w14:textFill>
              </w:rPr>
            </w:pPr>
          </w:p>
          <w:p w14:paraId="321BE87F">
            <w:pPr>
              <w:pStyle w:val="17"/>
              <w:keepNext w:val="0"/>
              <w:keepLines w:val="0"/>
              <w:suppressLineNumbers w:val="0"/>
              <w:spacing w:beforeAutospacing="0" w:afterAutospacing="0"/>
              <w:ind w:left="0"/>
              <w:rPr>
                <w:rFonts w:hint="eastAsia" w:hAnsi="Times New Roman"/>
                <w:color w:val="000000" w:themeColor="text1"/>
                <w:sz w:val="24"/>
                <w:szCs w:val="20"/>
                <w:highlight w:val="none"/>
                <w14:textFill>
                  <w14:solidFill>
                    <w14:schemeClr w14:val="tx1"/>
                  </w14:solidFill>
                </w14:textFill>
              </w:rPr>
            </w:pPr>
          </w:p>
          <w:p w14:paraId="249DE578">
            <w:pPr>
              <w:keepNext w:val="0"/>
              <w:keepLines w:val="0"/>
              <w:suppressLineNumbers w:val="0"/>
              <w:spacing w:before="0" w:beforeAutospacing="0" w:after="0" w:afterAutospacing="0"/>
              <w:ind w:left="0" w:right="0"/>
              <w:rPr>
                <w:rFonts w:hint="eastAsia" w:hAnsi="Times New Roman"/>
                <w:color w:val="000000" w:themeColor="text1"/>
                <w:sz w:val="24"/>
                <w:szCs w:val="20"/>
                <w:highlight w:val="none"/>
                <w14:textFill>
                  <w14:solidFill>
                    <w14:schemeClr w14:val="tx1"/>
                  </w14:solidFill>
                </w14:textFill>
              </w:rPr>
            </w:pPr>
          </w:p>
          <w:p w14:paraId="7CBA2BE4">
            <w:pPr>
              <w:pStyle w:val="17"/>
              <w:keepNext w:val="0"/>
              <w:keepLines w:val="0"/>
              <w:suppressLineNumbers w:val="0"/>
              <w:spacing w:beforeAutospacing="0" w:afterAutospacing="0"/>
              <w:ind w:left="0"/>
              <w:rPr>
                <w:rFonts w:hint="eastAsia" w:hAnsi="Times New Roman"/>
                <w:color w:val="000000" w:themeColor="text1"/>
                <w:sz w:val="24"/>
                <w:szCs w:val="20"/>
                <w:highlight w:val="none"/>
                <w14:textFill>
                  <w14:solidFill>
                    <w14:schemeClr w14:val="tx1"/>
                  </w14:solidFill>
                </w14:textFill>
              </w:rPr>
            </w:pPr>
          </w:p>
          <w:p w14:paraId="42D4D13B">
            <w:pPr>
              <w:keepNext w:val="0"/>
              <w:keepLines w:val="0"/>
              <w:suppressLineNumbers w:val="0"/>
              <w:spacing w:before="0" w:beforeAutospacing="0" w:after="0" w:afterAutospacing="0"/>
              <w:ind w:left="0" w:right="0"/>
              <w:rPr>
                <w:rFonts w:hint="eastAsia" w:hAnsi="Times New Roman"/>
                <w:color w:val="000000" w:themeColor="text1"/>
                <w:sz w:val="24"/>
                <w:szCs w:val="20"/>
                <w:highlight w:val="none"/>
                <w14:textFill>
                  <w14:solidFill>
                    <w14:schemeClr w14:val="tx1"/>
                  </w14:solidFill>
                </w14:textFill>
              </w:rPr>
            </w:pPr>
          </w:p>
          <w:p w14:paraId="28041629">
            <w:pPr>
              <w:pStyle w:val="17"/>
              <w:keepNext w:val="0"/>
              <w:keepLines w:val="0"/>
              <w:suppressLineNumbers w:val="0"/>
              <w:spacing w:beforeAutospacing="0" w:afterAutospacing="0"/>
              <w:ind w:left="0"/>
              <w:rPr>
                <w:rFonts w:hint="eastAsia" w:hAnsi="Times New Roman"/>
                <w:color w:val="000000" w:themeColor="text1"/>
                <w:sz w:val="24"/>
                <w:szCs w:val="20"/>
                <w:highlight w:val="none"/>
                <w14:textFill>
                  <w14:solidFill>
                    <w14:schemeClr w14:val="tx1"/>
                  </w14:solidFill>
                </w14:textFill>
              </w:rPr>
            </w:pPr>
          </w:p>
          <w:p w14:paraId="6CB85FBF">
            <w:pPr>
              <w:keepNext w:val="0"/>
              <w:keepLines w:val="0"/>
              <w:suppressLineNumbers w:val="0"/>
              <w:spacing w:before="0" w:beforeAutospacing="0" w:after="0" w:afterAutospacing="0"/>
              <w:ind w:left="0" w:right="0"/>
              <w:rPr>
                <w:rFonts w:hint="eastAsia" w:hAnsi="Times New Roman"/>
                <w:color w:val="000000" w:themeColor="text1"/>
                <w:sz w:val="24"/>
                <w:szCs w:val="20"/>
                <w:highlight w:val="none"/>
                <w14:textFill>
                  <w14:solidFill>
                    <w14:schemeClr w14:val="tx1"/>
                  </w14:solidFill>
                </w14:textFill>
              </w:rPr>
            </w:pPr>
          </w:p>
          <w:p w14:paraId="70B4B265">
            <w:pPr>
              <w:pStyle w:val="17"/>
              <w:keepNext w:val="0"/>
              <w:keepLines w:val="0"/>
              <w:suppressLineNumbers w:val="0"/>
              <w:spacing w:beforeAutospacing="0" w:afterAutospacing="0"/>
              <w:ind w:left="0"/>
              <w:rPr>
                <w:rFonts w:hint="eastAsia" w:hAnsi="Times New Roman"/>
                <w:color w:val="000000" w:themeColor="text1"/>
                <w:sz w:val="24"/>
                <w:szCs w:val="20"/>
                <w:highlight w:val="none"/>
                <w14:textFill>
                  <w14:solidFill>
                    <w14:schemeClr w14:val="tx1"/>
                  </w14:solidFill>
                </w14:textFill>
              </w:rPr>
            </w:pPr>
          </w:p>
          <w:p w14:paraId="3585F591">
            <w:pPr>
              <w:keepNext w:val="0"/>
              <w:keepLines w:val="0"/>
              <w:suppressLineNumbers w:val="0"/>
              <w:spacing w:before="0" w:beforeAutospacing="0" w:after="0" w:afterAutospacing="0"/>
              <w:ind w:left="0" w:right="0"/>
              <w:rPr>
                <w:rFonts w:hint="eastAsia" w:hAnsi="Times New Roman"/>
                <w:color w:val="000000" w:themeColor="text1"/>
                <w:sz w:val="24"/>
                <w:szCs w:val="20"/>
                <w:highlight w:val="none"/>
                <w14:textFill>
                  <w14:solidFill>
                    <w14:schemeClr w14:val="tx1"/>
                  </w14:solidFill>
                </w14:textFill>
              </w:rPr>
            </w:pPr>
          </w:p>
          <w:p w14:paraId="7284893C">
            <w:pPr>
              <w:pStyle w:val="17"/>
              <w:keepNext w:val="0"/>
              <w:keepLines w:val="0"/>
              <w:suppressLineNumbers w:val="0"/>
              <w:spacing w:beforeAutospacing="0" w:afterAutospacing="0"/>
              <w:ind w:left="0"/>
              <w:rPr>
                <w:rFonts w:hint="eastAsia" w:hAnsi="Times New Roman"/>
                <w:color w:val="000000" w:themeColor="text1"/>
                <w:sz w:val="24"/>
                <w:szCs w:val="20"/>
                <w:highlight w:val="none"/>
                <w14:textFill>
                  <w14:solidFill>
                    <w14:schemeClr w14:val="tx1"/>
                  </w14:solidFill>
                </w14:textFill>
              </w:rPr>
            </w:pPr>
          </w:p>
          <w:p w14:paraId="26E83A63">
            <w:pPr>
              <w:keepNext w:val="0"/>
              <w:keepLines w:val="0"/>
              <w:suppressLineNumbers w:val="0"/>
              <w:spacing w:before="0" w:beforeAutospacing="0" w:after="0" w:afterAutospacing="0"/>
              <w:ind w:left="0" w:right="0"/>
              <w:rPr>
                <w:rFonts w:hint="eastAsia" w:hAnsi="Times New Roman"/>
                <w:color w:val="000000" w:themeColor="text1"/>
                <w:sz w:val="24"/>
                <w:szCs w:val="20"/>
                <w:highlight w:val="none"/>
                <w14:textFill>
                  <w14:solidFill>
                    <w14:schemeClr w14:val="tx1"/>
                  </w14:solidFill>
                </w14:textFill>
              </w:rPr>
            </w:pPr>
          </w:p>
          <w:p w14:paraId="3B4970B9">
            <w:pPr>
              <w:pStyle w:val="17"/>
              <w:keepNext w:val="0"/>
              <w:keepLines w:val="0"/>
              <w:suppressLineNumbers w:val="0"/>
              <w:spacing w:beforeAutospacing="0" w:afterAutospacing="0"/>
              <w:ind w:left="0"/>
              <w:rPr>
                <w:rFonts w:hint="eastAsia" w:hAnsi="Times New Roman"/>
                <w:color w:val="000000" w:themeColor="text1"/>
                <w:sz w:val="24"/>
                <w:szCs w:val="20"/>
                <w:highlight w:val="none"/>
                <w14:textFill>
                  <w14:solidFill>
                    <w14:schemeClr w14:val="tx1"/>
                  </w14:solidFill>
                </w14:textFill>
              </w:rPr>
            </w:pPr>
          </w:p>
          <w:p w14:paraId="0E80F580">
            <w:pPr>
              <w:keepNext w:val="0"/>
              <w:keepLines w:val="0"/>
              <w:suppressLineNumbers w:val="0"/>
              <w:spacing w:before="0" w:beforeAutospacing="0" w:after="0" w:afterAutospacing="0"/>
              <w:ind w:left="0" w:right="0"/>
              <w:rPr>
                <w:rFonts w:hint="eastAsia" w:hAnsi="Times New Roman"/>
                <w:color w:val="000000" w:themeColor="text1"/>
                <w:sz w:val="24"/>
                <w:szCs w:val="20"/>
                <w:highlight w:val="none"/>
                <w14:textFill>
                  <w14:solidFill>
                    <w14:schemeClr w14:val="tx1"/>
                  </w14:solidFill>
                </w14:textFill>
              </w:rPr>
            </w:pPr>
          </w:p>
          <w:p w14:paraId="3EC51856">
            <w:pPr>
              <w:pStyle w:val="17"/>
              <w:keepNext w:val="0"/>
              <w:keepLines w:val="0"/>
              <w:suppressLineNumbers w:val="0"/>
              <w:spacing w:beforeAutospacing="0" w:afterAutospacing="0"/>
              <w:ind w:left="0"/>
              <w:rPr>
                <w:rFonts w:hint="eastAsia" w:hAnsi="Times New Roman"/>
                <w:color w:val="000000" w:themeColor="text1"/>
                <w:sz w:val="24"/>
                <w:szCs w:val="20"/>
                <w:highlight w:val="none"/>
                <w14:textFill>
                  <w14:solidFill>
                    <w14:schemeClr w14:val="tx1"/>
                  </w14:solidFill>
                </w14:textFill>
              </w:rPr>
            </w:pPr>
          </w:p>
          <w:p w14:paraId="54432371">
            <w:pPr>
              <w:keepNext w:val="0"/>
              <w:keepLines w:val="0"/>
              <w:suppressLineNumbers w:val="0"/>
              <w:spacing w:before="0" w:beforeAutospacing="0" w:after="0" w:afterAutospacing="0"/>
              <w:ind w:left="0" w:right="0"/>
              <w:rPr>
                <w:rFonts w:hint="eastAsia" w:hAnsi="Times New Roman"/>
                <w:color w:val="000000" w:themeColor="text1"/>
                <w:sz w:val="24"/>
                <w:szCs w:val="20"/>
                <w:highlight w:val="none"/>
                <w14:textFill>
                  <w14:solidFill>
                    <w14:schemeClr w14:val="tx1"/>
                  </w14:solidFill>
                </w14:textFill>
              </w:rPr>
            </w:pPr>
          </w:p>
          <w:p w14:paraId="030FA6EF">
            <w:pPr>
              <w:pStyle w:val="17"/>
              <w:keepNext w:val="0"/>
              <w:keepLines w:val="0"/>
              <w:suppressLineNumbers w:val="0"/>
              <w:spacing w:beforeAutospacing="0" w:afterAutospacing="0"/>
              <w:ind w:left="0"/>
              <w:rPr>
                <w:rFonts w:hint="eastAsia" w:hAnsi="Times New Roman"/>
                <w:color w:val="000000" w:themeColor="text1"/>
                <w:sz w:val="24"/>
                <w:szCs w:val="20"/>
                <w:highlight w:val="none"/>
                <w14:textFill>
                  <w14:solidFill>
                    <w14:schemeClr w14:val="tx1"/>
                  </w14:solidFill>
                </w14:textFill>
              </w:rPr>
            </w:pPr>
          </w:p>
          <w:p w14:paraId="3ACD3AC6">
            <w:pPr>
              <w:keepNext w:val="0"/>
              <w:keepLines w:val="0"/>
              <w:suppressLineNumbers w:val="0"/>
              <w:spacing w:before="0" w:beforeAutospacing="0" w:after="0" w:afterAutospacing="0"/>
              <w:ind w:left="0" w:right="0"/>
              <w:rPr>
                <w:rFonts w:hint="eastAsia" w:hAnsi="Times New Roman"/>
                <w:color w:val="000000" w:themeColor="text1"/>
                <w:sz w:val="24"/>
                <w:szCs w:val="20"/>
                <w:highlight w:val="none"/>
                <w14:textFill>
                  <w14:solidFill>
                    <w14:schemeClr w14:val="tx1"/>
                  </w14:solidFill>
                </w14:textFill>
              </w:rPr>
            </w:pPr>
          </w:p>
          <w:p w14:paraId="7735395D">
            <w:pPr>
              <w:pStyle w:val="17"/>
              <w:keepNext w:val="0"/>
              <w:keepLines w:val="0"/>
              <w:suppressLineNumbers w:val="0"/>
              <w:spacing w:beforeAutospacing="0" w:afterAutospacing="0"/>
              <w:ind w:left="0"/>
              <w:rPr>
                <w:rFonts w:hint="default"/>
                <w:color w:val="000000" w:themeColor="text1"/>
                <w:szCs w:val="20"/>
                <w:highlight w:val="none"/>
                <w14:textFill>
                  <w14:solidFill>
                    <w14:schemeClr w14:val="tx1"/>
                  </w14:solidFill>
                </w14:textFill>
              </w:rPr>
            </w:pPr>
          </w:p>
        </w:tc>
      </w:tr>
      <w:bookmarkEnd w:id="16"/>
      <w:tr w14:paraId="45A4F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75" w:hRule="atLeast"/>
          <w:jc w:val="center"/>
        </w:trPr>
        <w:tc>
          <w:tcPr>
            <w:tcW w:w="414" w:type="dxa"/>
            <w:tcMar>
              <w:left w:w="28" w:type="dxa"/>
              <w:right w:w="28" w:type="dxa"/>
            </w:tcMar>
            <w:vAlign w:val="center"/>
          </w:tcPr>
          <w:p w14:paraId="3E4A6E1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szCs w:val="20"/>
                <w:highlight w:val="none"/>
                <w14:textFill>
                  <w14:solidFill>
                    <w14:schemeClr w14:val="tx1"/>
                  </w14:solidFill>
                </w14:textFill>
              </w:rPr>
              <w:t>运营</w:t>
            </w:r>
          </w:p>
          <w:p w14:paraId="042A58D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szCs w:val="20"/>
                <w:highlight w:val="none"/>
                <w14:textFill>
                  <w14:solidFill>
                    <w14:schemeClr w14:val="tx1"/>
                  </w14:solidFill>
                </w14:textFill>
              </w:rPr>
              <w:t>期环</w:t>
            </w:r>
          </w:p>
          <w:p w14:paraId="2AE0FB6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szCs w:val="20"/>
                <w:highlight w:val="none"/>
                <w14:textFill>
                  <w14:solidFill>
                    <w14:schemeClr w14:val="tx1"/>
                  </w14:solidFill>
                </w14:textFill>
              </w:rPr>
              <w:t>境影</w:t>
            </w:r>
          </w:p>
          <w:p w14:paraId="5E66237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szCs w:val="20"/>
                <w:highlight w:val="none"/>
                <w14:textFill>
                  <w14:solidFill>
                    <w14:schemeClr w14:val="tx1"/>
                  </w14:solidFill>
                </w14:textFill>
              </w:rPr>
              <w:t>响和</w:t>
            </w:r>
          </w:p>
          <w:p w14:paraId="4282797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szCs w:val="20"/>
                <w:highlight w:val="none"/>
                <w14:textFill>
                  <w14:solidFill>
                    <w14:schemeClr w14:val="tx1"/>
                  </w14:solidFill>
                </w14:textFill>
              </w:rPr>
              <w:t>保护</w:t>
            </w:r>
          </w:p>
          <w:p w14:paraId="48F867D7">
            <w:pPr>
              <w:pStyle w:val="40"/>
              <w:keepNext w:val="0"/>
              <w:keepLines w:val="0"/>
              <w:suppressLineNumbers w:val="0"/>
              <w:adjustRightInd w:val="0"/>
              <w:snapToGrid w:val="0"/>
              <w:spacing w:before="0" w:beforeAutospacing="0" w:after="0" w:afterAutospacing="0" w:line="360" w:lineRule="auto"/>
              <w:ind w:left="0" w:right="0"/>
              <w:jc w:val="center"/>
              <w:rPr>
                <w:rFonts w:hint="default" w:cs="宋体"/>
                <w:color w:val="000000" w:themeColor="text1"/>
                <w:kern w:val="2"/>
                <w:szCs w:val="24"/>
                <w:highlight w:val="none"/>
                <w14:textFill>
                  <w14:solidFill>
                    <w14:schemeClr w14:val="tx1"/>
                  </w14:solidFill>
                </w14:textFill>
              </w:rPr>
            </w:pPr>
            <w:r>
              <w:rPr>
                <w:rFonts w:hint="eastAsia" w:cs="宋体"/>
                <w:bCs/>
                <w:color w:val="000000" w:themeColor="text1"/>
                <w:szCs w:val="20"/>
                <w:highlight w:val="none"/>
                <w14:textFill>
                  <w14:solidFill>
                    <w14:schemeClr w14:val="tx1"/>
                  </w14:solidFill>
                </w14:textFill>
              </w:rPr>
              <w:t>措施</w:t>
            </w:r>
          </w:p>
        </w:tc>
        <w:tc>
          <w:tcPr>
            <w:tcW w:w="8567" w:type="dxa"/>
          </w:tcPr>
          <w:p w14:paraId="2FD78724">
            <w:pPr>
              <w:keepNext w:val="0"/>
              <w:keepLines w:val="0"/>
              <w:suppressLineNumbers w:val="0"/>
              <w:tabs>
                <w:tab w:val="center" w:pos="4153"/>
                <w:tab w:val="right" w:pos="8306"/>
              </w:tabs>
              <w:spacing w:before="0" w:beforeAutospacing="0" w:after="0" w:afterAutospacing="0" w:line="360" w:lineRule="auto"/>
              <w:ind w:left="0" w:right="0"/>
              <w:rPr>
                <w:rFonts w:hint="default" w:eastAsia="宋体"/>
                <w:b/>
                <w:bCs/>
                <w:color w:val="000000" w:themeColor="text1"/>
                <w:kern w:val="0"/>
                <w:sz w:val="28"/>
                <w:szCs w:val="21"/>
                <w:highlight w:val="none"/>
                <w:lang w:val="en-US" w:eastAsia="zh-CN"/>
                <w14:textFill>
                  <w14:solidFill>
                    <w14:schemeClr w14:val="tx1"/>
                  </w14:solidFill>
                </w14:textFill>
              </w:rPr>
            </w:pPr>
            <w:r>
              <w:rPr>
                <w:rFonts w:hint="eastAsia"/>
                <w:b/>
                <w:bCs/>
                <w:color w:val="000000" w:themeColor="text1"/>
                <w:sz w:val="28"/>
                <w:szCs w:val="21"/>
                <w:highlight w:val="none"/>
                <w14:textFill>
                  <w14:solidFill>
                    <w14:schemeClr w14:val="tx1"/>
                  </w14:solidFill>
                </w14:textFill>
              </w:rPr>
              <w:t>4.</w:t>
            </w:r>
            <w:r>
              <w:rPr>
                <w:rFonts w:hint="eastAsia"/>
                <w:b/>
                <w:bCs/>
                <w:color w:val="000000" w:themeColor="text1"/>
                <w:sz w:val="28"/>
                <w:szCs w:val="21"/>
                <w:highlight w:val="none"/>
                <w:lang w:val="en-US" w:eastAsia="zh-CN"/>
                <w14:textFill>
                  <w14:solidFill>
                    <w14:schemeClr w14:val="tx1"/>
                  </w14:solidFill>
                </w14:textFill>
              </w:rPr>
              <w:t>5</w:t>
            </w:r>
            <w:r>
              <w:rPr>
                <w:rFonts w:hint="eastAsia"/>
                <w:b/>
                <w:bCs/>
                <w:color w:val="000000" w:themeColor="text1"/>
                <w:sz w:val="28"/>
                <w:szCs w:val="21"/>
                <w:highlight w:val="none"/>
                <w14:textFill>
                  <w14:solidFill>
                    <w14:schemeClr w14:val="tx1"/>
                  </w14:solidFill>
                </w14:textFill>
              </w:rPr>
              <w:t>运营</w:t>
            </w:r>
            <w:r>
              <w:rPr>
                <w:rFonts w:hint="eastAsia"/>
                <w:b/>
                <w:bCs/>
                <w:color w:val="000000" w:themeColor="text1"/>
                <w:sz w:val="28"/>
                <w:szCs w:val="21"/>
                <w:highlight w:val="none"/>
                <w:lang w:eastAsia="zh-CN"/>
                <w14:textFill>
                  <w14:solidFill>
                    <w14:schemeClr w14:val="tx1"/>
                  </w14:solidFill>
                </w14:textFill>
              </w:rPr>
              <w:t>期</w:t>
            </w:r>
            <w:r>
              <w:rPr>
                <w:rFonts w:hint="eastAsia"/>
                <w:b/>
                <w:bCs/>
                <w:color w:val="000000" w:themeColor="text1"/>
                <w:sz w:val="28"/>
                <w:szCs w:val="21"/>
                <w:highlight w:val="none"/>
                <w:lang w:val="en-US" w:eastAsia="zh-CN"/>
                <w14:textFill>
                  <w14:solidFill>
                    <w14:schemeClr w14:val="tx1"/>
                  </w14:solidFill>
                </w14:textFill>
              </w:rPr>
              <w:t>废气产排情况</w:t>
            </w:r>
          </w:p>
          <w:p w14:paraId="42258A85">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废气主要为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上料</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粉尘、筒仓粉尘、</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上料粉尘、</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皮带输送粉尘、搅拌粉尘</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、车辆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运输扬尘</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14D1F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b/>
                <w:bCs/>
                <w:color w:val="000000" w:themeColor="text1"/>
                <w:kern w:val="0"/>
                <w:sz w:val="24"/>
                <w:szCs w:val="20"/>
                <w:highlight w:val="none"/>
                <w:lang w:val="en-US" w:eastAsia="zh-CN"/>
                <w14:textFill>
                  <w14:solidFill>
                    <w14:schemeClr w14:val="tx1"/>
                  </w14:solidFill>
                </w14:textFill>
              </w:rPr>
            </w:pPr>
            <w:r>
              <w:rPr>
                <w:rFonts w:hint="eastAsia"/>
                <w:b/>
                <w:bCs/>
                <w:color w:val="000000" w:themeColor="text1"/>
                <w:kern w:val="0"/>
                <w:sz w:val="24"/>
                <w:szCs w:val="20"/>
                <w:highlight w:val="none"/>
                <w:lang w:val="en-US" w:eastAsia="zh-CN"/>
                <w14:textFill>
                  <w14:solidFill>
                    <w14:schemeClr w14:val="tx1"/>
                  </w14:solidFill>
                </w14:textFill>
              </w:rPr>
              <w:t>一、污染物源强核算</w:t>
            </w:r>
          </w:p>
          <w:p w14:paraId="63B59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b/>
                <w:bCs/>
                <w:color w:val="000000" w:themeColor="text1"/>
                <w:kern w:val="0"/>
                <w:sz w:val="24"/>
                <w:szCs w:val="20"/>
                <w:highlight w:val="none"/>
                <w:lang w:val="en-US" w:eastAsia="zh-CN"/>
                <w14:textFill>
                  <w14:solidFill>
                    <w14:schemeClr w14:val="tx1"/>
                  </w14:solidFill>
                </w14:textFill>
              </w:rPr>
            </w:pPr>
            <w:r>
              <w:rPr>
                <w:rFonts w:hint="eastAsia"/>
                <w:b/>
                <w:bCs/>
                <w:color w:val="000000" w:themeColor="text1"/>
                <w:kern w:val="0"/>
                <w:sz w:val="24"/>
                <w:szCs w:val="20"/>
                <w:highlight w:val="none"/>
                <w:lang w:val="en-US" w:eastAsia="zh-CN"/>
                <w14:textFill>
                  <w14:solidFill>
                    <w14:schemeClr w14:val="tx1"/>
                  </w14:solidFill>
                </w14:textFill>
              </w:rPr>
              <w:t>（1）上料粉尘</w:t>
            </w:r>
          </w:p>
          <w:p w14:paraId="56E09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本</w:t>
            </w:r>
            <w:r>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项目原料</w:t>
            </w:r>
            <w:r>
              <w:rPr>
                <w:rFonts w:hint="default"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磷石膏</w:t>
            </w:r>
            <w:r>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来源于本次改性工程北侧紧邻的常青树磷石膏渣库，磷石膏使用汽车</w:t>
            </w:r>
            <w:r>
              <w:rPr>
                <w:rFonts w:hint="default"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装车后直接运输至改性</w:t>
            </w:r>
            <w:r>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车间</w:t>
            </w:r>
            <w:r>
              <w:rPr>
                <w:rFonts w:hint="default"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进行改性，不设存储设施</w:t>
            </w:r>
            <w:r>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，不考虑原料磷石膏的运输扬尘。</w:t>
            </w:r>
          </w:p>
          <w:p w14:paraId="5BF824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eastAsia="宋体" w:cs="Times New Roman"/>
                <w:i w:val="0"/>
                <w:color w:val="000000" w:themeColor="text1"/>
                <w:sz w:val="24"/>
                <w:szCs w:val="24"/>
                <w:highlight w:val="none"/>
                <w:lang w:val="en-US" w:eastAsia="zh-CN"/>
                <w14:textFill>
                  <w14:solidFill>
                    <w14:schemeClr w14:val="tx1"/>
                  </w14:solidFill>
                </w14:textFill>
              </w:rPr>
            </w:pPr>
            <w:r>
              <w:rPr>
                <w:rFonts w:hint="eastAsia" w:cs="Times New Roman"/>
                <w:color w:val="000000" w:themeColor="text1"/>
                <w:kern w:val="0"/>
                <w:sz w:val="24"/>
                <w:szCs w:val="20"/>
                <w:highlight w:val="none"/>
                <w:lang w:val="en-US" w:eastAsia="zh-CN"/>
                <w14:textFill>
                  <w14:solidFill>
                    <w14:schemeClr w14:val="tx1"/>
                  </w14:solidFill>
                </w14:textFill>
              </w:rPr>
              <w:t>原料磷石膏从常青树磷石膏渣库使用装载车或者车辆运输至改性车间，直接进行上料，上料粉尘</w:t>
            </w:r>
            <w:r>
              <w:rPr>
                <w:rFonts w:hint="default"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参考《逸散性工业粉尘控制技术》“第一章一般逸散尘排放源，三、物料的装卸运输表1-12卸料的排放因子”可知卸料排放因子为0.01kg/t（干料）。本项目磷石膏改性投料量为161.42万t/a，物料含水率15%，产尘量适当折减，取0.008kg/t。投料环节废气产生量为</w:t>
            </w:r>
            <m:oMath>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161.42×</m:t>
              </m:r>
              <m:sSup>
                <m:sSupPr>
                  <m:ctrlPr>
                    <w:rPr>
                      <w:rFonts w:hint="default" w:ascii="Cambria Math" w:hAnsi="Cambria Math" w:eastAsia="宋体" w:cs="Times New Roman"/>
                      <w:color w:val="000000" w:themeColor="text1"/>
                      <w:sz w:val="24"/>
                      <w:szCs w:val="24"/>
                      <w:highlight w:val="none"/>
                      <w14:textFill>
                        <w14:solidFill>
                          <w14:schemeClr w14:val="tx1"/>
                        </w14:solidFill>
                      </w14:textFill>
                    </w:rPr>
                  </m:ctrlPr>
                </m:sSupPr>
                <m:e>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10</m:t>
                  </m:r>
                  <m:ctrlPr>
                    <w:rPr>
                      <w:rFonts w:hint="default" w:ascii="Cambria Math" w:hAnsi="Cambria Math" w:eastAsia="宋体" w:cs="Times New Roman"/>
                      <w:color w:val="000000" w:themeColor="text1"/>
                      <w:sz w:val="24"/>
                      <w:szCs w:val="24"/>
                      <w:highlight w:val="none"/>
                      <w14:textFill>
                        <w14:solidFill>
                          <w14:schemeClr w14:val="tx1"/>
                        </w14:solidFill>
                      </w14:textFill>
                    </w:rPr>
                  </m:ctrlPr>
                </m:e>
                <m:sup>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4</m:t>
                  </m:r>
                  <m:ctrlPr>
                    <w:rPr>
                      <w:rFonts w:hint="default" w:ascii="Cambria Math" w:hAnsi="Cambria Math" w:eastAsia="宋体" w:cs="Times New Roman"/>
                      <w:color w:val="000000" w:themeColor="text1"/>
                      <w:sz w:val="24"/>
                      <w:szCs w:val="24"/>
                      <w:highlight w:val="none"/>
                      <w14:textFill>
                        <w14:solidFill>
                          <w14:schemeClr w14:val="tx1"/>
                        </w14:solidFill>
                      </w14:textFill>
                    </w:rPr>
                  </m:ctrlPr>
                </m:sup>
              </m:sSup>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×0.008</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kg</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÷1000=12.91</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oMath>
            <w:r>
              <w:rPr>
                <w:rFonts w:hint="eastAsia" w:cs="Times New Roman"/>
                <w:i w:val="0"/>
                <w:color w:val="000000" w:themeColor="text1"/>
                <w:sz w:val="24"/>
                <w:szCs w:val="24"/>
                <w:highlight w:val="none"/>
                <w:lang w:eastAsia="zh-CN"/>
                <w14:textFill>
                  <w14:solidFill>
                    <w14:schemeClr w14:val="tx1"/>
                  </w14:solidFill>
                </w14:textFill>
              </w:rPr>
              <w:t>，</w:t>
            </w:r>
            <w:r>
              <w:rPr>
                <w:rFonts w:hint="eastAsia" w:cs="Times New Roman"/>
                <w:i w:val="0"/>
                <w:color w:val="000000" w:themeColor="text1"/>
                <w:sz w:val="24"/>
                <w:szCs w:val="24"/>
                <w:highlight w:val="none"/>
                <w:lang w:val="en-US" w:eastAsia="zh-CN"/>
                <w14:textFill>
                  <w14:solidFill>
                    <w14:schemeClr w14:val="tx1"/>
                  </w14:solidFill>
                </w14:textFill>
              </w:rPr>
              <w:t>产生速率为4.303kg/h。</w:t>
            </w:r>
          </w:p>
          <w:p w14:paraId="616AAE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kern w:val="0"/>
                <w:sz w:val="24"/>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本项目改性车间为全密闭钢结构厂房，车间内设置自动喷雾降尘措施，</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参考《工业源固体物料堆场颗粒物核算系数手册》附录4：粉尘控制措施控制效率，洒水：74%、围挡：60%，叠加计算后，综合降尘效率为89.6%，</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则</w:t>
            </w:r>
            <w:r>
              <w:rPr>
                <w:rFonts w:hint="default" w:ascii="Times New Roman" w:hAnsi="Times New Roman" w:eastAsia="宋体" w:cs="Times New Roman"/>
                <w:i w:val="0"/>
                <w:color w:val="000000" w:themeColor="text1"/>
                <w:sz w:val="24"/>
                <w:szCs w:val="24"/>
                <w:highlight w:val="none"/>
                <w:lang w:val="en-US" w:eastAsia="zh-CN"/>
                <w14:textFill>
                  <w14:solidFill>
                    <w14:schemeClr w14:val="tx1"/>
                  </w14:solidFill>
                </w14:textFill>
              </w:rPr>
              <w:t>排放量为</w:t>
            </w:r>
            <m:oMath>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12.91</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89.6</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1.34</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0.447</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kg</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/h）</m:t>
              </m:r>
            </m:oMath>
            <w:r>
              <w:rPr>
                <w:rFonts w:hint="default" w:ascii="Times New Roman" w:hAnsi="Times New Roman" w:eastAsia="宋体" w:cs="Times New Roman"/>
                <w:i w:val="0"/>
                <w:color w:val="000000" w:themeColor="text1"/>
                <w:sz w:val="24"/>
                <w:szCs w:val="24"/>
                <w:highlight w:val="none"/>
                <w14:textFill>
                  <w14:solidFill>
                    <w14:schemeClr w14:val="tx1"/>
                  </w14:solidFill>
                </w14:textFill>
              </w:rPr>
              <w:t>，呈无组织排放。</w:t>
            </w:r>
          </w:p>
          <w:p w14:paraId="55FBBF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b/>
                <w:bCs/>
                <w:color w:val="000000" w:themeColor="text1"/>
                <w:kern w:val="0"/>
                <w:sz w:val="24"/>
                <w:szCs w:val="20"/>
                <w:highlight w:val="none"/>
                <w:lang w:val="en-US" w:eastAsia="zh-CN"/>
                <w14:textFill>
                  <w14:solidFill>
                    <w14:schemeClr w14:val="tx1"/>
                  </w14:solidFill>
                </w14:textFill>
              </w:rPr>
            </w:pPr>
            <w:r>
              <w:rPr>
                <w:rFonts w:hint="eastAsia"/>
                <w:b/>
                <w:bCs/>
                <w:color w:val="000000" w:themeColor="text1"/>
                <w:kern w:val="0"/>
                <w:sz w:val="24"/>
                <w:szCs w:val="20"/>
                <w:highlight w:val="none"/>
                <w:lang w:val="en-US" w:eastAsia="zh-CN"/>
                <w14:textFill>
                  <w14:solidFill>
                    <w14:schemeClr w14:val="tx1"/>
                  </w14:solidFill>
                </w14:textFill>
              </w:rPr>
              <w:t>（2）改性剂仓筒粉尘</w:t>
            </w:r>
          </w:p>
          <w:p w14:paraId="6482BE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color w:val="000000" w:themeColor="text1"/>
                <w:sz w:val="24"/>
                <w:szCs w:val="24"/>
                <w:highlight w:val="none"/>
                <w:lang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本项目使用生石灰以及固化剂进行改性，</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使用筒仓储存，</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进料时，筒仓顶部卸压口需打开泄压，进料期间会产生粉尘从卸压口逸散，</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通过</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筒仓仓顶</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自带的脉冲布袋除尘器处理后</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以无</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组织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形式</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排放，</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仓顶自带除尘器</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除尘效率为9</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9</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改性剂仓（石灰筒仓）粉尘参考《北京市混凝土搅拌站扬尘排放因子及排放清单》中粉煤灰筒仓颗粒物排放系数，取值为1.57kg/t-原料</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项目生石灰用量约3.23万t/a（2%），固化剂用量约6.46万t/a（4%），合计9.69万t/a。筒仓仓顶设布袋除尘器，除尘效率按99%计，产生量为</w:t>
            </w:r>
            <m:oMath>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9.69×</m:t>
              </m:r>
              <m:sSup>
                <m:sSupPr>
                  <m:ctrlPr>
                    <w:rPr>
                      <w:rFonts w:hint="default" w:ascii="Cambria Math" w:hAnsi="Cambria Math" w:eastAsia="宋体" w:cs="Times New Roman"/>
                      <w:color w:val="000000" w:themeColor="text1"/>
                      <w:sz w:val="24"/>
                      <w:szCs w:val="24"/>
                      <w:highlight w:val="none"/>
                      <w14:textFill>
                        <w14:solidFill>
                          <w14:schemeClr w14:val="tx1"/>
                        </w14:solidFill>
                      </w14:textFill>
                    </w:rPr>
                  </m:ctrlPr>
                </m:sSupPr>
                <m:e>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10</m:t>
                  </m:r>
                  <m:ctrlPr>
                    <w:rPr>
                      <w:rFonts w:hint="default" w:ascii="Cambria Math" w:hAnsi="Cambria Math" w:eastAsia="宋体" w:cs="Times New Roman"/>
                      <w:color w:val="000000" w:themeColor="text1"/>
                      <w:sz w:val="24"/>
                      <w:szCs w:val="24"/>
                      <w:highlight w:val="none"/>
                      <w14:textFill>
                        <w14:solidFill>
                          <w14:schemeClr w14:val="tx1"/>
                        </w14:solidFill>
                      </w14:textFill>
                    </w:rPr>
                  </m:ctrlPr>
                </m:e>
                <m:sup>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4</m:t>
                  </m:r>
                  <m:ctrlPr>
                    <w:rPr>
                      <w:rFonts w:hint="default" w:ascii="Cambria Math" w:hAnsi="Cambria Math" w:eastAsia="宋体" w:cs="Times New Roman"/>
                      <w:color w:val="000000" w:themeColor="text1"/>
                      <w:sz w:val="24"/>
                      <w:szCs w:val="24"/>
                      <w:highlight w:val="none"/>
                      <w14:textFill>
                        <w14:solidFill>
                          <w14:schemeClr w14:val="tx1"/>
                        </w14:solidFill>
                      </w14:textFill>
                    </w:rPr>
                  </m:ctrlPr>
                </m:sup>
              </m:sSup>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×1.57</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kg</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÷1000=152.13</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oMath>
            <w:r>
              <w:rPr>
                <w:rFonts w:hint="default" w:ascii="Times New Roman" w:hAnsi="Times New Roman" w:eastAsia="宋体" w:cs="Times New Roman"/>
                <w:i w:val="0"/>
                <w:color w:val="000000" w:themeColor="text1"/>
                <w:sz w:val="24"/>
                <w:szCs w:val="24"/>
                <w:highlight w:val="none"/>
                <w:lang w:eastAsia="zh-CN"/>
                <w14:textFill>
                  <w14:solidFill>
                    <w14:schemeClr w14:val="tx1"/>
                  </w14:solidFill>
                </w14:textFill>
              </w:rPr>
              <w:t>。磷石膏改性生产线设置为全封闭式厂房，</w:t>
            </w:r>
            <w:r>
              <w:rPr>
                <w:rFonts w:hint="eastAsia" w:cs="Times New Roman"/>
                <w:i w:val="0"/>
                <w:color w:val="000000" w:themeColor="text1"/>
                <w:sz w:val="24"/>
                <w:szCs w:val="24"/>
                <w:highlight w:val="none"/>
                <w:lang w:val="en-US" w:eastAsia="zh-CN"/>
                <w14:textFill>
                  <w14:solidFill>
                    <w14:schemeClr w14:val="tx1"/>
                  </w14:solidFill>
                </w14:textFill>
              </w:rPr>
              <w:t>安装自动喷雾抑尘装置，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参考《工业源固体物料堆场颗粒物核算系数手册》附录4：粉尘控制措施控制效率，洒水：74%、围挡：60%，叠加计算后，综合降尘效率为89.6%，</w:t>
            </w:r>
            <w:r>
              <w:rPr>
                <w:rFonts w:hint="default" w:ascii="Times New Roman" w:hAnsi="Times New Roman" w:eastAsia="宋体" w:cs="Times New Roman"/>
                <w:i w:val="0"/>
                <w:color w:val="000000" w:themeColor="text1"/>
                <w:sz w:val="24"/>
                <w:szCs w:val="24"/>
                <w:highlight w:val="none"/>
                <w:lang w:val="en-US" w:eastAsia="zh-CN"/>
                <w14:textFill>
                  <w14:solidFill>
                    <w14:schemeClr w14:val="tx1"/>
                  </w14:solidFill>
                </w14:textFill>
              </w:rPr>
              <w:t>排放量为</w:t>
            </w:r>
            <m:oMath>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152.13</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×(1−99%)×(1−</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89.6</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0.158</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（0.</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053</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kg</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/h）</m:t>
              </m:r>
            </m:oMath>
            <w:r>
              <w:rPr>
                <w:rFonts w:hint="default" w:ascii="Times New Roman" w:hAnsi="Times New Roman" w:eastAsia="宋体" w:cs="Times New Roman"/>
                <w:i w:val="0"/>
                <w:color w:val="000000" w:themeColor="text1"/>
                <w:sz w:val="24"/>
                <w:szCs w:val="24"/>
                <w:highlight w:val="none"/>
                <w:lang w:eastAsia="zh-CN"/>
                <w14:textFill>
                  <w14:solidFill>
                    <w14:schemeClr w14:val="tx1"/>
                  </w14:solidFill>
                </w14:textFill>
              </w:rPr>
              <w:t>。</w:t>
            </w:r>
          </w:p>
          <w:p w14:paraId="2806B9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i w:val="0"/>
                <w:color w:val="000000" w:themeColor="text1"/>
                <w:sz w:val="24"/>
                <w:szCs w:val="24"/>
                <w:highlight w:val="none"/>
                <w:lang w:val="en-US" w:eastAsia="zh-CN"/>
                <w14:textFill>
                  <w14:solidFill>
                    <w14:schemeClr w14:val="tx1"/>
                  </w14:solidFill>
                </w14:textFill>
              </w:rPr>
            </w:pPr>
            <w:r>
              <w:rPr>
                <w:rFonts w:hint="eastAsia" w:cs="Times New Roman"/>
                <w:b/>
                <w:bCs/>
                <w:i w:val="0"/>
                <w:color w:val="000000" w:themeColor="text1"/>
                <w:sz w:val="24"/>
                <w:szCs w:val="24"/>
                <w:highlight w:val="none"/>
                <w:lang w:eastAsia="zh-CN"/>
                <w14:textFill>
                  <w14:solidFill>
                    <w14:schemeClr w14:val="tx1"/>
                  </w14:solidFill>
                </w14:textFill>
              </w:rPr>
              <w:t>（</w:t>
            </w:r>
            <w:r>
              <w:rPr>
                <w:rFonts w:hint="eastAsia" w:cs="Times New Roman"/>
                <w:b/>
                <w:bCs/>
                <w:i w:val="0"/>
                <w:color w:val="000000" w:themeColor="text1"/>
                <w:sz w:val="24"/>
                <w:szCs w:val="24"/>
                <w:highlight w:val="none"/>
                <w:lang w:val="en-US" w:eastAsia="zh-CN"/>
                <w14:textFill>
                  <w14:solidFill>
                    <w14:schemeClr w14:val="tx1"/>
                  </w14:solidFill>
                </w14:textFill>
              </w:rPr>
              <w:t>3</w:t>
            </w:r>
            <w:r>
              <w:rPr>
                <w:rFonts w:hint="eastAsia" w:cs="Times New Roman"/>
                <w:b/>
                <w:bCs/>
                <w:i w:val="0"/>
                <w:color w:val="000000" w:themeColor="text1"/>
                <w:sz w:val="24"/>
                <w:szCs w:val="24"/>
                <w:highlight w:val="none"/>
                <w:lang w:eastAsia="zh-CN"/>
                <w14:textFill>
                  <w14:solidFill>
                    <w14:schemeClr w14:val="tx1"/>
                  </w14:solidFill>
                </w14:textFill>
              </w:rPr>
              <w:t>）</w:t>
            </w:r>
            <w:r>
              <w:rPr>
                <w:rFonts w:hint="eastAsia" w:cs="Times New Roman"/>
                <w:b/>
                <w:bCs/>
                <w:i w:val="0"/>
                <w:color w:val="000000" w:themeColor="text1"/>
                <w:sz w:val="24"/>
                <w:szCs w:val="24"/>
                <w:highlight w:val="none"/>
                <w:lang w:val="en-US" w:eastAsia="zh-CN"/>
                <w14:textFill>
                  <w14:solidFill>
                    <w14:schemeClr w14:val="tx1"/>
                  </w14:solidFill>
                </w14:textFill>
              </w:rPr>
              <w:t>磷石膏粉碎粉尘</w:t>
            </w:r>
          </w:p>
          <w:p w14:paraId="7342EF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eastAsia="宋体" w:cs="Times New Roman"/>
                <w:i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原料磷石膏长期在磷石膏渣库堆存，会出现板结情况，需要进行粉碎后方可进行混料搅拌，粉碎工段粉尘参考《逸散性工业粉尘控制技术》“第十八章粒料加工厂、砂和砾石”进行核算，粉尘排放因子均为0.05kg/t-破碎料，</w:t>
            </w:r>
            <w:r>
              <w:rPr>
                <w:rFonts w:hint="default"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本项目磷石膏改性投料量为161.42万t/a，投料环节废气产生量为</w:t>
            </w:r>
            <m:oMath>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161.42×</m:t>
              </m:r>
              <m:sSup>
                <m:sSupPr>
                  <m:ctrlPr>
                    <w:rPr>
                      <w:rFonts w:hint="default" w:ascii="Cambria Math" w:hAnsi="Cambria Math" w:eastAsia="宋体" w:cs="Times New Roman"/>
                      <w:color w:val="000000" w:themeColor="text1"/>
                      <w:sz w:val="24"/>
                      <w:szCs w:val="24"/>
                      <w:highlight w:val="none"/>
                      <w14:textFill>
                        <w14:solidFill>
                          <w14:schemeClr w14:val="tx1"/>
                        </w14:solidFill>
                      </w14:textFill>
                    </w:rPr>
                  </m:ctrlPr>
                </m:sSupPr>
                <m:e>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10</m:t>
                  </m:r>
                  <m:ctrlPr>
                    <w:rPr>
                      <w:rFonts w:hint="default" w:ascii="Cambria Math" w:hAnsi="Cambria Math" w:eastAsia="宋体" w:cs="Times New Roman"/>
                      <w:color w:val="000000" w:themeColor="text1"/>
                      <w:sz w:val="24"/>
                      <w:szCs w:val="24"/>
                      <w:highlight w:val="none"/>
                      <w14:textFill>
                        <w14:solidFill>
                          <w14:schemeClr w14:val="tx1"/>
                        </w14:solidFill>
                      </w14:textFill>
                    </w:rPr>
                  </m:ctrlPr>
                </m:e>
                <m:sup>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4</m:t>
                  </m:r>
                  <m:ctrlPr>
                    <w:rPr>
                      <w:rFonts w:hint="default" w:ascii="Cambria Math" w:hAnsi="Cambria Math" w:eastAsia="宋体" w:cs="Times New Roman"/>
                      <w:color w:val="000000" w:themeColor="text1"/>
                      <w:sz w:val="24"/>
                      <w:szCs w:val="24"/>
                      <w:highlight w:val="none"/>
                      <w14:textFill>
                        <w14:solidFill>
                          <w14:schemeClr w14:val="tx1"/>
                        </w14:solidFill>
                      </w14:textFill>
                    </w:rPr>
                  </m:ctrlPr>
                </m:sup>
              </m:sSup>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×0.0</m:t>
              </m:r>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5</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kg</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÷1000=</m:t>
              </m:r>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80.71</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oMath>
            <w:r>
              <w:rPr>
                <w:rFonts w:hint="eastAsia" w:cs="Times New Roman"/>
                <w:i w:val="0"/>
                <w:color w:val="000000" w:themeColor="text1"/>
                <w:sz w:val="24"/>
                <w:szCs w:val="24"/>
                <w:highlight w:val="none"/>
                <w:lang w:eastAsia="zh-CN"/>
                <w14:textFill>
                  <w14:solidFill>
                    <w14:schemeClr w14:val="tx1"/>
                  </w14:solidFill>
                </w14:textFill>
              </w:rPr>
              <w:t>，</w:t>
            </w:r>
            <w:r>
              <w:rPr>
                <w:rFonts w:hint="eastAsia" w:cs="Times New Roman"/>
                <w:i w:val="0"/>
                <w:color w:val="000000" w:themeColor="text1"/>
                <w:sz w:val="24"/>
                <w:szCs w:val="24"/>
                <w:highlight w:val="none"/>
                <w:lang w:val="en-US" w:eastAsia="zh-CN"/>
                <w14:textFill>
                  <w14:solidFill>
                    <w14:schemeClr w14:val="tx1"/>
                  </w14:solidFill>
                </w14:textFill>
              </w:rPr>
              <w:t>产生速率为26.9kg/h。</w:t>
            </w:r>
            <w:r>
              <w:rPr>
                <w:rFonts w:hint="default" w:ascii="Times New Roman" w:hAnsi="Times New Roman" w:eastAsia="宋体" w:cs="Times New Roman"/>
                <w:i w:val="0"/>
                <w:color w:val="000000" w:themeColor="text1"/>
                <w:sz w:val="24"/>
                <w:szCs w:val="24"/>
                <w:highlight w:val="none"/>
                <w:lang w:eastAsia="zh-CN"/>
                <w14:textFill>
                  <w14:solidFill>
                    <w14:schemeClr w14:val="tx1"/>
                  </w14:solidFill>
                </w14:textFill>
              </w:rPr>
              <w:t>磷石膏改性生产线设置为全封闭式厂房，</w:t>
            </w:r>
            <w:r>
              <w:rPr>
                <w:rFonts w:hint="eastAsia" w:cs="Times New Roman"/>
                <w:i w:val="0"/>
                <w:color w:val="000000" w:themeColor="text1"/>
                <w:sz w:val="24"/>
                <w:szCs w:val="24"/>
                <w:highlight w:val="none"/>
                <w:lang w:val="en-US" w:eastAsia="zh-CN"/>
                <w14:textFill>
                  <w14:solidFill>
                    <w14:schemeClr w14:val="tx1"/>
                  </w14:solidFill>
                </w14:textFill>
              </w:rPr>
              <w:t>安装自动喷雾抑尘装置，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参考《工业源固体物料堆场颗粒物核算系数手册》附录4：粉尘控制措施控制效率，洒水：74%、围挡：60%，叠加计算后，综合降尘效率为89.6%，</w:t>
            </w:r>
            <w:r>
              <w:rPr>
                <w:rFonts w:hint="eastAsia" w:cs="Times New Roman"/>
                <w:color w:val="000000" w:themeColor="text1"/>
                <w:sz w:val="24"/>
                <w:szCs w:val="24"/>
                <w:highlight w:val="none"/>
                <w:lang w:val="en-US" w:eastAsia="zh-CN"/>
                <w14:textFill>
                  <w14:solidFill>
                    <w14:schemeClr w14:val="tx1"/>
                  </w14:solidFill>
                </w14:textFill>
              </w:rPr>
              <w:t>则搅拌工段粉尘</w:t>
            </w:r>
            <w:r>
              <w:rPr>
                <w:rFonts w:hint="default" w:ascii="Times New Roman" w:hAnsi="Times New Roman" w:eastAsia="宋体" w:cs="Times New Roman"/>
                <w:i w:val="0"/>
                <w:color w:val="000000" w:themeColor="text1"/>
                <w:sz w:val="24"/>
                <w:szCs w:val="24"/>
                <w:highlight w:val="none"/>
                <w:lang w:val="en-US" w:eastAsia="zh-CN"/>
                <w14:textFill>
                  <w14:solidFill>
                    <w14:schemeClr w14:val="tx1"/>
                  </w14:solidFill>
                </w14:textFill>
              </w:rPr>
              <w:t>排放量为</w:t>
            </w:r>
            <m:oMath>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80.71</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89.6</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8.39</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oMath>
            <w:r>
              <w:rPr>
                <w:rFonts w:hint="default" w:ascii="Times New Roman" w:hAnsi="Times New Roman" w:eastAsia="宋体" w:cs="Times New Roman"/>
                <w:i w:val="0"/>
                <w:color w:val="000000" w:themeColor="text1"/>
                <w:sz w:val="24"/>
                <w:szCs w:val="24"/>
                <w:highlight w:val="none"/>
                <w14:textFill>
                  <w14:solidFill>
                    <w14:schemeClr w14:val="tx1"/>
                  </w14:solidFill>
                </w14:textFill>
              </w:rPr>
              <w:t>，</w:t>
            </w:r>
            <w:r>
              <w:rPr>
                <w:rFonts w:hint="eastAsia" w:cs="Times New Roman"/>
                <w:i w:val="0"/>
                <w:color w:val="000000" w:themeColor="text1"/>
                <w:sz w:val="24"/>
                <w:szCs w:val="24"/>
                <w:highlight w:val="none"/>
                <w:lang w:val="en-US" w:eastAsia="zh-CN"/>
                <w14:textFill>
                  <w14:solidFill>
                    <w14:schemeClr w14:val="tx1"/>
                  </w14:solidFill>
                </w14:textFill>
              </w:rPr>
              <w:t>2.798kg/h，</w:t>
            </w:r>
            <w:r>
              <w:rPr>
                <w:rFonts w:hint="default" w:ascii="Times New Roman" w:hAnsi="Times New Roman" w:eastAsia="宋体" w:cs="Times New Roman"/>
                <w:i w:val="0"/>
                <w:color w:val="000000" w:themeColor="text1"/>
                <w:sz w:val="24"/>
                <w:szCs w:val="24"/>
                <w:highlight w:val="none"/>
                <w14:textFill>
                  <w14:solidFill>
                    <w14:schemeClr w14:val="tx1"/>
                  </w14:solidFill>
                </w14:textFill>
              </w:rPr>
              <w:t>呈无组织排放。</w:t>
            </w:r>
          </w:p>
          <w:p w14:paraId="1FC6A7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w:t>
            </w:r>
            <w:r>
              <w:rPr>
                <w:rFonts w:hint="eastAsia" w:cs="Times New Roman"/>
                <w:b/>
                <w:bCs/>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）混合搅拌粉尘</w:t>
            </w:r>
          </w:p>
          <w:p w14:paraId="2D427E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i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改性成套装置中磷石膏和改性剂改性混配料过程有少量粉尘产生，</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参考</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《工业源产排污核算方法和系数手册》3021水泥制品制造行业—物料搅拌—水泥、砂子、石子等—物料混合搅拌：颗粒物：0.13千克/吨产品</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。本项目混料总量约171.11万t/a（含药剂），混料粉尘产生量为</w:t>
            </w:r>
            <m:oMath>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171.11×</m:t>
              </m:r>
              <m:sSup>
                <m:sSupPr>
                  <m:ctrlPr>
                    <w:rPr>
                      <w:rFonts w:hint="default" w:ascii="Cambria Math" w:hAnsi="Cambria Math" w:eastAsia="宋体" w:cs="Times New Roman"/>
                      <w:color w:val="000000" w:themeColor="text1"/>
                      <w:sz w:val="24"/>
                      <w:szCs w:val="24"/>
                      <w:highlight w:val="none"/>
                      <w14:textFill>
                        <w14:solidFill>
                          <w14:schemeClr w14:val="tx1"/>
                        </w14:solidFill>
                      </w14:textFill>
                    </w:rPr>
                  </m:ctrlPr>
                </m:sSupPr>
                <m:e>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10</m:t>
                  </m:r>
                  <m:ctrlPr>
                    <w:rPr>
                      <w:rFonts w:hint="default" w:ascii="Cambria Math" w:hAnsi="Cambria Math" w:eastAsia="宋体" w:cs="Times New Roman"/>
                      <w:color w:val="000000" w:themeColor="text1"/>
                      <w:sz w:val="24"/>
                      <w:szCs w:val="24"/>
                      <w:highlight w:val="none"/>
                      <w14:textFill>
                        <w14:solidFill>
                          <w14:schemeClr w14:val="tx1"/>
                        </w14:solidFill>
                      </w14:textFill>
                    </w:rPr>
                  </m:ctrlPr>
                </m:e>
                <m:sup>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4</m:t>
                  </m:r>
                  <m:ctrlPr>
                    <w:rPr>
                      <w:rFonts w:hint="default" w:ascii="Cambria Math" w:hAnsi="Cambria Math" w:eastAsia="宋体" w:cs="Times New Roman"/>
                      <w:color w:val="000000" w:themeColor="text1"/>
                      <w:sz w:val="24"/>
                      <w:szCs w:val="24"/>
                      <w:highlight w:val="none"/>
                      <w14:textFill>
                        <w14:solidFill>
                          <w14:schemeClr w14:val="tx1"/>
                        </w14:solidFill>
                      </w14:textFill>
                    </w:rPr>
                  </m:ctrlPr>
                </m:sup>
              </m:sSup>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×0.1</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3</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kg</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÷1000=</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222.443</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oMath>
            <w:r>
              <w:rPr>
                <w:rFonts w:hint="eastAsia" w:cs="Times New Roman"/>
                <w:i w:val="0"/>
                <w:color w:val="000000" w:themeColor="text1"/>
                <w:sz w:val="24"/>
                <w:szCs w:val="24"/>
                <w:highlight w:val="none"/>
                <w:lang w:eastAsia="zh-CN"/>
                <w14:textFill>
                  <w14:solidFill>
                    <w14:schemeClr w14:val="tx1"/>
                  </w14:solidFill>
                </w14:textFill>
              </w:rPr>
              <w:t>，</w:t>
            </w:r>
            <w:r>
              <w:rPr>
                <w:rFonts w:hint="eastAsia" w:cs="Times New Roman"/>
                <w:i w:val="0"/>
                <w:color w:val="000000" w:themeColor="text1"/>
                <w:sz w:val="24"/>
                <w:szCs w:val="24"/>
                <w:highlight w:val="none"/>
                <w:lang w:val="en-US" w:eastAsia="zh-CN"/>
                <w14:textFill>
                  <w14:solidFill>
                    <w14:schemeClr w14:val="tx1"/>
                  </w14:solidFill>
                </w14:textFill>
              </w:rPr>
              <w:t>74.148kg/h。</w:t>
            </w:r>
          </w:p>
          <w:p w14:paraId="103E7E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i w:val="0"/>
                <w:color w:val="000000" w:themeColor="text1"/>
                <w:sz w:val="24"/>
                <w:szCs w:val="24"/>
                <w:highlight w:val="none"/>
                <w:lang w:eastAsia="zh-CN"/>
                <w14:textFill>
                  <w14:solidFill>
                    <w14:schemeClr w14:val="tx1"/>
                  </w14:solidFill>
                </w14:textFill>
              </w:rPr>
              <w:t>改性成套装置搅拌混合自带袋式除尘器，降尘</w:t>
            </w:r>
            <w:r>
              <w:rPr>
                <w:rFonts w:hint="eastAsia" w:cs="Times New Roman"/>
                <w:i w:val="0"/>
                <w:color w:val="000000" w:themeColor="text1"/>
                <w:sz w:val="24"/>
                <w:szCs w:val="24"/>
                <w:highlight w:val="none"/>
                <w:lang w:val="en-US" w:eastAsia="zh-CN"/>
                <w14:textFill>
                  <w14:solidFill>
                    <w14:schemeClr w14:val="tx1"/>
                  </w14:solidFill>
                </w14:textFill>
              </w:rPr>
              <w:t>效率按</w:t>
            </w:r>
            <w:r>
              <w:rPr>
                <w:rFonts w:hint="default" w:ascii="Times New Roman" w:hAnsi="Times New Roman" w:eastAsia="宋体" w:cs="Times New Roman"/>
                <w:i w:val="0"/>
                <w:color w:val="000000" w:themeColor="text1"/>
                <w:sz w:val="24"/>
                <w:szCs w:val="24"/>
                <w:highlight w:val="none"/>
                <w:lang w:eastAsia="zh-CN"/>
                <w14:textFill>
                  <w14:solidFill>
                    <w14:schemeClr w14:val="tx1"/>
                  </w14:solidFill>
                </w14:textFill>
              </w:rPr>
              <w:t>99%，</w:t>
            </w:r>
            <w:r>
              <w:rPr>
                <w:rFonts w:hint="eastAsia" w:cs="Times New Roman"/>
                <w:i w:val="0"/>
                <w:color w:val="000000" w:themeColor="text1"/>
                <w:sz w:val="24"/>
                <w:szCs w:val="24"/>
                <w:highlight w:val="none"/>
                <w:lang w:val="en-US" w:eastAsia="zh-CN"/>
                <w14:textFill>
                  <w14:solidFill>
                    <w14:schemeClr w14:val="tx1"/>
                  </w14:solidFill>
                </w14:textFill>
              </w:rPr>
              <w:t>经自带除尘器处理后以无组织形式排放，</w:t>
            </w:r>
            <w:r>
              <w:rPr>
                <w:rFonts w:hint="default" w:ascii="Times New Roman" w:hAnsi="Times New Roman" w:eastAsia="宋体" w:cs="Times New Roman"/>
                <w:i w:val="0"/>
                <w:color w:val="000000" w:themeColor="text1"/>
                <w:sz w:val="24"/>
                <w:szCs w:val="24"/>
                <w:highlight w:val="none"/>
                <w:lang w:eastAsia="zh-CN"/>
                <w14:textFill>
                  <w14:solidFill>
                    <w14:schemeClr w14:val="tx1"/>
                  </w14:solidFill>
                </w14:textFill>
              </w:rPr>
              <w:t>磷石膏改性生产线设置为全封闭式厂房，</w:t>
            </w:r>
            <w:r>
              <w:rPr>
                <w:rFonts w:hint="eastAsia" w:cs="Times New Roman"/>
                <w:i w:val="0"/>
                <w:color w:val="000000" w:themeColor="text1"/>
                <w:sz w:val="24"/>
                <w:szCs w:val="24"/>
                <w:highlight w:val="none"/>
                <w:lang w:val="en-US" w:eastAsia="zh-CN"/>
                <w14:textFill>
                  <w14:solidFill>
                    <w14:schemeClr w14:val="tx1"/>
                  </w14:solidFill>
                </w14:textFill>
              </w:rPr>
              <w:t>安装自动喷雾抑尘装置，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参考《工业源固体物料堆场颗粒物核算系数手册》附录4：粉尘控制措施控制效率，洒水：74%、围挡：60%，叠加计算后，综合降尘效率为89.6%，</w:t>
            </w:r>
            <w:r>
              <w:rPr>
                <w:rFonts w:hint="eastAsia" w:cs="Times New Roman"/>
                <w:color w:val="000000" w:themeColor="text1"/>
                <w:sz w:val="24"/>
                <w:szCs w:val="24"/>
                <w:highlight w:val="none"/>
                <w:lang w:val="en-US" w:eastAsia="zh-CN"/>
                <w14:textFill>
                  <w14:solidFill>
                    <w14:schemeClr w14:val="tx1"/>
                  </w14:solidFill>
                </w14:textFill>
              </w:rPr>
              <w:t>则搅拌工段粉尘</w:t>
            </w:r>
            <w:r>
              <w:rPr>
                <w:rFonts w:hint="default" w:ascii="Times New Roman" w:hAnsi="Times New Roman" w:eastAsia="宋体" w:cs="Times New Roman"/>
                <w:i w:val="0"/>
                <w:color w:val="000000" w:themeColor="text1"/>
                <w:sz w:val="24"/>
                <w:szCs w:val="24"/>
                <w:highlight w:val="none"/>
                <w:lang w:val="en-US" w:eastAsia="zh-CN"/>
                <w14:textFill>
                  <w14:solidFill>
                    <w14:schemeClr w14:val="tx1"/>
                  </w14:solidFill>
                </w14:textFill>
              </w:rPr>
              <w:t>排放量为</w:t>
            </w:r>
            <m:oMath>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222.443</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×(1−99%)×(1−</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89.6</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%)≈0.</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23</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oMath>
            <w:r>
              <w:rPr>
                <w:rFonts w:hint="default" w:ascii="Times New Roman" w:hAnsi="Times New Roman" w:eastAsia="宋体" w:cs="Times New Roman"/>
                <w:i w:val="0"/>
                <w:color w:val="000000" w:themeColor="text1"/>
                <w:sz w:val="24"/>
                <w:szCs w:val="24"/>
                <w:highlight w:val="none"/>
                <w14:textFill>
                  <w14:solidFill>
                    <w14:schemeClr w14:val="tx1"/>
                  </w14:solidFill>
                </w14:textFill>
              </w:rPr>
              <w:t>，</w:t>
            </w:r>
            <w:r>
              <w:rPr>
                <w:rFonts w:hint="eastAsia" w:cs="Times New Roman"/>
                <w:i w:val="0"/>
                <w:color w:val="000000" w:themeColor="text1"/>
                <w:sz w:val="24"/>
                <w:szCs w:val="24"/>
                <w:highlight w:val="none"/>
                <w:lang w:val="en-US" w:eastAsia="zh-CN"/>
                <w14:textFill>
                  <w14:solidFill>
                    <w14:schemeClr w14:val="tx1"/>
                  </w14:solidFill>
                </w14:textFill>
              </w:rPr>
              <w:t>0.077kg/h，</w:t>
            </w:r>
            <w:r>
              <w:rPr>
                <w:rFonts w:hint="default" w:ascii="Times New Roman" w:hAnsi="Times New Roman" w:eastAsia="宋体" w:cs="Times New Roman"/>
                <w:i w:val="0"/>
                <w:color w:val="000000" w:themeColor="text1"/>
                <w:sz w:val="24"/>
                <w:szCs w:val="24"/>
                <w:highlight w:val="none"/>
                <w14:textFill>
                  <w14:solidFill>
                    <w14:schemeClr w14:val="tx1"/>
                  </w14:solidFill>
                </w14:textFill>
              </w:rPr>
              <w:t>呈无组织排放。</w:t>
            </w:r>
          </w:p>
          <w:p w14:paraId="410E9E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w:t>
            </w:r>
            <w:r>
              <w:rPr>
                <w:rFonts w:hint="eastAsia" w:cs="Times New Roman"/>
                <w:b/>
                <w:bCs/>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w:t>
            </w:r>
            <w:r>
              <w:rPr>
                <w:rFonts w:hint="eastAsia" w:cs="Times New Roman"/>
                <w:b/>
                <w:bCs/>
                <w:color w:val="000000" w:themeColor="text1"/>
                <w:kern w:val="0"/>
                <w:sz w:val="24"/>
                <w:szCs w:val="24"/>
                <w:highlight w:val="none"/>
                <w:lang w:val="en-US" w:eastAsia="zh-CN"/>
                <w14:textFill>
                  <w14:solidFill>
                    <w14:schemeClr w14:val="tx1"/>
                  </w14:solidFill>
                </w14:textFill>
              </w:rPr>
              <w:t>传送带输送</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粉尘</w:t>
            </w:r>
          </w:p>
          <w:p w14:paraId="5CF0F8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磷石膏经改性无害化处理后通过皮带输送机运输至待检区，运输过程有少量粉尘产生。根据《散逸性工业粉尘控制技术》，运输粉尘产生量约0.01kg/t（干料），则改性磷石膏输送粉尘产生量约</w:t>
            </w:r>
            <m:oMath>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171.11×</m:t>
              </m:r>
              <m:sSup>
                <m:sSupPr>
                  <m:ctrlPr>
                    <w:rPr>
                      <w:rFonts w:hint="default" w:ascii="Cambria Math" w:hAnsi="Cambria Math" w:eastAsia="宋体" w:cs="Times New Roman"/>
                      <w:color w:val="000000" w:themeColor="text1"/>
                      <w:sz w:val="24"/>
                      <w:szCs w:val="24"/>
                      <w:highlight w:val="none"/>
                      <w14:textFill>
                        <w14:solidFill>
                          <w14:schemeClr w14:val="tx1"/>
                        </w14:solidFill>
                      </w14:textFill>
                    </w:rPr>
                  </m:ctrlPr>
                </m:sSupPr>
                <m:e>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10</m:t>
                  </m:r>
                  <m:ctrlPr>
                    <w:rPr>
                      <w:rFonts w:hint="default" w:ascii="Cambria Math" w:hAnsi="Cambria Math" w:eastAsia="宋体" w:cs="Times New Roman"/>
                      <w:color w:val="000000" w:themeColor="text1"/>
                      <w:sz w:val="24"/>
                      <w:szCs w:val="24"/>
                      <w:highlight w:val="none"/>
                      <w14:textFill>
                        <w14:solidFill>
                          <w14:schemeClr w14:val="tx1"/>
                        </w14:solidFill>
                      </w14:textFill>
                    </w:rPr>
                  </m:ctrlPr>
                </m:e>
                <m:sup>
                  <m:r>
                    <m:rPr>
                      <m:nor/>
                      <m:sty m:val="p"/>
                    </m:rPr>
                    <w:rPr>
                      <w:rFonts w:hint="default" w:ascii="Times New Roman" w:hAnsi="Times New Roman" w:eastAsia="宋体" w:cs="Times New Roman"/>
                      <w:b w:val="0"/>
                      <w:i w:val="0"/>
                      <w:color w:val="000000" w:themeColor="text1"/>
                      <w:sz w:val="24"/>
                      <w:szCs w:val="24"/>
                      <w:highlight w:val="none"/>
                      <w:lang w:val="en-US" w:eastAsia="zh-CN"/>
                      <w14:textFill>
                        <w14:solidFill>
                          <w14:schemeClr w14:val="tx1"/>
                        </w14:solidFill>
                      </w14:textFill>
                    </w:rPr>
                    <m:t>4</m:t>
                  </m:r>
                  <m:ctrlPr>
                    <w:rPr>
                      <w:rFonts w:hint="default" w:ascii="Cambria Math" w:hAnsi="Cambria Math" w:eastAsia="宋体" w:cs="Times New Roman"/>
                      <w:color w:val="000000" w:themeColor="text1"/>
                      <w:sz w:val="24"/>
                      <w:szCs w:val="24"/>
                      <w:highlight w:val="none"/>
                      <w14:textFill>
                        <w14:solidFill>
                          <w14:schemeClr w14:val="tx1"/>
                        </w14:solidFill>
                      </w14:textFill>
                    </w:rPr>
                  </m:ctrlPr>
                </m:sup>
              </m:sSup>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×0.0</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1</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kg</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÷1000=</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17.111</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oMath>
            <w:r>
              <w:rPr>
                <w:rFonts w:hint="eastAsia" w:cs="Times New Roman"/>
                <w:i w:val="0"/>
                <w:color w:val="000000" w:themeColor="text1"/>
                <w:sz w:val="24"/>
                <w:szCs w:val="24"/>
                <w:highlight w:val="none"/>
                <w:lang w:eastAsia="zh-CN"/>
                <w14:textFill>
                  <w14:solidFill>
                    <w14:schemeClr w14:val="tx1"/>
                  </w14:solidFill>
                </w14:textFill>
              </w:rPr>
              <w:t>，</w:t>
            </w:r>
            <w:r>
              <w:rPr>
                <w:rFonts w:hint="eastAsia" w:cs="Times New Roman"/>
                <w:i w:val="0"/>
                <w:color w:val="000000" w:themeColor="text1"/>
                <w:sz w:val="24"/>
                <w:szCs w:val="24"/>
                <w:highlight w:val="none"/>
                <w:lang w:val="en-US" w:eastAsia="zh-CN"/>
                <w14:textFill>
                  <w14:solidFill>
                    <w14:schemeClr w14:val="tx1"/>
                  </w14:solidFill>
                </w14:textFill>
              </w:rPr>
              <w:t>5.704kg/h，</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改性磷石膏输送带采用密闭式，</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参考《工业源固体物料堆场颗粒物核算系数手册》附录4：粉尘控制措施控制效率，洒水：74%、围挡：60%，叠加计算后，综合降尘效率为89.6%，</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排放则改性磷石膏输送粉尘排放量为</w:t>
            </w:r>
            <m:oMath>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17.111</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×(1−</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89.6</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1.78</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t</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a</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（0.</m:t>
              </m:r>
              <m:r>
                <m:rPr>
                  <m:nor/>
                  <m:sty m:val="p"/>
                </m:rPr>
                <w:rPr>
                  <w:rFonts w:hint="default" w:cs="Times New Roman"/>
                  <w:b w:val="0"/>
                  <w:i w:val="0"/>
                  <w:color w:val="000000" w:themeColor="text1"/>
                  <w:sz w:val="24"/>
                  <w:szCs w:val="24"/>
                  <w:highlight w:val="none"/>
                  <w:lang w:val="en-US" w:eastAsia="zh-CN"/>
                  <w14:textFill>
                    <w14:solidFill>
                      <w14:schemeClr w14:val="tx1"/>
                    </w14:solidFill>
                  </w14:textFill>
                </w:rPr>
                <m:t>593</m:t>
              </m:r>
              <m:r>
                <m:rPr>
                  <m:nor/>
                </m:rPr>
                <w:rPr>
                  <w:rFonts w:hint="default" w:ascii="Times New Roman" w:hAnsi="Times New Roman" w:eastAsia="宋体" w:cs="Times New Roman"/>
                  <w:i/>
                  <w:color w:val="000000" w:themeColor="text1"/>
                  <w:sz w:val="24"/>
                  <w:szCs w:val="24"/>
                  <w:highlight w:val="none"/>
                  <w14:textFill>
                    <w14:solidFill>
                      <w14:schemeClr w14:val="tx1"/>
                    </w14:solidFill>
                  </w14:textFill>
                </w:rPr>
                <m:t>kg</m:t>
              </m:r>
              <m:r>
                <m:rPr>
                  <m:nor/>
                  <m:sty m:val="p"/>
                </m:rPr>
                <w:rPr>
                  <w:rFonts w:hint="default" w:ascii="Times New Roman" w:hAnsi="Times New Roman" w:eastAsia="宋体" w:cs="Times New Roman"/>
                  <w:b w:val="0"/>
                  <w:i w:val="0"/>
                  <w:color w:val="000000" w:themeColor="text1"/>
                  <w:sz w:val="24"/>
                  <w:szCs w:val="24"/>
                  <w:highlight w:val="none"/>
                  <w14:textFill>
                    <w14:solidFill>
                      <w14:schemeClr w14:val="tx1"/>
                    </w14:solidFill>
                  </w14:textFill>
                </w:rPr>
                <m:t>/h）</m:t>
              </m:r>
            </m:oMath>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，呈无组织排放。</w:t>
            </w:r>
          </w:p>
          <w:p w14:paraId="538290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（5）改性磷石膏熟化粉尘</w:t>
            </w:r>
          </w:p>
          <w:p w14:paraId="3DFE5E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改性磷石膏熟化堆存过程</w:t>
            </w:r>
            <w:r>
              <w:rPr>
                <w:rFonts w:hint="eastAsia" w:cs="Times New Roman"/>
                <w:color w:val="000000" w:themeColor="text1"/>
                <w:kern w:val="0"/>
                <w:sz w:val="24"/>
                <w:szCs w:val="24"/>
                <w:highlight w:val="none"/>
                <w:lang w:val="en-US" w:eastAsia="zh-CN"/>
                <w14:textFill>
                  <w14:solidFill>
                    <w14:schemeClr w14:val="tx1"/>
                  </w14:solidFill>
                </w14:textFill>
              </w:rPr>
              <w:t>在全密闭车间内进行，改性后的磷石膏含水率为20-25%，在密闭车间暂存状态下不会产生粉尘，本次环评仅做定性分析</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p w14:paraId="19C3D2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pPr>
            <w:r>
              <w:rPr>
                <w:rFonts w:hint="eastAsia" w:cs="Times New Roman"/>
                <w:b/>
                <w:bCs/>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场外运输扬尘（改性区至矿坑回填点）</w:t>
            </w:r>
          </w:p>
          <w:p w14:paraId="74DF07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项目改性后的磷石膏需运输至</w:t>
            </w:r>
            <w:r>
              <w:rPr>
                <w:rFonts w:hint="eastAsia" w:cs="Times New Roman"/>
                <w:color w:val="000000" w:themeColor="text1"/>
                <w:kern w:val="0"/>
                <w:sz w:val="24"/>
                <w:szCs w:val="24"/>
                <w:highlight w:val="none"/>
                <w:lang w:val="en-US" w:eastAsia="zh-CN"/>
                <w14:textFill>
                  <w14:solidFill>
                    <w14:schemeClr w14:val="tx1"/>
                  </w14:solidFill>
                </w14:textFill>
              </w:rPr>
              <w:t>令友采石场</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进行回填，单程运输距离约12.2km。运输过程扬尘严格按如下经验公式估算：</w:t>
            </w:r>
          </w:p>
          <w:p w14:paraId="7AE139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0" w:firstLineChars="200"/>
              <w:textAlignment w:val="auto"/>
              <w:rPr>
                <w:rFonts w:hint="default" w:hAnsi="Cambria Math" w:eastAsia="KaTeX_Math"/>
                <w:color w:val="000000" w:themeColor="text1"/>
                <w:sz w:val="25"/>
                <w:szCs w:val="20"/>
                <w:highlight w:val="none"/>
                <w14:textFill>
                  <w14:solidFill>
                    <w14:schemeClr w14:val="tx1"/>
                  </w14:solidFill>
                </w14:textFill>
              </w:rPr>
            </w:pPr>
            <m:oMathPara>
              <m:oMath>
                <m:r>
                  <m:rPr/>
                  <w:rPr>
                    <w:rFonts w:hint="default" w:ascii="Cambria Math" w:hAnsi="Cambria Math" w:eastAsia="KaTeX_Math"/>
                    <w:color w:val="000000" w:themeColor="text1"/>
                    <w:sz w:val="25"/>
                    <w:szCs w:val="20"/>
                    <w:highlight w:val="none"/>
                    <w14:textFill>
                      <w14:solidFill>
                        <w14:schemeClr w14:val="tx1"/>
                      </w14:solidFill>
                    </w14:textFill>
                  </w:rPr>
                  <m:t>QP=0.123</m:t>
                </m:r>
                <m:r>
                  <m:rPr>
                    <m:sty m:val="p"/>
                  </m:rPr>
                  <w:rPr>
                    <w:rFonts w:hint="default" w:ascii="Cambria Math" w:hAnsi="Cambria Math" w:eastAsia="KaTeX_Math"/>
                    <w:color w:val="000000" w:themeColor="text1"/>
                    <w:sz w:val="25"/>
                    <w:szCs w:val="20"/>
                    <w:highlight w:val="none"/>
                    <w14:textFill>
                      <w14:solidFill>
                        <w14:schemeClr w14:val="tx1"/>
                      </w14:solidFill>
                    </w14:textFill>
                  </w:rPr>
                  <m:t>×</m:t>
                </m:r>
                <m:r>
                  <m:rPr/>
                  <w:rPr>
                    <w:rFonts w:hint="default" w:ascii="Cambria Math" w:hAnsi="Cambria Math" w:eastAsia="KaTeX_Math"/>
                    <w:color w:val="000000" w:themeColor="text1"/>
                    <w:sz w:val="25"/>
                    <w:szCs w:val="20"/>
                    <w:highlight w:val="none"/>
                    <w14:textFill>
                      <w14:solidFill>
                        <w14:schemeClr w14:val="tx1"/>
                      </w14:solidFill>
                    </w14:textFill>
                  </w:rPr>
                  <m:t>(</m:t>
                </m:r>
                <m:f>
                  <m:fPr>
                    <m:ctrlPr>
                      <w:rPr>
                        <w:rFonts w:hint="default" w:ascii="Cambria Math" w:hAnsi="Cambria Math" w:eastAsia="KaTeX_Math"/>
                        <w:i/>
                        <w:color w:val="000000" w:themeColor="text1"/>
                        <w:sz w:val="25"/>
                        <w:szCs w:val="20"/>
                        <w:highlight w:val="none"/>
                        <w14:textFill>
                          <w14:solidFill>
                            <w14:schemeClr w14:val="tx1"/>
                          </w14:solidFill>
                        </w14:textFill>
                      </w:rPr>
                    </m:ctrlPr>
                  </m:fPr>
                  <m:num>
                    <m:r>
                      <m:rPr/>
                      <w:rPr>
                        <w:rFonts w:hint="default" w:ascii="Cambria Math" w:hAnsi="Cambria Math" w:eastAsia="宋体"/>
                        <w:color w:val="000000" w:themeColor="text1"/>
                        <w:sz w:val="25"/>
                        <w:szCs w:val="20"/>
                        <w:highlight w:val="none"/>
                        <w:lang w:val="en-US" w:eastAsia="zh-CN"/>
                        <w14:textFill>
                          <w14:solidFill>
                            <w14:schemeClr w14:val="tx1"/>
                          </w14:solidFill>
                        </w14:textFill>
                      </w:rPr>
                      <m:t>V</m:t>
                    </m:r>
                    <m:ctrlPr>
                      <w:rPr>
                        <w:rFonts w:hint="default" w:ascii="Cambria Math" w:hAnsi="Cambria Math" w:eastAsia="KaTeX_Math"/>
                        <w:i/>
                        <w:color w:val="000000" w:themeColor="text1"/>
                        <w:sz w:val="25"/>
                        <w:szCs w:val="20"/>
                        <w:highlight w:val="none"/>
                        <w14:textFill>
                          <w14:solidFill>
                            <w14:schemeClr w14:val="tx1"/>
                          </w14:solidFill>
                        </w14:textFill>
                      </w:rPr>
                    </m:ctrlPr>
                  </m:num>
                  <m:den>
                    <m:r>
                      <m:rPr/>
                      <w:rPr>
                        <w:rFonts w:hint="default" w:ascii="Cambria Math" w:hAnsi="Cambria Math" w:eastAsia="宋体"/>
                        <w:color w:val="000000" w:themeColor="text1"/>
                        <w:sz w:val="25"/>
                        <w:szCs w:val="20"/>
                        <w:highlight w:val="none"/>
                        <w:lang w:val="en-US" w:eastAsia="zh-CN"/>
                        <w14:textFill>
                          <w14:solidFill>
                            <w14:schemeClr w14:val="tx1"/>
                          </w14:solidFill>
                        </w14:textFill>
                      </w:rPr>
                      <m:t>5</m:t>
                    </m:r>
                    <m:ctrlPr>
                      <w:rPr>
                        <w:rFonts w:hint="default" w:ascii="Cambria Math" w:hAnsi="Cambria Math" w:eastAsia="KaTeX_Math"/>
                        <w:i/>
                        <w:color w:val="000000" w:themeColor="text1"/>
                        <w:sz w:val="25"/>
                        <w:szCs w:val="20"/>
                        <w:highlight w:val="none"/>
                        <w14:textFill>
                          <w14:solidFill>
                            <w14:schemeClr w14:val="tx1"/>
                          </w14:solidFill>
                        </w14:textFill>
                      </w:rPr>
                    </m:ctrlPr>
                  </m:den>
                </m:f>
                <m:r>
                  <m:rPr/>
                  <w:rPr>
                    <w:rFonts w:hint="default" w:ascii="Cambria Math" w:hAnsi="Cambria Math" w:eastAsia="KaTeX_Math"/>
                    <w:color w:val="000000" w:themeColor="text1"/>
                    <w:sz w:val="25"/>
                    <w:szCs w:val="20"/>
                    <w:highlight w:val="none"/>
                    <w14:textFill>
                      <w14:solidFill>
                        <w14:schemeClr w14:val="tx1"/>
                      </w14:solidFill>
                    </w14:textFill>
                  </w:rPr>
                  <m:t>)</m:t>
                </m:r>
                <m:r>
                  <m:rPr>
                    <m:sty m:val="p"/>
                  </m:rPr>
                  <w:rPr>
                    <w:rFonts w:hint="default" w:ascii="Cambria Math" w:hAnsi="Cambria Math" w:eastAsia="KaTeX_Math"/>
                    <w:color w:val="000000" w:themeColor="text1"/>
                    <w:sz w:val="25"/>
                    <w:szCs w:val="20"/>
                    <w:highlight w:val="none"/>
                    <w14:textFill>
                      <w14:solidFill>
                        <w14:schemeClr w14:val="tx1"/>
                      </w14:solidFill>
                    </w14:textFill>
                  </w:rPr>
                  <m:t>×</m:t>
                </m:r>
                <m:sSup>
                  <m:sSupPr>
                    <m:ctrlPr>
                      <w:rPr>
                        <w:rFonts w:hint="default" w:ascii="Cambria Math" w:hAnsi="Cambria Math" w:eastAsia="KaTeX_Math"/>
                        <w:color w:val="000000" w:themeColor="text1"/>
                        <w:sz w:val="25"/>
                        <w:szCs w:val="20"/>
                        <w:highlight w:val="none"/>
                        <w14:textFill>
                          <w14:solidFill>
                            <w14:schemeClr w14:val="tx1"/>
                          </w14:solidFill>
                        </w14:textFill>
                      </w:rPr>
                    </m:ctrlPr>
                  </m:sSupPr>
                  <m:e>
                    <m:r>
                      <m:rPr/>
                      <w:rPr>
                        <w:rFonts w:hint="default" w:ascii="Cambria Math" w:hAnsi="Cambria Math" w:eastAsia="KaTeX_Math"/>
                        <w:color w:val="000000" w:themeColor="text1"/>
                        <w:sz w:val="25"/>
                        <w:szCs w:val="20"/>
                        <w:highlight w:val="none"/>
                        <w14:textFill>
                          <w14:solidFill>
                            <w14:schemeClr w14:val="tx1"/>
                          </w14:solidFill>
                        </w14:textFill>
                      </w:rPr>
                      <m:t>(</m:t>
                    </m:r>
                    <m:f>
                      <m:fPr>
                        <m:ctrlPr>
                          <w:rPr>
                            <w:rFonts w:hint="default" w:ascii="Cambria Math" w:hAnsi="Cambria Math" w:eastAsia="KaTeX_Math"/>
                            <w:i/>
                            <w:color w:val="000000" w:themeColor="text1"/>
                            <w:sz w:val="25"/>
                            <w:szCs w:val="20"/>
                            <w:highlight w:val="none"/>
                            <w14:textFill>
                              <w14:solidFill>
                                <w14:schemeClr w14:val="tx1"/>
                              </w14:solidFill>
                            </w14:textFill>
                          </w:rPr>
                        </m:ctrlPr>
                      </m:fPr>
                      <m:num>
                        <m:r>
                          <m:rPr/>
                          <w:rPr>
                            <w:rFonts w:hint="default" w:ascii="Cambria Math" w:hAnsi="Cambria Math" w:eastAsia="KaTeX_Math"/>
                            <w:color w:val="000000" w:themeColor="text1"/>
                            <w:sz w:val="25"/>
                            <w:szCs w:val="20"/>
                            <w:highlight w:val="none"/>
                            <w14:textFill>
                              <w14:solidFill>
                                <w14:schemeClr w14:val="tx1"/>
                              </w14:solidFill>
                            </w14:textFill>
                          </w:rPr>
                          <m:t>M</m:t>
                        </m:r>
                        <m:ctrlPr>
                          <w:rPr>
                            <w:rFonts w:hint="default" w:ascii="Cambria Math" w:hAnsi="Cambria Math" w:eastAsia="KaTeX_Math"/>
                            <w:i/>
                            <w:color w:val="000000" w:themeColor="text1"/>
                            <w:sz w:val="25"/>
                            <w:szCs w:val="20"/>
                            <w:highlight w:val="none"/>
                            <w14:textFill>
                              <w14:solidFill>
                                <w14:schemeClr w14:val="tx1"/>
                              </w14:solidFill>
                            </w14:textFill>
                          </w:rPr>
                        </m:ctrlPr>
                      </m:num>
                      <m:den>
                        <m:r>
                          <m:rPr/>
                          <w:rPr>
                            <w:rFonts w:hint="default" w:ascii="Cambria Math" w:hAnsi="Cambria Math" w:eastAsia="宋体"/>
                            <w:color w:val="000000" w:themeColor="text1"/>
                            <w:sz w:val="25"/>
                            <w:szCs w:val="20"/>
                            <w:highlight w:val="none"/>
                            <w:lang w:val="en-US" w:eastAsia="zh-CN"/>
                            <w14:textFill>
                              <w14:solidFill>
                                <w14:schemeClr w14:val="tx1"/>
                              </w14:solidFill>
                            </w14:textFill>
                          </w:rPr>
                          <m:t>6.8</m:t>
                        </m:r>
                        <m:ctrlPr>
                          <w:rPr>
                            <w:rFonts w:hint="default" w:ascii="Cambria Math" w:hAnsi="Cambria Math" w:eastAsia="KaTeX_Math"/>
                            <w:i/>
                            <w:color w:val="000000" w:themeColor="text1"/>
                            <w:sz w:val="25"/>
                            <w:szCs w:val="20"/>
                            <w:highlight w:val="none"/>
                            <w14:textFill>
                              <w14:solidFill>
                                <w14:schemeClr w14:val="tx1"/>
                              </w14:solidFill>
                            </w14:textFill>
                          </w:rPr>
                        </m:ctrlPr>
                      </m:den>
                    </m:f>
                    <m:r>
                      <m:rPr/>
                      <w:rPr>
                        <w:rFonts w:hint="default" w:ascii="Cambria Math" w:hAnsi="Cambria Math" w:eastAsia="KaTeX_Math"/>
                        <w:color w:val="000000" w:themeColor="text1"/>
                        <w:sz w:val="25"/>
                        <w:szCs w:val="20"/>
                        <w:highlight w:val="none"/>
                        <w14:textFill>
                          <w14:solidFill>
                            <w14:schemeClr w14:val="tx1"/>
                          </w14:solidFill>
                        </w14:textFill>
                      </w:rPr>
                      <m:t>)</m:t>
                    </m:r>
                    <m:ctrlPr>
                      <w:rPr>
                        <w:rFonts w:hint="default" w:ascii="Cambria Math" w:hAnsi="Cambria Math" w:eastAsia="KaTeX_Math"/>
                        <w:color w:val="000000" w:themeColor="text1"/>
                        <w:sz w:val="25"/>
                        <w:szCs w:val="20"/>
                        <w:highlight w:val="none"/>
                        <w14:textFill>
                          <w14:solidFill>
                            <w14:schemeClr w14:val="tx1"/>
                          </w14:solidFill>
                        </w14:textFill>
                      </w:rPr>
                    </m:ctrlPr>
                  </m:e>
                  <m:sup>
                    <m:r>
                      <m:rPr>
                        <m:sty m:val="p"/>
                      </m:rPr>
                      <w:rPr>
                        <w:rFonts w:hint="default" w:ascii="Cambria Math" w:hAnsi="Cambria Math" w:eastAsia="宋体"/>
                        <w:color w:val="000000" w:themeColor="text1"/>
                        <w:sz w:val="25"/>
                        <w:szCs w:val="20"/>
                        <w:highlight w:val="none"/>
                        <w:lang w:val="en-US" w:eastAsia="zh-CN"/>
                        <w14:textFill>
                          <w14:solidFill>
                            <w14:schemeClr w14:val="tx1"/>
                          </w14:solidFill>
                        </w14:textFill>
                      </w:rPr>
                      <m:t>0.85</m:t>
                    </m:r>
                    <m:ctrlPr>
                      <w:rPr>
                        <w:rFonts w:hint="default" w:ascii="Cambria Math" w:hAnsi="Cambria Math" w:eastAsia="KaTeX_Math"/>
                        <w:color w:val="000000" w:themeColor="text1"/>
                        <w:sz w:val="25"/>
                        <w:szCs w:val="20"/>
                        <w:highlight w:val="none"/>
                        <w14:textFill>
                          <w14:solidFill>
                            <w14:schemeClr w14:val="tx1"/>
                          </w14:solidFill>
                        </w14:textFill>
                      </w:rPr>
                    </m:ctrlPr>
                  </m:sup>
                </m:sSup>
                <m:r>
                  <m:rPr>
                    <m:sty m:val="p"/>
                  </m:rPr>
                  <w:rPr>
                    <w:rFonts w:hint="default" w:ascii="Cambria Math" w:hAnsi="Cambria Math" w:eastAsia="KaTeX_Math"/>
                    <w:color w:val="000000" w:themeColor="text1"/>
                    <w:sz w:val="25"/>
                    <w:szCs w:val="20"/>
                    <w:highlight w:val="none"/>
                    <w14:textFill>
                      <w14:solidFill>
                        <w14:schemeClr w14:val="tx1"/>
                      </w14:solidFill>
                    </w14:textFill>
                  </w:rPr>
                  <m:t>×</m:t>
                </m:r>
                <m:sSup>
                  <m:sSupPr>
                    <m:ctrlPr>
                      <w:rPr>
                        <w:rFonts w:hint="default" w:ascii="Cambria Math" w:hAnsi="Cambria Math" w:eastAsia="KaTeX_Math"/>
                        <w:color w:val="000000" w:themeColor="text1"/>
                        <w:sz w:val="25"/>
                        <w:szCs w:val="20"/>
                        <w:highlight w:val="none"/>
                        <w14:textFill>
                          <w14:solidFill>
                            <w14:schemeClr w14:val="tx1"/>
                          </w14:solidFill>
                        </w14:textFill>
                      </w:rPr>
                    </m:ctrlPr>
                  </m:sSupPr>
                  <m:e>
                    <m:r>
                      <m:rPr/>
                      <w:rPr>
                        <w:rFonts w:hint="default" w:ascii="Cambria Math" w:hAnsi="Cambria Math" w:eastAsia="KaTeX_Math"/>
                        <w:color w:val="000000" w:themeColor="text1"/>
                        <w:sz w:val="25"/>
                        <w:szCs w:val="20"/>
                        <w:highlight w:val="none"/>
                        <w14:textFill>
                          <w14:solidFill>
                            <w14:schemeClr w14:val="tx1"/>
                          </w14:solidFill>
                        </w14:textFill>
                      </w:rPr>
                      <m:t>(</m:t>
                    </m:r>
                    <m:f>
                      <m:fPr>
                        <m:ctrlPr>
                          <w:rPr>
                            <w:rFonts w:hint="default" w:ascii="Cambria Math" w:hAnsi="Cambria Math" w:eastAsia="KaTeX_Math"/>
                            <w:i/>
                            <w:color w:val="000000" w:themeColor="text1"/>
                            <w:sz w:val="25"/>
                            <w:szCs w:val="20"/>
                            <w:highlight w:val="none"/>
                            <w14:textFill>
                              <w14:solidFill>
                                <w14:schemeClr w14:val="tx1"/>
                              </w14:solidFill>
                            </w14:textFill>
                          </w:rPr>
                        </m:ctrlPr>
                      </m:fPr>
                      <m:num>
                        <m:r>
                          <m:rPr/>
                          <w:rPr>
                            <w:rFonts w:hint="default" w:ascii="Cambria Math" w:hAnsi="Cambria Math" w:eastAsia="宋体"/>
                            <w:color w:val="000000" w:themeColor="text1"/>
                            <w:sz w:val="25"/>
                            <w:szCs w:val="20"/>
                            <w:highlight w:val="none"/>
                            <w:lang w:val="en-US" w:eastAsia="zh-CN"/>
                            <w14:textFill>
                              <w14:solidFill>
                                <w14:schemeClr w14:val="tx1"/>
                              </w14:solidFill>
                            </w14:textFill>
                          </w:rPr>
                          <m:t>P</m:t>
                        </m:r>
                        <m:ctrlPr>
                          <w:rPr>
                            <w:rFonts w:hint="default" w:ascii="Cambria Math" w:hAnsi="Cambria Math" w:eastAsia="KaTeX_Math"/>
                            <w:i/>
                            <w:color w:val="000000" w:themeColor="text1"/>
                            <w:sz w:val="25"/>
                            <w:szCs w:val="20"/>
                            <w:highlight w:val="none"/>
                            <w14:textFill>
                              <w14:solidFill>
                                <w14:schemeClr w14:val="tx1"/>
                              </w14:solidFill>
                            </w14:textFill>
                          </w:rPr>
                        </m:ctrlPr>
                      </m:num>
                      <m:den>
                        <m:r>
                          <m:rPr/>
                          <w:rPr>
                            <w:rFonts w:hint="default" w:ascii="Cambria Math" w:hAnsi="Cambria Math" w:eastAsia="宋体"/>
                            <w:color w:val="000000" w:themeColor="text1"/>
                            <w:sz w:val="25"/>
                            <w:szCs w:val="20"/>
                            <w:highlight w:val="none"/>
                            <w:lang w:val="en-US" w:eastAsia="zh-CN"/>
                            <w14:textFill>
                              <w14:solidFill>
                                <w14:schemeClr w14:val="tx1"/>
                              </w14:solidFill>
                            </w14:textFill>
                          </w:rPr>
                          <m:t>0.5</m:t>
                        </m:r>
                        <m:ctrlPr>
                          <w:rPr>
                            <w:rFonts w:hint="default" w:ascii="Cambria Math" w:hAnsi="Cambria Math" w:eastAsia="KaTeX_Math"/>
                            <w:i/>
                            <w:color w:val="000000" w:themeColor="text1"/>
                            <w:sz w:val="25"/>
                            <w:szCs w:val="20"/>
                            <w:highlight w:val="none"/>
                            <w14:textFill>
                              <w14:solidFill>
                                <w14:schemeClr w14:val="tx1"/>
                              </w14:solidFill>
                            </w14:textFill>
                          </w:rPr>
                        </m:ctrlPr>
                      </m:den>
                    </m:f>
                    <m:r>
                      <m:rPr/>
                      <w:rPr>
                        <w:rFonts w:hint="default" w:ascii="Cambria Math" w:hAnsi="Cambria Math" w:eastAsia="KaTeX_Math"/>
                        <w:color w:val="000000" w:themeColor="text1"/>
                        <w:sz w:val="25"/>
                        <w:szCs w:val="20"/>
                        <w:highlight w:val="none"/>
                        <w14:textFill>
                          <w14:solidFill>
                            <w14:schemeClr w14:val="tx1"/>
                          </w14:solidFill>
                        </w14:textFill>
                      </w:rPr>
                      <m:t>)</m:t>
                    </m:r>
                    <m:ctrlPr>
                      <w:rPr>
                        <w:rFonts w:hint="default" w:ascii="Cambria Math" w:hAnsi="Cambria Math" w:eastAsia="KaTeX_Math"/>
                        <w:color w:val="000000" w:themeColor="text1"/>
                        <w:sz w:val="25"/>
                        <w:szCs w:val="20"/>
                        <w:highlight w:val="none"/>
                        <w14:textFill>
                          <w14:solidFill>
                            <w14:schemeClr w14:val="tx1"/>
                          </w14:solidFill>
                        </w14:textFill>
                      </w:rPr>
                    </m:ctrlPr>
                  </m:e>
                  <m:sup>
                    <m:r>
                      <m:rPr>
                        <m:sty m:val="p"/>
                      </m:rPr>
                      <w:rPr>
                        <w:rFonts w:hint="default" w:ascii="Cambria Math" w:hAnsi="Cambria Math" w:eastAsia="宋体"/>
                        <w:color w:val="000000" w:themeColor="text1"/>
                        <w:sz w:val="25"/>
                        <w:szCs w:val="20"/>
                        <w:highlight w:val="none"/>
                        <w:lang w:val="en-US" w:eastAsia="zh-CN"/>
                        <w14:textFill>
                          <w14:solidFill>
                            <w14:schemeClr w14:val="tx1"/>
                          </w14:solidFill>
                        </w14:textFill>
                      </w:rPr>
                      <m:t>0.72</m:t>
                    </m:r>
                    <m:ctrlPr>
                      <w:rPr>
                        <w:rFonts w:hint="default" w:ascii="Cambria Math" w:hAnsi="Cambria Math" w:eastAsia="KaTeX_Math"/>
                        <w:color w:val="000000" w:themeColor="text1"/>
                        <w:sz w:val="25"/>
                        <w:szCs w:val="20"/>
                        <w:highlight w:val="none"/>
                        <w14:textFill>
                          <w14:solidFill>
                            <w14:schemeClr w14:val="tx1"/>
                          </w14:solidFill>
                        </w14:textFill>
                      </w:rPr>
                    </m:ctrlPr>
                  </m:sup>
                </m:sSup>
              </m:oMath>
            </m:oMathPara>
          </w:p>
          <w:p w14:paraId="0566D0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0" w:firstLineChars="200"/>
              <w:textAlignment w:val="auto"/>
              <w:rPr>
                <w:rFonts w:hint="default" w:hAnsi="Cambria Math" w:eastAsia="KaTeX_Math"/>
                <w:i w:val="0"/>
                <w:color w:val="000000" w:themeColor="text1"/>
                <w:sz w:val="25"/>
                <w:szCs w:val="20"/>
                <w:highlight w:val="none"/>
                <w14:textFill>
                  <w14:solidFill>
                    <w14:schemeClr w14:val="tx1"/>
                  </w14:solidFill>
                </w14:textFill>
              </w:rPr>
            </w:pPr>
            <m:oMathPara>
              <m:oMath>
                <m:sSub>
                  <m:sSubPr>
                    <m:ctrlPr>
                      <w:rPr>
                        <w:rFonts w:hint="default" w:ascii="Cambria Math" w:hAnsi="Cambria Math" w:eastAsia="KaTeX_Math"/>
                        <w:i/>
                        <w:color w:val="000000" w:themeColor="text1"/>
                        <w:sz w:val="25"/>
                        <w:szCs w:val="20"/>
                        <w:highlight w:val="none"/>
                        <w14:textFill>
                          <w14:solidFill>
                            <w14:schemeClr w14:val="tx1"/>
                          </w14:solidFill>
                        </w14:textFill>
                      </w:rPr>
                    </m:ctrlPr>
                  </m:sSubPr>
                  <m:e>
                    <m:r>
                      <m:rPr/>
                      <w:rPr>
                        <w:rFonts w:hint="default" w:ascii="Cambria Math" w:hAnsi="Cambria Math" w:eastAsia="KaTeX_Math"/>
                        <w:color w:val="000000" w:themeColor="text1"/>
                        <w:sz w:val="25"/>
                        <w:szCs w:val="20"/>
                        <w:highlight w:val="none"/>
                        <w14:textFill>
                          <w14:solidFill>
                            <w14:schemeClr w14:val="tx1"/>
                          </w14:solidFill>
                        </w14:textFill>
                      </w:rPr>
                      <m:t>Q</m:t>
                    </m:r>
                    <m:ctrlPr>
                      <w:rPr>
                        <w:rFonts w:hint="default" w:ascii="Cambria Math" w:hAnsi="Cambria Math" w:eastAsia="KaTeX_Math"/>
                        <w:i/>
                        <w:color w:val="000000" w:themeColor="text1"/>
                        <w:sz w:val="25"/>
                        <w:szCs w:val="20"/>
                        <w:highlight w:val="none"/>
                        <w14:textFill>
                          <w14:solidFill>
                            <w14:schemeClr w14:val="tx1"/>
                          </w14:solidFill>
                        </w14:textFill>
                      </w:rPr>
                    </m:ctrlPr>
                  </m:e>
                  <m:sub>
                    <m:r>
                      <m:rPr/>
                      <w:rPr>
                        <w:rFonts w:hint="default" w:ascii="Cambria Math" w:hAnsi="Cambria Math" w:eastAsia="宋体"/>
                        <w:color w:val="000000" w:themeColor="text1"/>
                        <w:sz w:val="25"/>
                        <w:szCs w:val="20"/>
                        <w:highlight w:val="none"/>
                        <w:lang w:val="en-US" w:eastAsia="zh-CN"/>
                        <w14:textFill>
                          <w14:solidFill>
                            <w14:schemeClr w14:val="tx1"/>
                          </w14:solidFill>
                        </w14:textFill>
                      </w:rPr>
                      <m:t>P</m:t>
                    </m:r>
                    <m:ctrlPr>
                      <w:rPr>
                        <w:rFonts w:hint="default" w:ascii="Cambria Math" w:hAnsi="Cambria Math" w:eastAsia="KaTeX_Math"/>
                        <w:i/>
                        <w:color w:val="000000" w:themeColor="text1"/>
                        <w:sz w:val="25"/>
                        <w:szCs w:val="20"/>
                        <w:highlight w:val="none"/>
                        <w14:textFill>
                          <w14:solidFill>
                            <w14:schemeClr w14:val="tx1"/>
                          </w14:solidFill>
                        </w14:textFill>
                      </w:rPr>
                    </m:ctrlPr>
                  </m:sub>
                </m:sSub>
                <m:r>
                  <m:rPr/>
                  <w:rPr>
                    <w:rFonts w:hint="default" w:ascii="Cambria Math" w:hAnsi="Cambria Math" w:eastAsia="KaTeX_Math"/>
                    <w:color w:val="000000" w:themeColor="text1"/>
                    <w:sz w:val="25"/>
                    <w:szCs w:val="20"/>
                    <w:highlight w:val="none"/>
                    <w14:textFill>
                      <w14:solidFill>
                        <w14:schemeClr w14:val="tx1"/>
                      </w14:solidFill>
                    </w14:textFill>
                  </w:rPr>
                  <m:t>′=</m:t>
                </m:r>
                <m:sSub>
                  <m:sSubPr>
                    <m:ctrlPr>
                      <w:rPr>
                        <w:rFonts w:hint="default" w:ascii="Cambria Math" w:hAnsi="Cambria Math" w:eastAsia="KaTeX_Math"/>
                        <w:i/>
                        <w:color w:val="000000" w:themeColor="text1"/>
                        <w:sz w:val="25"/>
                        <w:szCs w:val="20"/>
                        <w:highlight w:val="none"/>
                        <w14:textFill>
                          <w14:solidFill>
                            <w14:schemeClr w14:val="tx1"/>
                          </w14:solidFill>
                        </w14:textFill>
                      </w:rPr>
                    </m:ctrlPr>
                  </m:sSubPr>
                  <m:e>
                    <m:r>
                      <m:rPr/>
                      <w:rPr>
                        <w:rFonts w:hint="default" w:ascii="Cambria Math" w:hAnsi="Cambria Math" w:eastAsia="KaTeX_Math"/>
                        <w:color w:val="000000" w:themeColor="text1"/>
                        <w:sz w:val="25"/>
                        <w:szCs w:val="20"/>
                        <w:highlight w:val="none"/>
                        <w14:textFill>
                          <w14:solidFill>
                            <w14:schemeClr w14:val="tx1"/>
                          </w14:solidFill>
                        </w14:textFill>
                      </w:rPr>
                      <m:t>Q</m:t>
                    </m:r>
                    <m:ctrlPr>
                      <w:rPr>
                        <w:rFonts w:hint="default" w:ascii="Cambria Math" w:hAnsi="Cambria Math" w:eastAsia="KaTeX_Math"/>
                        <w:i/>
                        <w:color w:val="000000" w:themeColor="text1"/>
                        <w:sz w:val="25"/>
                        <w:szCs w:val="20"/>
                        <w:highlight w:val="none"/>
                        <w14:textFill>
                          <w14:solidFill>
                            <w14:schemeClr w14:val="tx1"/>
                          </w14:solidFill>
                        </w14:textFill>
                      </w:rPr>
                    </m:ctrlPr>
                  </m:e>
                  <m:sub>
                    <m:r>
                      <m:rPr/>
                      <w:rPr>
                        <w:rFonts w:hint="default" w:ascii="Cambria Math" w:hAnsi="Cambria Math" w:eastAsia="宋体"/>
                        <w:color w:val="000000" w:themeColor="text1"/>
                        <w:sz w:val="25"/>
                        <w:szCs w:val="20"/>
                        <w:highlight w:val="none"/>
                        <w:lang w:val="en-US" w:eastAsia="zh-CN"/>
                        <w14:textFill>
                          <w14:solidFill>
                            <w14:schemeClr w14:val="tx1"/>
                          </w14:solidFill>
                        </w14:textFill>
                      </w:rPr>
                      <m:t>P</m:t>
                    </m:r>
                    <m:ctrlPr>
                      <w:rPr>
                        <w:rFonts w:hint="default" w:ascii="Cambria Math" w:hAnsi="Cambria Math" w:eastAsia="KaTeX_Math"/>
                        <w:i/>
                        <w:color w:val="000000" w:themeColor="text1"/>
                        <w:sz w:val="25"/>
                        <w:szCs w:val="20"/>
                        <w:highlight w:val="none"/>
                        <w14:textFill>
                          <w14:solidFill>
                            <w14:schemeClr w14:val="tx1"/>
                          </w14:solidFill>
                        </w14:textFill>
                      </w:rPr>
                    </m:ctrlPr>
                  </m:sub>
                </m:sSub>
                <m:r>
                  <m:rPr>
                    <m:sty m:val="p"/>
                  </m:rPr>
                  <w:rPr>
                    <w:rFonts w:hint="default" w:ascii="Cambria Math" w:hAnsi="Cambria Math" w:eastAsia="KaTeX_Math"/>
                    <w:color w:val="000000" w:themeColor="text1"/>
                    <w:sz w:val="25"/>
                    <w:szCs w:val="20"/>
                    <w:highlight w:val="none"/>
                    <w14:textFill>
                      <w14:solidFill>
                        <w14:schemeClr w14:val="tx1"/>
                      </w14:solidFill>
                    </w14:textFill>
                  </w:rPr>
                  <m:t>×</m:t>
                </m:r>
                <m:r>
                  <m:rPr/>
                  <w:rPr>
                    <w:rFonts w:hint="default" w:ascii="Cambria Math" w:hAnsi="Cambria Math" w:eastAsia="KaTeX_Math"/>
                    <w:color w:val="000000" w:themeColor="text1"/>
                    <w:sz w:val="25"/>
                    <w:szCs w:val="20"/>
                    <w:highlight w:val="none"/>
                    <w14:textFill>
                      <w14:solidFill>
                        <w14:schemeClr w14:val="tx1"/>
                      </w14:solidFill>
                    </w14:textFill>
                  </w:rPr>
                  <m:t>L</m:t>
                </m:r>
                <m:r>
                  <m:rPr>
                    <m:sty m:val="p"/>
                  </m:rPr>
                  <w:rPr>
                    <w:rFonts w:hint="default" w:ascii="Cambria Math" w:hAnsi="Cambria Math" w:eastAsia="KaTeX_Math"/>
                    <w:color w:val="000000" w:themeColor="text1"/>
                    <w:sz w:val="25"/>
                    <w:szCs w:val="20"/>
                    <w:highlight w:val="none"/>
                    <w14:textFill>
                      <w14:solidFill>
                        <w14:schemeClr w14:val="tx1"/>
                      </w14:solidFill>
                    </w14:textFill>
                  </w:rPr>
                  <m:t>×</m:t>
                </m:r>
                <m:r>
                  <m:rPr/>
                  <w:rPr>
                    <w:rFonts w:hint="default" w:ascii="Cambria Math" w:hAnsi="Cambria Math" w:eastAsia="KaTeX_Math"/>
                    <w:color w:val="000000" w:themeColor="text1"/>
                    <w:sz w:val="25"/>
                    <w:szCs w:val="20"/>
                    <w:highlight w:val="none"/>
                    <w14:textFill>
                      <w14:solidFill>
                        <w14:schemeClr w14:val="tx1"/>
                      </w14:solidFill>
                    </w14:textFill>
                  </w:rPr>
                  <m:t>N</m:t>
                </m:r>
              </m:oMath>
            </m:oMathPara>
          </w:p>
          <w:p w14:paraId="058E73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0" w:firstLineChars="200"/>
              <w:textAlignment w:val="auto"/>
              <w:rPr>
                <w:rFonts w:hint="default" w:hAnsi="Cambria Math" w:eastAsia="KaTeX_Math"/>
                <w:i w:val="0"/>
                <w:color w:val="000000" w:themeColor="text1"/>
                <w:sz w:val="25"/>
                <w:szCs w:val="20"/>
                <w:highlight w:val="none"/>
                <w:lang w:val="en-US" w:eastAsia="zh-CN"/>
                <w14:textFill>
                  <w14:solidFill>
                    <w14:schemeClr w14:val="tx1"/>
                  </w14:solidFill>
                </w14:textFill>
              </w:rPr>
            </w:pPr>
            <w:r>
              <w:rPr>
                <w:rFonts w:hint="default" w:hAnsi="Cambria Math" w:eastAsia="KaTeX_Math"/>
                <w:i w:val="0"/>
                <w:color w:val="000000" w:themeColor="text1"/>
                <w:sz w:val="25"/>
                <w:szCs w:val="20"/>
                <w:highlight w:val="none"/>
                <w:lang w:val="en-US" w:eastAsia="zh-CN"/>
                <w14:textFill>
                  <w14:solidFill>
                    <w14:schemeClr w14:val="tx1"/>
                  </w14:solidFill>
                </w14:textFill>
              </w:rPr>
              <w:t>V (车速)：综合考虑满载去程与空载回程，加权平均取 40 km/h。</w:t>
            </w:r>
          </w:p>
          <w:p w14:paraId="298CF6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0" w:firstLineChars="200"/>
              <w:textAlignment w:val="auto"/>
              <w:rPr>
                <w:rFonts w:hint="default" w:hAnsi="Cambria Math" w:eastAsia="KaTeX_Math"/>
                <w:i w:val="0"/>
                <w:color w:val="000000" w:themeColor="text1"/>
                <w:sz w:val="25"/>
                <w:szCs w:val="20"/>
                <w:highlight w:val="none"/>
                <w:lang w:val="en-US" w:eastAsia="zh-CN"/>
                <w14:textFill>
                  <w14:solidFill>
                    <w14:schemeClr w14:val="tx1"/>
                  </w14:solidFill>
                </w14:textFill>
              </w:rPr>
            </w:pPr>
            <w:r>
              <w:rPr>
                <w:rFonts w:hint="default" w:hAnsi="Cambria Math" w:eastAsia="KaTeX_Math"/>
                <w:i w:val="0"/>
                <w:color w:val="000000" w:themeColor="text1"/>
                <w:sz w:val="25"/>
                <w:szCs w:val="20"/>
                <w:highlight w:val="none"/>
                <w:lang w:val="en-US" w:eastAsia="zh-CN"/>
                <w14:textFill>
                  <w14:solidFill>
                    <w14:schemeClr w14:val="tx1"/>
                  </w14:solidFill>
                </w14:textFill>
              </w:rPr>
              <w:t>M</w:t>
            </w:r>
            <w:r>
              <w:rPr>
                <w:rFonts w:hint="eastAsia" w:hAnsi="Cambria Math" w:eastAsia="KaTeX_Math"/>
                <w:i w:val="0"/>
                <w:color w:val="000000" w:themeColor="text1"/>
                <w:sz w:val="25"/>
                <w:szCs w:val="20"/>
                <w:highlight w:val="none"/>
                <w:lang w:val="en-US" w:eastAsia="zh-CN"/>
                <w14:textFill>
                  <w14:solidFill>
                    <w14:schemeClr w14:val="tx1"/>
                  </w14:solidFill>
                </w14:textFill>
              </w:rPr>
              <w:t xml:space="preserve"> </w:t>
            </w:r>
            <w:r>
              <w:rPr>
                <w:rFonts w:hint="default" w:hAnsi="Cambria Math" w:eastAsia="KaTeX_Math"/>
                <w:i w:val="0"/>
                <w:color w:val="000000" w:themeColor="text1"/>
                <w:sz w:val="25"/>
                <w:szCs w:val="20"/>
                <w:highlight w:val="none"/>
                <w:lang w:val="en-US" w:eastAsia="zh-CN"/>
                <w14:textFill>
                  <w14:solidFill>
                    <w14:schemeClr w14:val="tx1"/>
                  </w14:solidFill>
                </w14:textFill>
              </w:rPr>
              <w:t>(载重)：去程满载 32 t，回程空载 15 t，分段计算。</w:t>
            </w:r>
          </w:p>
          <w:p w14:paraId="5D80EA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0" w:firstLineChars="200"/>
              <w:textAlignment w:val="auto"/>
              <w:rPr>
                <w:rFonts w:hint="default" w:hAnsi="Cambria Math" w:eastAsia="KaTeX_Math"/>
                <w:i w:val="0"/>
                <w:color w:val="000000" w:themeColor="text1"/>
                <w:sz w:val="25"/>
                <w:szCs w:val="20"/>
                <w:highlight w:val="none"/>
                <w:lang w:val="en-US" w:eastAsia="zh-CN"/>
                <w14:textFill>
                  <w14:solidFill>
                    <w14:schemeClr w14:val="tx1"/>
                  </w14:solidFill>
                </w14:textFill>
              </w:rPr>
            </w:pPr>
            <w:r>
              <w:rPr>
                <w:rFonts w:hint="default" w:hAnsi="Cambria Math" w:eastAsia="KaTeX_Math"/>
                <w:i w:val="0"/>
                <w:color w:val="000000" w:themeColor="text1"/>
                <w:sz w:val="25"/>
                <w:szCs w:val="20"/>
                <w:highlight w:val="none"/>
                <w:lang w:val="en-US" w:eastAsia="zh-CN"/>
                <w14:textFill>
                  <w14:solidFill>
                    <w14:schemeClr w14:val="tx1"/>
                  </w14:solidFill>
                </w14:textFill>
              </w:rPr>
              <w:t>P (路面灰尘覆盖量)：本项目运输车辆出厂前经高压冲洗（轮胎不带泥），全程加盖篷布密闭运输（无物料遗撒），且途经道路主要为硬化路面并定期洒水。相较于普通矿山道路，本项目路面灰尘覆盖量极低，保守取P=0.01 kg/m</w:t>
            </w:r>
            <w:r>
              <w:rPr>
                <w:rFonts w:hint="default" w:hAnsi="Cambria Math" w:eastAsia="KaTeX_Math"/>
                <w:i w:val="0"/>
                <w:color w:val="000000" w:themeColor="text1"/>
                <w:sz w:val="25"/>
                <w:szCs w:val="20"/>
                <w:highlight w:val="none"/>
                <w:vertAlign w:val="superscript"/>
                <w:lang w:val="en-US" w:eastAsia="zh-CN"/>
                <w14:textFill>
                  <w14:solidFill>
                    <w14:schemeClr w14:val="tx1"/>
                  </w14:solidFill>
                </w14:textFill>
              </w:rPr>
              <w:t>2</w:t>
            </w:r>
            <w:r>
              <w:rPr>
                <w:rFonts w:hint="default" w:hAnsi="Cambria Math" w:eastAsia="KaTeX_Math"/>
                <w:i w:val="0"/>
                <w:color w:val="000000" w:themeColor="text1"/>
                <w:sz w:val="25"/>
                <w:szCs w:val="20"/>
                <w:highlight w:val="none"/>
                <w:lang w:val="en-US" w:eastAsia="zh-CN"/>
                <w14:textFill>
                  <w14:solidFill>
                    <w14:schemeClr w14:val="tx1"/>
                  </w14:solidFill>
                </w14:textFill>
              </w:rPr>
              <w:t>（参考城市次干道洒水后状态）。</w:t>
            </w:r>
          </w:p>
          <w:p w14:paraId="104044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0" w:firstLineChars="200"/>
              <w:textAlignment w:val="auto"/>
              <w:rPr>
                <w:rFonts w:hint="default" w:hAnsi="Cambria Math" w:eastAsia="KaTeX_Math"/>
                <w:i w:val="0"/>
                <w:color w:val="000000" w:themeColor="text1"/>
                <w:sz w:val="25"/>
                <w:szCs w:val="20"/>
                <w:highlight w:val="none"/>
                <w:lang w:val="en-US" w:eastAsia="zh-CN"/>
                <w14:textFill>
                  <w14:solidFill>
                    <w14:schemeClr w14:val="tx1"/>
                  </w14:solidFill>
                </w14:textFill>
              </w:rPr>
            </w:pPr>
            <w:r>
              <w:rPr>
                <w:rFonts w:hint="default" w:hAnsi="Cambria Math" w:eastAsia="KaTeX_Math"/>
                <w:i w:val="0"/>
                <w:color w:val="000000" w:themeColor="text1"/>
                <w:sz w:val="25"/>
                <w:szCs w:val="20"/>
                <w:highlight w:val="none"/>
                <w:lang w:val="en-US" w:eastAsia="zh-CN"/>
                <w14:textFill>
                  <w14:solidFill>
                    <w14:schemeClr w14:val="tx1"/>
                  </w14:solidFill>
                </w14:textFill>
              </w:rPr>
              <w:t>L (距离)：单程 12.2 km，往返 24.4 km。</w:t>
            </w:r>
          </w:p>
          <w:p w14:paraId="4E8592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0" w:firstLineChars="200"/>
              <w:textAlignment w:val="auto"/>
              <w:rPr>
                <w:rFonts w:hint="default" w:hAnsi="Cambria Math" w:eastAsia="KaTeX_Math"/>
                <w:i w:val="0"/>
                <w:color w:val="000000" w:themeColor="text1"/>
                <w:sz w:val="25"/>
                <w:szCs w:val="20"/>
                <w:highlight w:val="none"/>
                <w:lang w:val="en-US" w:eastAsia="zh-CN"/>
                <w14:textFill>
                  <w14:solidFill>
                    <w14:schemeClr w14:val="tx1"/>
                  </w14:solidFill>
                </w14:textFill>
              </w:rPr>
            </w:pPr>
            <w:r>
              <w:rPr>
                <w:rFonts w:hint="default" w:hAnsi="Cambria Math" w:eastAsia="KaTeX_Math"/>
                <w:i w:val="0"/>
                <w:color w:val="000000" w:themeColor="text1"/>
                <w:sz w:val="25"/>
                <w:szCs w:val="20"/>
                <w:highlight w:val="none"/>
                <w:lang w:val="en-US" w:eastAsia="zh-CN"/>
                <w14:textFill>
                  <w14:solidFill>
                    <w14:schemeClr w14:val="tx1"/>
                  </w14:solidFill>
                </w14:textFill>
              </w:rPr>
              <w:t>N (车次)：年运输改性磷石膏约 171.11 万 t，单车 32t，年往返车次约 53472 次</w:t>
            </w:r>
          </w:p>
          <w:p w14:paraId="530198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0" w:firstLineChars="200"/>
              <w:textAlignment w:val="auto"/>
              <w:rPr>
                <w:rFonts w:hint="eastAsia" w:hAnsi="Cambria Math" w:eastAsia="KaTeX_Math"/>
                <w:i w:val="0"/>
                <w:color w:val="000000" w:themeColor="text1"/>
                <w:sz w:val="25"/>
                <w:szCs w:val="20"/>
                <w:highlight w:val="none"/>
                <w:lang w:val="en-US" w:eastAsia="zh-CN"/>
                <w14:textFill>
                  <w14:solidFill>
                    <w14:schemeClr w14:val="tx1"/>
                  </w14:solidFill>
                </w14:textFill>
              </w:rPr>
            </w:pPr>
            <w:r>
              <w:rPr>
                <w:rFonts w:hint="default" w:hAnsi="Cambria Math" w:eastAsia="KaTeX_Math"/>
                <w:i w:val="0"/>
                <w:color w:val="000000" w:themeColor="text1"/>
                <w:sz w:val="25"/>
                <w:szCs w:val="20"/>
                <w:highlight w:val="none"/>
                <w:lang w:val="en-US" w:eastAsia="zh-CN"/>
                <w14:textFill>
                  <w14:solidFill>
                    <w14:schemeClr w14:val="tx1"/>
                  </w14:solidFill>
                </w14:textFill>
              </w:rPr>
              <w:t>核算结果：单车产尘系数：</w:t>
            </w:r>
            <w:r>
              <w:rPr>
                <w:rFonts w:hint="eastAsia" w:hAnsi="Cambria Math" w:eastAsia="KaTeX_Math"/>
                <w:i w:val="0"/>
                <w:color w:val="000000" w:themeColor="text1"/>
                <w:sz w:val="25"/>
                <w:szCs w:val="20"/>
                <w:highlight w:val="none"/>
                <w:lang w:val="en-US" w:eastAsia="zh-CN"/>
                <w14:textFill>
                  <w14:solidFill>
                    <w14:schemeClr w14:val="tx1"/>
                  </w14:solidFill>
                </w14:textFill>
              </w:rPr>
              <w:t xml:space="preserve">去程Q </w:t>
            </w:r>
            <w:r>
              <w:rPr>
                <w:rFonts w:hint="eastAsia" w:hAnsi="Cambria Math" w:eastAsia="KaTeX_Math"/>
                <w:i w:val="0"/>
                <w:color w:val="000000" w:themeColor="text1"/>
                <w:sz w:val="25"/>
                <w:szCs w:val="20"/>
                <w:highlight w:val="none"/>
                <w:vertAlign w:val="subscript"/>
                <w:lang w:val="en-US" w:eastAsia="zh-CN"/>
                <w14:textFill>
                  <w14:solidFill>
                    <w14:schemeClr w14:val="tx1"/>
                  </w14:solidFill>
                </w14:textFill>
              </w:rPr>
              <w:t>P1</w:t>
            </w:r>
            <w:r>
              <w:rPr>
                <w:rFonts w:hint="eastAsia" w:hAnsi="Cambria Math" w:eastAsia="KaTeX_Math"/>
                <w:i w:val="0"/>
                <w:color w:val="000000" w:themeColor="text1"/>
                <w:sz w:val="25"/>
                <w:szCs w:val="20"/>
                <w:highlight w:val="none"/>
                <w:lang w:val="en-US" w:eastAsia="zh-CN"/>
                <w14:textFill>
                  <w14:solidFill>
                    <w14:schemeClr w14:val="tx1"/>
                  </w14:solidFill>
                </w14:textFill>
              </w:rPr>
              <w:t>≈0.191 kg/km辆；回程Q</w:t>
            </w:r>
            <w:r>
              <w:rPr>
                <w:rFonts w:hint="eastAsia" w:hAnsi="Cambria Math" w:eastAsia="KaTeX_Math"/>
                <w:i w:val="0"/>
                <w:color w:val="000000" w:themeColor="text1"/>
                <w:sz w:val="25"/>
                <w:szCs w:val="20"/>
                <w:highlight w:val="none"/>
                <w:vertAlign w:val="subscript"/>
                <w:lang w:val="en-US" w:eastAsia="zh-CN"/>
                <w14:textFill>
                  <w14:solidFill>
                    <w14:schemeClr w14:val="tx1"/>
                  </w14:solidFill>
                </w14:textFill>
              </w:rPr>
              <w:t xml:space="preserve"> P2</w:t>
            </w:r>
            <w:r>
              <w:rPr>
                <w:rFonts w:hint="eastAsia" w:hAnsi="Cambria Math" w:eastAsia="KaTeX_Math"/>
                <w:i w:val="0"/>
                <w:color w:val="000000" w:themeColor="text1"/>
                <w:sz w:val="25"/>
                <w:szCs w:val="20"/>
                <w:highlight w:val="none"/>
                <w:lang w:val="en-US" w:eastAsia="zh-CN"/>
                <w14:textFill>
                  <w14:solidFill>
                    <w14:schemeClr w14:val="tx1"/>
                  </w14:solidFill>
                </w14:textFill>
              </w:rPr>
              <w:t>≈0.126 kg/km辆；往返0.317 kg/km辆。年总生产量为413.5 t/a。</w:t>
            </w:r>
          </w:p>
          <w:p w14:paraId="5C8DA4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00" w:firstLineChars="200"/>
              <w:textAlignment w:val="auto"/>
              <w:rPr>
                <w:rFonts w:hint="eastAsia" w:hAnsi="Cambria Math" w:eastAsia="宋体"/>
                <w:i w:val="0"/>
                <w:color w:val="000000" w:themeColor="text1"/>
                <w:sz w:val="25"/>
                <w:szCs w:val="20"/>
                <w:highlight w:val="none"/>
                <w:lang w:val="en-US" w:eastAsia="zh-CN"/>
                <w14:textFill>
                  <w14:solidFill>
                    <w14:schemeClr w14:val="tx1"/>
                  </w14:solidFill>
                </w14:textFill>
              </w:rPr>
            </w:pPr>
            <w:r>
              <w:rPr>
                <w:rFonts w:hint="default" w:hAnsi="Cambria Math" w:eastAsia="KaTeX_Math"/>
                <w:i w:val="0"/>
                <w:color w:val="000000" w:themeColor="text1"/>
                <w:sz w:val="25"/>
                <w:szCs w:val="20"/>
                <w:highlight w:val="none"/>
                <w:lang w:val="en-US" w:eastAsia="zh-CN"/>
                <w14:textFill>
                  <w14:solidFill>
                    <w14:schemeClr w14:val="tx1"/>
                  </w14:solidFill>
                </w14:textFill>
              </w:rPr>
              <w:t>本项目采取“全密闭运输 + 出厂冲洗 + 限速行驶”的综合管控措施。其中，密闭运输彻底消除了物料沿途抛洒产生的二次扬尘（这是长距离运输扬尘的主要来源）；</w:t>
            </w:r>
            <w:r>
              <w:rPr>
                <w:rFonts w:hint="eastAsia" w:hAnsi="Cambria Math" w:eastAsia="KaTeX_Math"/>
                <w:i w:val="0"/>
                <w:color w:val="000000" w:themeColor="text1"/>
                <w:sz w:val="25"/>
                <w:szCs w:val="20"/>
                <w:highlight w:val="none"/>
                <w:lang w:val="en-US" w:eastAsia="zh-CN"/>
                <w14:textFill>
                  <w14:solidFill>
                    <w14:schemeClr w14:val="tx1"/>
                  </w14:solidFill>
                </w14:textFill>
              </w:rPr>
              <w:t>车辆</w:t>
            </w:r>
            <w:r>
              <w:rPr>
                <w:rFonts w:hint="default" w:hAnsi="Cambria Math" w:eastAsia="KaTeX_Math"/>
                <w:i w:val="0"/>
                <w:color w:val="000000" w:themeColor="text1"/>
                <w:sz w:val="25"/>
                <w:szCs w:val="20"/>
                <w:highlight w:val="none"/>
                <w:lang w:val="en-US" w:eastAsia="zh-CN"/>
                <w14:textFill>
                  <w14:solidFill>
                    <w14:schemeClr w14:val="tx1"/>
                  </w14:solidFill>
                </w14:textFill>
              </w:rPr>
              <w:t>冲洗确保了路面 P 值维持在极低水平。类比同类长距离绿色运输项目，上述措施的综合除尘效率可达 95% 以上。</w:t>
            </w:r>
            <w:r>
              <w:rPr>
                <w:rFonts w:hint="eastAsia" w:hAnsi="Cambria Math" w:eastAsia="KaTeX_Math"/>
                <w:i w:val="0"/>
                <w:color w:val="000000" w:themeColor="text1"/>
                <w:sz w:val="25"/>
                <w:szCs w:val="20"/>
                <w:highlight w:val="none"/>
                <w:lang w:val="en-US" w:eastAsia="zh-CN"/>
                <w14:textFill>
                  <w14:solidFill>
                    <w14:schemeClr w14:val="tx1"/>
                  </w14:solidFill>
                </w14:textFill>
              </w:rPr>
              <w:t>故排放量为</w:t>
            </w:r>
            <m:oMath>
              <m:r>
                <m:rPr/>
                <w:rPr>
                  <w:rFonts w:hint="default" w:ascii="Cambria Math" w:hAnsi="Cambria Math" w:eastAsia="Times New Roman"/>
                  <w:color w:val="000000" w:themeColor="text1"/>
                  <w:sz w:val="24"/>
                  <w:szCs w:val="24"/>
                  <w:highlight w:val="none"/>
                  <w14:textFill>
                    <w14:solidFill>
                      <w14:schemeClr w14:val="tx1"/>
                    </w14:solidFill>
                  </w14:textFill>
                </w:rPr>
                <m:t>413.5t/a</m:t>
              </m:r>
              <m:r>
                <m:rPr>
                  <m:sty m:val="p"/>
                </m:rPr>
                <w:rPr>
                  <w:rFonts w:hint="default" w:ascii="Cambria Math" w:hAnsi="Cambria Math" w:eastAsia="Times New Roman"/>
                  <w:color w:val="000000" w:themeColor="text1"/>
                  <w:sz w:val="24"/>
                  <w:szCs w:val="24"/>
                  <w:highlight w:val="none"/>
                  <w14:textFill>
                    <w14:solidFill>
                      <w14:schemeClr w14:val="tx1"/>
                    </w14:solidFill>
                  </w14:textFill>
                </w:rPr>
                <m:t>×</m:t>
              </m:r>
              <m:r>
                <m:rPr/>
                <w:rPr>
                  <w:rFonts w:hint="default" w:ascii="Cambria Math" w:hAnsi="Cambria Math" w:eastAsia="Times New Roman"/>
                  <w:color w:val="000000" w:themeColor="text1"/>
                  <w:sz w:val="24"/>
                  <w:szCs w:val="24"/>
                  <w:highlight w:val="none"/>
                  <w14:textFill>
                    <w14:solidFill>
                      <w14:schemeClr w14:val="tx1"/>
                    </w14:solidFill>
                  </w14:textFill>
                </w:rPr>
                <m:t>(1−95%)=20.7t/a</m:t>
              </m:r>
            </m:oMath>
            <w:r>
              <w:rPr>
                <w:rFonts w:hint="default" w:hAnsi="Cambria Math" w:eastAsia="Times New Roman"/>
                <w:i w:val="0"/>
                <w:color w:val="000000" w:themeColor="text1"/>
                <w:sz w:val="24"/>
                <w:szCs w:val="24"/>
                <w:highlight w:val="none"/>
                <w14:textFill>
                  <w14:solidFill>
                    <w14:schemeClr w14:val="tx1"/>
                  </w14:solidFill>
                </w14:textFill>
              </w:rPr>
              <w:t>（排放速率约 2.4 kg/h）</w:t>
            </w:r>
            <w:r>
              <w:rPr>
                <w:rFonts w:hint="eastAsia" w:hAnsi="Cambria Math" w:eastAsia="宋体"/>
                <w:i w:val="0"/>
                <w:color w:val="000000" w:themeColor="text1"/>
                <w:sz w:val="24"/>
                <w:szCs w:val="24"/>
                <w:highlight w:val="none"/>
                <w:lang w:eastAsia="zh-CN"/>
                <w14:textFill>
                  <w14:solidFill>
                    <w14:schemeClr w14:val="tx1"/>
                  </w14:solidFill>
                </w14:textFill>
              </w:rPr>
              <w:t>。</w:t>
            </w:r>
          </w:p>
          <w:p w14:paraId="3E832C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b/>
                <w:bCs/>
                <w:color w:val="000000" w:themeColor="text1"/>
                <w:kern w:val="0"/>
                <w:sz w:val="24"/>
                <w:szCs w:val="20"/>
                <w:highlight w:val="none"/>
                <w:lang w:val="en-US" w:eastAsia="zh-CN"/>
                <w14:textFill>
                  <w14:solidFill>
                    <w14:schemeClr w14:val="tx1"/>
                  </w14:solidFill>
                </w14:textFill>
              </w:rPr>
            </w:pPr>
            <w:r>
              <w:rPr>
                <w:rFonts w:hint="eastAsia"/>
                <w:b/>
                <w:bCs/>
                <w:color w:val="000000" w:themeColor="text1"/>
                <w:kern w:val="0"/>
                <w:sz w:val="24"/>
                <w:szCs w:val="20"/>
                <w:highlight w:val="none"/>
                <w:lang w:val="en-US" w:eastAsia="zh-CN"/>
                <w14:textFill>
                  <w14:solidFill>
                    <w14:schemeClr w14:val="tx1"/>
                  </w14:solidFill>
                </w14:textFill>
              </w:rPr>
              <w:t xml:space="preserve">（7）施工机械及车辆燃油尾气 </w:t>
            </w:r>
          </w:p>
          <w:p w14:paraId="37AD1B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kern w:val="0"/>
                <w:sz w:val="24"/>
                <w:szCs w:val="20"/>
                <w:highlight w:val="none"/>
                <w:lang w:val="en-US" w:eastAsia="zh-CN"/>
                <w14:textFill>
                  <w14:solidFill>
                    <w14:schemeClr w14:val="tx1"/>
                  </w14:solidFill>
                </w14:textFill>
              </w:rPr>
            </w:pPr>
            <w:r>
              <w:rPr>
                <w:rFonts w:hint="eastAsia"/>
                <w:color w:val="000000" w:themeColor="text1"/>
                <w:kern w:val="0"/>
                <w:sz w:val="24"/>
                <w:szCs w:val="20"/>
                <w:highlight w:val="none"/>
                <w:lang w:val="en-US" w:eastAsia="zh-CN"/>
                <w14:textFill>
                  <w14:solidFill>
                    <w14:schemeClr w14:val="tx1"/>
                  </w14:solidFill>
                </w14:textFill>
              </w:rPr>
              <w:t>运行过程中，各种燃油机械，例如挖掘机、自卸车等动力设备运转时，其主要污染物为CO、THC、NOx等，呈无组织排放形式。</w:t>
            </w:r>
          </w:p>
          <w:p w14:paraId="786B19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kern w:val="0"/>
                <w:sz w:val="24"/>
                <w:szCs w:val="20"/>
                <w:highlight w:val="none"/>
                <w:lang w:val="en-US" w:eastAsia="zh-CN"/>
                <w14:textFill>
                  <w14:solidFill>
                    <w14:schemeClr w14:val="tx1"/>
                  </w14:solidFill>
                </w14:textFill>
              </w:rPr>
            </w:pPr>
            <w:r>
              <w:rPr>
                <w:rFonts w:hint="eastAsia"/>
                <w:color w:val="000000" w:themeColor="text1"/>
                <w:kern w:val="0"/>
                <w:sz w:val="24"/>
                <w:szCs w:val="20"/>
                <w:highlight w:val="none"/>
                <w:lang w:val="en-US" w:eastAsia="zh-CN"/>
                <w14:textFill>
                  <w14:solidFill>
                    <w14:schemeClr w14:val="tx1"/>
                  </w14:solidFill>
                </w14:textFill>
              </w:rPr>
              <w:t>通过加强施工机械设备维护保养，保证其良好的运转状态来降低废气产生；选用符合国家标准的油燃料可以减少废气的排放量。</w:t>
            </w:r>
          </w:p>
          <w:p w14:paraId="0A15ADE6">
            <w:pPr>
              <w:pStyle w:val="8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b/>
                <w:bCs w:val="0"/>
                <w:color w:val="000000" w:themeColor="text1"/>
                <w:sz w:val="24"/>
                <w:szCs w:val="24"/>
                <w:highlight w:val="none"/>
                <w14:textFill>
                  <w14:solidFill>
                    <w14:schemeClr w14:val="tx1"/>
                  </w14:solidFill>
                </w14:textFill>
              </w:rPr>
            </w:pPr>
            <w:r>
              <w:rPr>
                <w:rFonts w:hint="eastAsia"/>
                <w:b/>
                <w:bCs w:val="0"/>
                <w:color w:val="000000" w:themeColor="text1"/>
                <w:sz w:val="24"/>
                <w:szCs w:val="24"/>
                <w:highlight w:val="none"/>
                <w14:textFill>
                  <w14:solidFill>
                    <w14:schemeClr w14:val="tx1"/>
                  </w14:solidFill>
                </w14:textFill>
              </w:rPr>
              <w:t>表4-</w:t>
            </w:r>
            <w:r>
              <w:rPr>
                <w:rFonts w:hint="eastAsia"/>
                <w:b/>
                <w:bCs w:val="0"/>
                <w:color w:val="000000" w:themeColor="text1"/>
                <w:sz w:val="24"/>
                <w:szCs w:val="24"/>
                <w:highlight w:val="none"/>
                <w:lang w:val="en-US" w:eastAsia="zh-CN"/>
                <w14:textFill>
                  <w14:solidFill>
                    <w14:schemeClr w14:val="tx1"/>
                  </w14:solidFill>
                </w14:textFill>
              </w:rPr>
              <w:t>1</w:t>
            </w:r>
            <w:r>
              <w:rPr>
                <w:rFonts w:hint="eastAsia"/>
                <w:b/>
                <w:bCs w:val="0"/>
                <w:color w:val="000000" w:themeColor="text1"/>
                <w:sz w:val="24"/>
                <w:szCs w:val="24"/>
                <w:highlight w:val="none"/>
                <w14:textFill>
                  <w14:solidFill>
                    <w14:schemeClr w14:val="tx1"/>
                  </w14:solidFill>
                </w14:textFill>
              </w:rPr>
              <w:t xml:space="preserve"> </w:t>
            </w:r>
            <w:r>
              <w:rPr>
                <w:rFonts w:hint="eastAsia"/>
                <w:b/>
                <w:bCs w:val="0"/>
                <w:color w:val="000000" w:themeColor="text1"/>
                <w:sz w:val="24"/>
                <w:szCs w:val="24"/>
                <w:highlight w:val="none"/>
                <w:lang w:val="en-US" w:eastAsia="zh-CN"/>
                <w14:textFill>
                  <w14:solidFill>
                    <w14:schemeClr w14:val="tx1"/>
                  </w14:solidFill>
                </w14:textFill>
              </w:rPr>
              <w:t xml:space="preserve"> </w:t>
            </w:r>
            <w:r>
              <w:rPr>
                <w:rFonts w:hint="eastAsia"/>
                <w:b/>
                <w:bCs w:val="0"/>
                <w:color w:val="000000" w:themeColor="text1"/>
                <w:sz w:val="24"/>
                <w:szCs w:val="24"/>
                <w:highlight w:val="none"/>
                <w14:textFill>
                  <w14:solidFill>
                    <w14:schemeClr w14:val="tx1"/>
                  </w14:solidFill>
                </w14:textFill>
              </w:rPr>
              <w:t>废气污染物产排情况表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1"/>
              <w:gridCol w:w="581"/>
              <w:gridCol w:w="581"/>
              <w:gridCol w:w="693"/>
              <w:gridCol w:w="854"/>
              <w:gridCol w:w="3284"/>
              <w:gridCol w:w="693"/>
              <w:gridCol w:w="854"/>
            </w:tblGrid>
            <w:tr w14:paraId="50C4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80" w:type="pct"/>
                  <w:shd w:val="clear" w:color="auto" w:fill="auto"/>
                  <w:noWrap/>
                  <w:vAlign w:val="center"/>
                </w:tcPr>
                <w:p w14:paraId="4B59E2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产污环节</w:t>
                  </w:r>
                </w:p>
              </w:tc>
              <w:tc>
                <w:tcPr>
                  <w:tcW w:w="348" w:type="pct"/>
                  <w:shd w:val="clear" w:color="auto" w:fill="auto"/>
                  <w:noWrap/>
                  <w:vAlign w:val="center"/>
                </w:tcPr>
                <w:p w14:paraId="0A4EC5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污染源类型</w:t>
                  </w:r>
                </w:p>
              </w:tc>
              <w:tc>
                <w:tcPr>
                  <w:tcW w:w="348" w:type="pct"/>
                  <w:shd w:val="clear" w:color="auto" w:fill="auto"/>
                  <w:noWrap/>
                  <w:vAlign w:val="center"/>
                </w:tcPr>
                <w:p w14:paraId="1DC1B0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主要污染物</w:t>
                  </w:r>
                </w:p>
              </w:tc>
              <w:tc>
                <w:tcPr>
                  <w:tcW w:w="415" w:type="pct"/>
                  <w:shd w:val="clear" w:color="auto" w:fill="auto"/>
                  <w:noWrap/>
                  <w:vAlign w:val="center"/>
                </w:tcPr>
                <w:p w14:paraId="3949BC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产生量 (t/a)</w:t>
                  </w:r>
                </w:p>
              </w:tc>
              <w:tc>
                <w:tcPr>
                  <w:tcW w:w="511" w:type="pct"/>
                  <w:shd w:val="clear" w:color="auto" w:fill="auto"/>
                  <w:noWrap/>
                  <w:vAlign w:val="center"/>
                </w:tcPr>
                <w:p w14:paraId="1498EE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产生速率 (kg/h)</w:t>
                  </w:r>
                </w:p>
              </w:tc>
              <w:tc>
                <w:tcPr>
                  <w:tcW w:w="1968" w:type="pct"/>
                  <w:shd w:val="clear" w:color="auto" w:fill="auto"/>
                  <w:noWrap/>
                  <w:vAlign w:val="center"/>
                </w:tcPr>
                <w:p w14:paraId="2D89C2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治理措施及效率</w:t>
                  </w:r>
                </w:p>
              </w:tc>
              <w:tc>
                <w:tcPr>
                  <w:tcW w:w="415" w:type="pct"/>
                  <w:shd w:val="clear" w:color="auto" w:fill="auto"/>
                  <w:noWrap/>
                  <w:vAlign w:val="center"/>
                </w:tcPr>
                <w:p w14:paraId="0A38C3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排放量 (t/a)</w:t>
                  </w:r>
                </w:p>
              </w:tc>
              <w:tc>
                <w:tcPr>
                  <w:tcW w:w="511" w:type="pct"/>
                  <w:shd w:val="clear" w:color="auto" w:fill="auto"/>
                  <w:noWrap/>
                  <w:vAlign w:val="center"/>
                </w:tcPr>
                <w:p w14:paraId="13ADE4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排放速率 (kg/h)</w:t>
                  </w:r>
                </w:p>
              </w:tc>
            </w:tr>
            <w:tr w14:paraId="091C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0" w:type="pct"/>
                  <w:shd w:val="clear" w:color="auto" w:fill="auto"/>
                  <w:noWrap/>
                  <w:vAlign w:val="center"/>
                </w:tcPr>
                <w:p w14:paraId="005FA6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上料粉尘</w:t>
                  </w:r>
                </w:p>
              </w:tc>
              <w:tc>
                <w:tcPr>
                  <w:tcW w:w="348" w:type="pct"/>
                  <w:shd w:val="clear" w:color="auto" w:fill="auto"/>
                  <w:noWrap/>
                  <w:vAlign w:val="center"/>
                </w:tcPr>
                <w:p w14:paraId="0D07FF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无组织</w:t>
                  </w:r>
                </w:p>
              </w:tc>
              <w:tc>
                <w:tcPr>
                  <w:tcW w:w="348" w:type="pct"/>
                  <w:shd w:val="clear" w:color="auto" w:fill="auto"/>
                  <w:noWrap/>
                  <w:vAlign w:val="center"/>
                </w:tcPr>
                <w:p w14:paraId="153021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颗粒物</w:t>
                  </w:r>
                </w:p>
              </w:tc>
              <w:tc>
                <w:tcPr>
                  <w:tcW w:w="415" w:type="pct"/>
                  <w:shd w:val="clear" w:color="auto" w:fill="auto"/>
                  <w:noWrap/>
                  <w:vAlign w:val="center"/>
                </w:tcPr>
                <w:p w14:paraId="41726F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12.91</w:t>
                  </w:r>
                </w:p>
              </w:tc>
              <w:tc>
                <w:tcPr>
                  <w:tcW w:w="511" w:type="pct"/>
                  <w:shd w:val="clear" w:color="auto" w:fill="auto"/>
                  <w:noWrap/>
                  <w:vAlign w:val="center"/>
                </w:tcPr>
                <w:p w14:paraId="425B80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4.303</w:t>
                  </w:r>
                </w:p>
              </w:tc>
              <w:tc>
                <w:tcPr>
                  <w:tcW w:w="1968" w:type="pct"/>
                  <w:shd w:val="clear" w:color="auto" w:fill="auto"/>
                  <w:noWrap/>
                  <w:vAlign w:val="center"/>
                </w:tcPr>
                <w:p w14:paraId="185BA5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全封闭车间+洒水抑尘（处理效率</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89.6%</w:t>
                  </w: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415" w:type="pct"/>
                  <w:shd w:val="clear" w:color="auto" w:fill="auto"/>
                  <w:noWrap/>
                  <w:vAlign w:val="center"/>
                </w:tcPr>
                <w:p w14:paraId="649577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1.34</w:t>
                  </w:r>
                </w:p>
              </w:tc>
              <w:tc>
                <w:tcPr>
                  <w:tcW w:w="511" w:type="pct"/>
                  <w:shd w:val="clear" w:color="auto" w:fill="auto"/>
                  <w:noWrap/>
                  <w:vAlign w:val="center"/>
                </w:tcPr>
                <w:p w14:paraId="4233D2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0.447</w:t>
                  </w:r>
                </w:p>
              </w:tc>
            </w:tr>
            <w:tr w14:paraId="2A66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0" w:type="pct"/>
                  <w:shd w:val="clear" w:color="auto" w:fill="auto"/>
                  <w:noWrap/>
                  <w:vAlign w:val="center"/>
                </w:tcPr>
                <w:p w14:paraId="32563C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仓筒粉尘</w:t>
                  </w:r>
                </w:p>
              </w:tc>
              <w:tc>
                <w:tcPr>
                  <w:tcW w:w="348" w:type="pct"/>
                  <w:shd w:val="clear" w:color="auto" w:fill="auto"/>
                  <w:noWrap/>
                  <w:vAlign w:val="center"/>
                </w:tcPr>
                <w:p w14:paraId="6F20C4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无组织</w:t>
                  </w:r>
                </w:p>
              </w:tc>
              <w:tc>
                <w:tcPr>
                  <w:tcW w:w="348" w:type="pct"/>
                  <w:shd w:val="clear" w:color="auto" w:fill="auto"/>
                  <w:noWrap/>
                  <w:vAlign w:val="center"/>
                </w:tcPr>
                <w:p w14:paraId="724A3D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颗粒物</w:t>
                  </w:r>
                </w:p>
              </w:tc>
              <w:tc>
                <w:tcPr>
                  <w:tcW w:w="415" w:type="pct"/>
                  <w:shd w:val="clear" w:color="auto" w:fill="auto"/>
                  <w:noWrap/>
                  <w:vAlign w:val="center"/>
                </w:tcPr>
                <w:p w14:paraId="4A0B64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152.13</w:t>
                  </w:r>
                </w:p>
              </w:tc>
              <w:tc>
                <w:tcPr>
                  <w:tcW w:w="511" w:type="pct"/>
                  <w:shd w:val="clear" w:color="auto" w:fill="auto"/>
                  <w:noWrap/>
                  <w:vAlign w:val="center"/>
                </w:tcPr>
                <w:p w14:paraId="120FAC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50.71</w:t>
                  </w:r>
                </w:p>
              </w:tc>
              <w:tc>
                <w:tcPr>
                  <w:tcW w:w="1968" w:type="pct"/>
                  <w:shd w:val="clear" w:color="auto" w:fill="auto"/>
                  <w:noWrap/>
                  <w:vAlign w:val="center"/>
                </w:tcPr>
                <w:p w14:paraId="2AFBDF83">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仓顶自带除尘器（处理效率99%）+全封闭车间+洒水抑尘（处理效率</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89.6%</w:t>
                  </w: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415" w:type="pct"/>
                  <w:shd w:val="clear" w:color="auto" w:fill="auto"/>
                  <w:noWrap/>
                  <w:vAlign w:val="center"/>
                </w:tcPr>
                <w:p w14:paraId="1B67C3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0.158</w:t>
                  </w:r>
                </w:p>
              </w:tc>
              <w:tc>
                <w:tcPr>
                  <w:tcW w:w="511" w:type="pct"/>
                  <w:shd w:val="clear" w:color="auto" w:fill="auto"/>
                  <w:noWrap/>
                  <w:vAlign w:val="center"/>
                </w:tcPr>
                <w:p w14:paraId="516DA4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0.053</w:t>
                  </w:r>
                </w:p>
              </w:tc>
            </w:tr>
            <w:tr w14:paraId="6622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0" w:type="pct"/>
                  <w:shd w:val="clear" w:color="auto" w:fill="auto"/>
                  <w:noWrap/>
                  <w:vAlign w:val="center"/>
                </w:tcPr>
                <w:p w14:paraId="7E783E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粉碎粉尘</w:t>
                  </w:r>
                </w:p>
              </w:tc>
              <w:tc>
                <w:tcPr>
                  <w:tcW w:w="348" w:type="pct"/>
                  <w:shd w:val="clear" w:color="auto" w:fill="auto"/>
                  <w:noWrap/>
                  <w:vAlign w:val="center"/>
                </w:tcPr>
                <w:p w14:paraId="46AB4F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无组织</w:t>
                  </w:r>
                </w:p>
              </w:tc>
              <w:tc>
                <w:tcPr>
                  <w:tcW w:w="348" w:type="pct"/>
                  <w:shd w:val="clear" w:color="auto" w:fill="auto"/>
                  <w:noWrap/>
                  <w:vAlign w:val="center"/>
                </w:tcPr>
                <w:p w14:paraId="70C878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颗粒物</w:t>
                  </w:r>
                </w:p>
              </w:tc>
              <w:tc>
                <w:tcPr>
                  <w:tcW w:w="415" w:type="pct"/>
                  <w:shd w:val="clear" w:color="auto" w:fill="auto"/>
                  <w:noWrap/>
                  <w:vAlign w:val="center"/>
                </w:tcPr>
                <w:p w14:paraId="0FE2BB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80.71</w:t>
                  </w:r>
                </w:p>
              </w:tc>
              <w:tc>
                <w:tcPr>
                  <w:tcW w:w="511" w:type="pct"/>
                  <w:shd w:val="clear" w:color="auto" w:fill="auto"/>
                  <w:noWrap/>
                  <w:vAlign w:val="center"/>
                </w:tcPr>
                <w:p w14:paraId="6A8673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26.9</w:t>
                  </w:r>
                </w:p>
              </w:tc>
              <w:tc>
                <w:tcPr>
                  <w:tcW w:w="1968" w:type="pct"/>
                  <w:shd w:val="clear" w:color="auto" w:fill="auto"/>
                  <w:noWrap/>
                  <w:vAlign w:val="center"/>
                </w:tcPr>
                <w:p w14:paraId="0D4100C3">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全封闭车间+洒水抑尘（处理效率</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89.6%</w:t>
                  </w: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415" w:type="pct"/>
                  <w:shd w:val="clear" w:color="auto" w:fill="auto"/>
                  <w:noWrap/>
                  <w:vAlign w:val="center"/>
                </w:tcPr>
                <w:p w14:paraId="15EB75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8.39</w:t>
                  </w:r>
                </w:p>
              </w:tc>
              <w:tc>
                <w:tcPr>
                  <w:tcW w:w="511" w:type="pct"/>
                  <w:shd w:val="clear" w:color="auto" w:fill="auto"/>
                  <w:noWrap/>
                  <w:vAlign w:val="center"/>
                </w:tcPr>
                <w:p w14:paraId="442C4F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2.798</w:t>
                  </w:r>
                </w:p>
              </w:tc>
            </w:tr>
            <w:tr w14:paraId="78BD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0" w:type="pct"/>
                  <w:shd w:val="clear" w:color="auto" w:fill="auto"/>
                  <w:noWrap/>
                  <w:vAlign w:val="center"/>
                </w:tcPr>
                <w:p w14:paraId="4D35AD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混合搅拌粉尘</w:t>
                  </w:r>
                </w:p>
              </w:tc>
              <w:tc>
                <w:tcPr>
                  <w:tcW w:w="348" w:type="pct"/>
                  <w:shd w:val="clear" w:color="auto" w:fill="auto"/>
                  <w:noWrap/>
                  <w:vAlign w:val="center"/>
                </w:tcPr>
                <w:p w14:paraId="0EBD0E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无组织</w:t>
                  </w:r>
                </w:p>
              </w:tc>
              <w:tc>
                <w:tcPr>
                  <w:tcW w:w="348" w:type="pct"/>
                  <w:shd w:val="clear" w:color="auto" w:fill="auto"/>
                  <w:noWrap/>
                  <w:vAlign w:val="center"/>
                </w:tcPr>
                <w:p w14:paraId="15D800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颗粒物</w:t>
                  </w:r>
                </w:p>
              </w:tc>
              <w:tc>
                <w:tcPr>
                  <w:tcW w:w="415" w:type="pct"/>
                  <w:shd w:val="clear" w:color="auto" w:fill="auto"/>
                  <w:noWrap/>
                  <w:vAlign w:val="center"/>
                </w:tcPr>
                <w:p w14:paraId="03FD04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222.443</w:t>
                  </w:r>
                </w:p>
              </w:tc>
              <w:tc>
                <w:tcPr>
                  <w:tcW w:w="511" w:type="pct"/>
                  <w:shd w:val="clear" w:color="auto" w:fill="auto"/>
                  <w:noWrap/>
                  <w:vAlign w:val="center"/>
                </w:tcPr>
                <w:p w14:paraId="72614D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74.148</w:t>
                  </w:r>
                </w:p>
              </w:tc>
              <w:tc>
                <w:tcPr>
                  <w:tcW w:w="1968" w:type="pct"/>
                  <w:shd w:val="clear" w:color="auto" w:fill="auto"/>
                  <w:noWrap/>
                  <w:vAlign w:val="center"/>
                </w:tcPr>
                <w:p w14:paraId="41B4D8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自带除尘器（处理效率99%）+全封闭车间+洒水抑尘（处理效率</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89.6%</w:t>
                  </w: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415" w:type="pct"/>
                  <w:shd w:val="clear" w:color="auto" w:fill="auto"/>
                  <w:noWrap/>
                  <w:vAlign w:val="center"/>
                </w:tcPr>
                <w:p w14:paraId="5A19B9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0.23</w:t>
                  </w:r>
                </w:p>
              </w:tc>
              <w:tc>
                <w:tcPr>
                  <w:tcW w:w="511" w:type="pct"/>
                  <w:shd w:val="clear" w:color="auto" w:fill="auto"/>
                  <w:noWrap/>
                  <w:vAlign w:val="center"/>
                </w:tcPr>
                <w:p w14:paraId="4D4CCA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0.077</w:t>
                  </w:r>
                </w:p>
              </w:tc>
            </w:tr>
            <w:tr w14:paraId="3592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0" w:type="pct"/>
                  <w:shd w:val="clear" w:color="auto" w:fill="auto"/>
                  <w:noWrap/>
                  <w:vAlign w:val="center"/>
                </w:tcPr>
                <w:p w14:paraId="63F7EB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传送带粉尘</w:t>
                  </w:r>
                </w:p>
              </w:tc>
              <w:tc>
                <w:tcPr>
                  <w:tcW w:w="348" w:type="pct"/>
                  <w:shd w:val="clear" w:color="auto" w:fill="auto"/>
                  <w:noWrap/>
                  <w:vAlign w:val="center"/>
                </w:tcPr>
                <w:p w14:paraId="498E6B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无组织</w:t>
                  </w:r>
                </w:p>
              </w:tc>
              <w:tc>
                <w:tcPr>
                  <w:tcW w:w="348" w:type="pct"/>
                  <w:shd w:val="clear" w:color="auto" w:fill="auto"/>
                  <w:noWrap/>
                  <w:vAlign w:val="center"/>
                </w:tcPr>
                <w:p w14:paraId="38FC83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颗粒物</w:t>
                  </w:r>
                </w:p>
              </w:tc>
              <w:tc>
                <w:tcPr>
                  <w:tcW w:w="415" w:type="pct"/>
                  <w:shd w:val="clear" w:color="auto" w:fill="auto"/>
                  <w:noWrap/>
                  <w:vAlign w:val="center"/>
                </w:tcPr>
                <w:p w14:paraId="7FB361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17.111</w:t>
                  </w:r>
                </w:p>
              </w:tc>
              <w:tc>
                <w:tcPr>
                  <w:tcW w:w="511" w:type="pct"/>
                  <w:shd w:val="clear" w:color="auto" w:fill="auto"/>
                  <w:noWrap/>
                  <w:vAlign w:val="center"/>
                </w:tcPr>
                <w:p w14:paraId="5B71D9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5.704</w:t>
                  </w:r>
                </w:p>
              </w:tc>
              <w:tc>
                <w:tcPr>
                  <w:tcW w:w="1968" w:type="pct"/>
                  <w:shd w:val="clear" w:color="auto" w:fill="auto"/>
                  <w:noWrap/>
                  <w:vAlign w:val="center"/>
                </w:tcPr>
                <w:p w14:paraId="0FF77D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全密闭传送带</w:t>
                  </w: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+全封闭车间+洒水抑尘（处理效率</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89.6%</w:t>
                  </w: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415" w:type="pct"/>
                  <w:shd w:val="clear" w:color="auto" w:fill="auto"/>
                  <w:noWrap/>
                  <w:vAlign w:val="center"/>
                </w:tcPr>
                <w:p w14:paraId="533590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1.78</w:t>
                  </w:r>
                </w:p>
              </w:tc>
              <w:tc>
                <w:tcPr>
                  <w:tcW w:w="511" w:type="pct"/>
                  <w:shd w:val="clear" w:color="auto" w:fill="auto"/>
                  <w:noWrap/>
                  <w:vAlign w:val="center"/>
                </w:tcPr>
                <w:p w14:paraId="04C2A2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0.593</w:t>
                  </w:r>
                </w:p>
              </w:tc>
            </w:tr>
            <w:tr w14:paraId="25C7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0" w:type="pct"/>
                  <w:shd w:val="clear" w:color="auto" w:fill="auto"/>
                  <w:noWrap/>
                  <w:vAlign w:val="center"/>
                </w:tcPr>
                <w:p w14:paraId="6CCFD7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小计</w:t>
                  </w:r>
                </w:p>
              </w:tc>
              <w:tc>
                <w:tcPr>
                  <w:tcW w:w="348" w:type="pct"/>
                  <w:shd w:val="clear" w:color="auto" w:fill="auto"/>
                  <w:noWrap/>
                  <w:vAlign w:val="center"/>
                </w:tcPr>
                <w:p w14:paraId="5D039D0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48" w:type="pct"/>
                  <w:shd w:val="clear" w:color="auto" w:fill="auto"/>
                  <w:noWrap/>
                  <w:vAlign w:val="center"/>
                </w:tcPr>
                <w:p w14:paraId="227B6CC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5" w:type="pct"/>
                  <w:shd w:val="clear" w:color="auto" w:fill="auto"/>
                  <w:noWrap/>
                  <w:vAlign w:val="center"/>
                </w:tcPr>
                <w:p w14:paraId="7C44FD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485.304</w:t>
                  </w:r>
                </w:p>
              </w:tc>
              <w:tc>
                <w:tcPr>
                  <w:tcW w:w="511" w:type="pct"/>
                  <w:shd w:val="clear" w:color="auto" w:fill="auto"/>
                  <w:noWrap/>
                  <w:vAlign w:val="center"/>
                </w:tcPr>
                <w:p w14:paraId="18E875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161.765</w:t>
                  </w:r>
                </w:p>
              </w:tc>
              <w:tc>
                <w:tcPr>
                  <w:tcW w:w="1968" w:type="pct"/>
                  <w:shd w:val="clear" w:color="auto" w:fill="auto"/>
                  <w:noWrap/>
                  <w:vAlign w:val="center"/>
                </w:tcPr>
                <w:p w14:paraId="54652AE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5" w:type="pct"/>
                  <w:shd w:val="clear" w:color="auto" w:fill="auto"/>
                  <w:noWrap/>
                  <w:vAlign w:val="center"/>
                </w:tcPr>
                <w:p w14:paraId="7405BE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11.898</w:t>
                  </w:r>
                </w:p>
              </w:tc>
              <w:tc>
                <w:tcPr>
                  <w:tcW w:w="511" w:type="pct"/>
                  <w:shd w:val="clear" w:color="auto" w:fill="auto"/>
                  <w:noWrap/>
                  <w:vAlign w:val="center"/>
                </w:tcPr>
                <w:p w14:paraId="11577A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3.968</w:t>
                  </w:r>
                </w:p>
              </w:tc>
            </w:tr>
            <w:tr w14:paraId="3305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8"/>
                  <w:shd w:val="clear" w:color="auto" w:fill="auto"/>
                  <w:noWrap/>
                  <w:vAlign w:val="center"/>
                </w:tcPr>
                <w:p w14:paraId="2B9FE7C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场外运输</w:t>
                  </w:r>
                </w:p>
              </w:tc>
            </w:tr>
            <w:tr w14:paraId="6284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0" w:type="pct"/>
                  <w:shd w:val="clear" w:color="auto" w:fill="auto"/>
                  <w:noWrap/>
                  <w:vAlign w:val="center"/>
                </w:tcPr>
                <w:p w14:paraId="517C7C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 场外运输扬尘</w:t>
                  </w:r>
                </w:p>
              </w:tc>
              <w:tc>
                <w:tcPr>
                  <w:tcW w:w="348" w:type="pct"/>
                  <w:shd w:val="clear" w:color="auto" w:fill="auto"/>
                  <w:noWrap/>
                  <w:vAlign w:val="center"/>
                </w:tcPr>
                <w:p w14:paraId="17B3BE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无组织</w:t>
                  </w:r>
                </w:p>
              </w:tc>
              <w:tc>
                <w:tcPr>
                  <w:tcW w:w="348" w:type="pct"/>
                  <w:shd w:val="clear" w:color="auto" w:fill="auto"/>
                  <w:noWrap/>
                  <w:vAlign w:val="center"/>
                </w:tcPr>
                <w:p w14:paraId="151DE4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颗粒物</w:t>
                  </w:r>
                </w:p>
              </w:tc>
              <w:tc>
                <w:tcPr>
                  <w:tcW w:w="415" w:type="pct"/>
                  <w:shd w:val="clear" w:color="auto" w:fill="auto"/>
                  <w:noWrap/>
                  <w:vAlign w:val="center"/>
                </w:tcPr>
                <w:p w14:paraId="77D62F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413.5</w:t>
                  </w:r>
                </w:p>
              </w:tc>
              <w:tc>
                <w:tcPr>
                  <w:tcW w:w="511" w:type="pct"/>
                  <w:shd w:val="clear" w:color="auto" w:fill="auto"/>
                  <w:noWrap/>
                  <w:vAlign w:val="center"/>
                </w:tcPr>
                <w:p w14:paraId="121665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47.21</w:t>
                  </w:r>
                </w:p>
              </w:tc>
              <w:tc>
                <w:tcPr>
                  <w:tcW w:w="1968" w:type="pct"/>
                  <w:shd w:val="clear" w:color="auto" w:fill="auto"/>
                  <w:noWrap/>
                  <w:vAlign w:val="center"/>
                </w:tcPr>
                <w:p w14:paraId="43D71B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95%</w:t>
                  </w:r>
                </w:p>
              </w:tc>
              <w:tc>
                <w:tcPr>
                  <w:tcW w:w="415" w:type="pct"/>
                  <w:shd w:val="clear" w:color="auto" w:fill="auto"/>
                  <w:noWrap/>
                  <w:vAlign w:val="center"/>
                </w:tcPr>
                <w:p w14:paraId="13E70D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20.68</w:t>
                  </w:r>
                </w:p>
              </w:tc>
              <w:tc>
                <w:tcPr>
                  <w:tcW w:w="511" w:type="pct"/>
                  <w:shd w:val="clear" w:color="auto" w:fill="auto"/>
                  <w:noWrap/>
                  <w:vAlign w:val="center"/>
                </w:tcPr>
                <w:p w14:paraId="11A5E9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2.36</w:t>
                  </w:r>
                </w:p>
              </w:tc>
            </w:tr>
            <w:tr w14:paraId="7428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0" w:type="pct"/>
                  <w:shd w:val="clear" w:color="auto" w:fill="auto"/>
                  <w:noWrap/>
                  <w:vAlign w:val="center"/>
                </w:tcPr>
                <w:p w14:paraId="2DE641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小计</w:t>
                  </w:r>
                </w:p>
              </w:tc>
              <w:tc>
                <w:tcPr>
                  <w:tcW w:w="348" w:type="pct"/>
                  <w:shd w:val="clear" w:color="auto" w:fill="auto"/>
                  <w:noWrap/>
                  <w:vAlign w:val="center"/>
                </w:tcPr>
                <w:p w14:paraId="307BC65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48" w:type="pct"/>
                  <w:shd w:val="clear" w:color="auto" w:fill="auto"/>
                  <w:noWrap/>
                  <w:vAlign w:val="center"/>
                </w:tcPr>
                <w:p w14:paraId="73B8415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5" w:type="pct"/>
                  <w:shd w:val="clear" w:color="auto" w:fill="auto"/>
                  <w:noWrap/>
                  <w:vAlign w:val="center"/>
                </w:tcPr>
                <w:p w14:paraId="40B921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413.5</w:t>
                  </w:r>
                </w:p>
              </w:tc>
              <w:tc>
                <w:tcPr>
                  <w:tcW w:w="511" w:type="pct"/>
                  <w:shd w:val="clear" w:color="auto" w:fill="auto"/>
                  <w:noWrap/>
                  <w:vAlign w:val="center"/>
                </w:tcPr>
                <w:p w14:paraId="553B53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47.21</w:t>
                  </w:r>
                </w:p>
              </w:tc>
              <w:tc>
                <w:tcPr>
                  <w:tcW w:w="1968" w:type="pct"/>
                  <w:shd w:val="clear" w:color="auto" w:fill="auto"/>
                  <w:noWrap/>
                  <w:vAlign w:val="center"/>
                </w:tcPr>
                <w:p w14:paraId="03F985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15" w:type="pct"/>
                  <w:shd w:val="clear" w:color="auto" w:fill="auto"/>
                  <w:noWrap/>
                  <w:vAlign w:val="center"/>
                </w:tcPr>
                <w:p w14:paraId="70B5D6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20.68</w:t>
                  </w:r>
                </w:p>
              </w:tc>
              <w:tc>
                <w:tcPr>
                  <w:tcW w:w="511" w:type="pct"/>
                  <w:shd w:val="clear" w:color="auto" w:fill="auto"/>
                  <w:noWrap/>
                  <w:vAlign w:val="center"/>
                </w:tcPr>
                <w:p w14:paraId="443215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2.36</w:t>
                  </w:r>
                </w:p>
              </w:tc>
            </w:tr>
            <w:tr w14:paraId="28A2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0" w:type="pct"/>
                  <w:shd w:val="clear" w:color="auto" w:fill="auto"/>
                  <w:noWrap/>
                  <w:vAlign w:val="center"/>
                </w:tcPr>
                <w:p w14:paraId="4D0B98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合计</w:t>
                  </w:r>
                </w:p>
              </w:tc>
              <w:tc>
                <w:tcPr>
                  <w:tcW w:w="348" w:type="pct"/>
                  <w:shd w:val="clear" w:color="auto" w:fill="auto"/>
                  <w:noWrap/>
                  <w:vAlign w:val="center"/>
                </w:tcPr>
                <w:p w14:paraId="68BE98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无组织总计</w:t>
                  </w:r>
                </w:p>
              </w:tc>
              <w:tc>
                <w:tcPr>
                  <w:tcW w:w="348" w:type="pct"/>
                  <w:shd w:val="clear" w:color="auto" w:fill="auto"/>
                  <w:noWrap/>
                  <w:vAlign w:val="center"/>
                </w:tcPr>
                <w:p w14:paraId="1F869E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颗粒物</w:t>
                  </w:r>
                </w:p>
              </w:tc>
              <w:tc>
                <w:tcPr>
                  <w:tcW w:w="415" w:type="pct"/>
                  <w:shd w:val="clear" w:color="auto" w:fill="auto"/>
                  <w:noWrap/>
                  <w:vAlign w:val="center"/>
                </w:tcPr>
                <w:p w14:paraId="301954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968.33</w:t>
                  </w:r>
                </w:p>
              </w:tc>
              <w:tc>
                <w:tcPr>
                  <w:tcW w:w="511" w:type="pct"/>
                  <w:shd w:val="clear" w:color="auto" w:fill="auto"/>
                  <w:noWrap/>
                  <w:vAlign w:val="center"/>
                </w:tcPr>
                <w:p w14:paraId="30D1A3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278.13</w:t>
                  </w:r>
                </w:p>
              </w:tc>
              <w:tc>
                <w:tcPr>
                  <w:tcW w:w="1968" w:type="pct"/>
                  <w:shd w:val="clear" w:color="auto" w:fill="auto"/>
                  <w:noWrap/>
                  <w:vAlign w:val="center"/>
                </w:tcPr>
                <w:p w14:paraId="1D0053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15" w:type="pct"/>
                  <w:shd w:val="clear" w:color="auto" w:fill="auto"/>
                  <w:noWrap/>
                  <w:vAlign w:val="center"/>
                </w:tcPr>
                <w:p w14:paraId="59EDD2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62.74</w:t>
                  </w:r>
                </w:p>
              </w:tc>
              <w:tc>
                <w:tcPr>
                  <w:tcW w:w="511" w:type="pct"/>
                  <w:shd w:val="clear" w:color="auto" w:fill="auto"/>
                  <w:noWrap/>
                  <w:vAlign w:val="center"/>
                </w:tcPr>
                <w:p w14:paraId="3E0182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19.62</w:t>
                  </w:r>
                </w:p>
              </w:tc>
            </w:tr>
          </w:tbl>
          <w:p w14:paraId="2C3F8052">
            <w:pPr>
              <w:keepNext w:val="0"/>
              <w:keepLines w:val="0"/>
              <w:suppressLineNumbers w:val="0"/>
              <w:spacing w:before="0" w:beforeAutospacing="0" w:after="0" w:afterAutospacing="0" w:line="360" w:lineRule="auto"/>
              <w:ind w:left="0" w:right="0" w:firstLine="562" w:firstLineChars="200"/>
              <w:rPr>
                <w:rFonts w:hint="default"/>
                <w:b/>
                <w:bCs/>
                <w:color w:val="000000" w:themeColor="text1"/>
                <w:kern w:val="0"/>
                <w:sz w:val="28"/>
                <w:szCs w:val="21"/>
                <w:highlight w:val="none"/>
                <w:lang w:val="en-US" w:eastAsia="zh-CN"/>
                <w14:textFill>
                  <w14:solidFill>
                    <w14:schemeClr w14:val="tx1"/>
                  </w14:solidFill>
                </w14:textFill>
              </w:rPr>
            </w:pPr>
            <w:r>
              <w:rPr>
                <w:rFonts w:hint="eastAsia"/>
                <w:b/>
                <w:bCs/>
                <w:color w:val="000000" w:themeColor="text1"/>
                <w:kern w:val="0"/>
                <w:sz w:val="28"/>
                <w:szCs w:val="21"/>
                <w:highlight w:val="none"/>
                <w:lang w:val="en-US" w:eastAsia="zh-CN"/>
                <w14:textFill>
                  <w14:solidFill>
                    <w14:schemeClr w14:val="tx1"/>
                  </w14:solidFill>
                </w14:textFill>
              </w:rPr>
              <w:t>二、废气达标排放分析</w:t>
            </w:r>
          </w:p>
          <w:p w14:paraId="7DD57FC7">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bCs/>
                <w:color w:val="000000" w:themeColor="text1"/>
                <w:highlight w:val="none"/>
                <w:lang w:eastAsia="zh-CN"/>
                <w14:textFill>
                  <w14:solidFill>
                    <w14:schemeClr w14:val="tx1"/>
                  </w14:solidFill>
                </w14:textFill>
              </w:rPr>
            </w:pPr>
            <w:r>
              <w:rPr>
                <w:rFonts w:hint="eastAsia"/>
                <w:bCs/>
                <w:color w:val="000000" w:themeColor="text1"/>
                <w:highlight w:val="none"/>
                <w14:textFill>
                  <w14:solidFill>
                    <w14:schemeClr w14:val="tx1"/>
                  </w14:solidFill>
                </w14:textFill>
              </w:rPr>
              <w:t>本项目在生产中产生的无组织粉尘主要为</w:t>
            </w:r>
            <w:r>
              <w:rPr>
                <w:rFonts w:hint="eastAsia"/>
                <w:bCs/>
                <w:color w:val="000000" w:themeColor="text1"/>
                <w:highlight w:val="none"/>
                <w:lang w:val="en-US" w:eastAsia="zh-CN"/>
                <w14:textFill>
                  <w14:solidFill>
                    <w14:schemeClr w14:val="tx1"/>
                  </w14:solidFill>
                </w14:textFill>
              </w:rPr>
              <w:t>本项目</w:t>
            </w:r>
            <w:r>
              <w:rPr>
                <w:rFonts w:hint="default"/>
                <w:bCs/>
                <w:color w:val="000000" w:themeColor="text1"/>
                <w:highlight w:val="none"/>
                <w:lang w:eastAsia="zh-CN"/>
                <w14:textFill>
                  <w14:solidFill>
                    <w14:schemeClr w14:val="tx1"/>
                  </w14:solidFill>
                </w14:textFill>
              </w:rPr>
              <w:t>废气主要为</w:t>
            </w:r>
            <w:r>
              <w:rPr>
                <w:rFonts w:hint="eastAsia"/>
                <w:bCs/>
                <w:color w:val="000000" w:themeColor="text1"/>
                <w:highlight w:val="none"/>
                <w:lang w:val="en-US" w:eastAsia="zh-CN"/>
                <w14:textFill>
                  <w14:solidFill>
                    <w14:schemeClr w14:val="tx1"/>
                  </w14:solidFill>
                </w14:textFill>
              </w:rPr>
              <w:t>上料</w:t>
            </w:r>
            <w:r>
              <w:rPr>
                <w:rFonts w:hint="default"/>
                <w:bCs/>
                <w:color w:val="000000" w:themeColor="text1"/>
                <w:highlight w:val="none"/>
                <w:lang w:eastAsia="zh-CN"/>
                <w14:textFill>
                  <w14:solidFill>
                    <w14:schemeClr w14:val="tx1"/>
                  </w14:solidFill>
                </w14:textFill>
              </w:rPr>
              <w:t>粉尘、筒仓粉尘、</w:t>
            </w:r>
            <w:r>
              <w:rPr>
                <w:rFonts w:hint="eastAsia"/>
                <w:bCs/>
                <w:color w:val="000000" w:themeColor="text1"/>
                <w:highlight w:val="none"/>
                <w:lang w:val="en-US" w:eastAsia="zh-CN"/>
                <w14:textFill>
                  <w14:solidFill>
                    <w14:schemeClr w14:val="tx1"/>
                  </w14:solidFill>
                </w14:textFill>
              </w:rPr>
              <w:t>粉碎粉尘、</w:t>
            </w:r>
            <w:r>
              <w:rPr>
                <w:rFonts w:hint="eastAsia"/>
                <w:bCs/>
                <w:color w:val="000000" w:themeColor="text1"/>
                <w:highlight w:val="none"/>
                <w:lang w:eastAsia="zh-CN"/>
                <w14:textFill>
                  <w14:solidFill>
                    <w14:schemeClr w14:val="tx1"/>
                  </w14:solidFill>
                </w14:textFill>
              </w:rPr>
              <w:t>上料粉尘、</w:t>
            </w:r>
            <w:r>
              <w:rPr>
                <w:rFonts w:hint="default"/>
                <w:bCs/>
                <w:color w:val="000000" w:themeColor="text1"/>
                <w:highlight w:val="none"/>
                <w:lang w:eastAsia="zh-CN"/>
                <w14:textFill>
                  <w14:solidFill>
                    <w14:schemeClr w14:val="tx1"/>
                  </w14:solidFill>
                </w14:textFill>
              </w:rPr>
              <w:t>皮带输送粉尘、搅拌粉尘</w:t>
            </w:r>
            <w:r>
              <w:rPr>
                <w:rFonts w:hint="eastAsia"/>
                <w:bCs/>
                <w:color w:val="000000" w:themeColor="text1"/>
                <w:highlight w:val="none"/>
                <w:lang w:eastAsia="zh-CN"/>
                <w14:textFill>
                  <w14:solidFill>
                    <w14:schemeClr w14:val="tx1"/>
                  </w14:solidFill>
                </w14:textFill>
              </w:rPr>
              <w:t>、车辆</w:t>
            </w:r>
            <w:r>
              <w:rPr>
                <w:rFonts w:hint="eastAsia"/>
                <w:bCs/>
                <w:color w:val="000000" w:themeColor="text1"/>
                <w:highlight w:val="none"/>
                <w:lang w:val="en-US" w:eastAsia="zh-CN"/>
                <w14:textFill>
                  <w14:solidFill>
                    <w14:schemeClr w14:val="tx1"/>
                  </w14:solidFill>
                </w14:textFill>
              </w:rPr>
              <w:t>运输扬尘</w:t>
            </w:r>
            <w:r>
              <w:rPr>
                <w:rFonts w:hint="default"/>
                <w:bCs/>
                <w:color w:val="000000" w:themeColor="text1"/>
                <w:highlight w:val="none"/>
                <w:lang w:eastAsia="zh-CN"/>
                <w14:textFill>
                  <w14:solidFill>
                    <w14:schemeClr w14:val="tx1"/>
                  </w14:solidFill>
                </w14:textFill>
              </w:rPr>
              <w:t>。</w:t>
            </w:r>
          </w:p>
          <w:p w14:paraId="0968E486">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项目</w:t>
            </w:r>
            <w:r>
              <w:rPr>
                <w:rFonts w:hint="eastAsia"/>
                <w:bCs/>
                <w:color w:val="000000" w:themeColor="text1"/>
                <w:highlight w:val="none"/>
                <w:lang w:val="en-US" w:eastAsia="zh-CN"/>
                <w14:textFill>
                  <w14:solidFill>
                    <w14:schemeClr w14:val="tx1"/>
                  </w14:solidFill>
                </w14:textFill>
              </w:rPr>
              <w:t>改性</w:t>
            </w:r>
            <w:r>
              <w:rPr>
                <w:rFonts w:hint="eastAsia"/>
                <w:bCs/>
                <w:color w:val="000000" w:themeColor="text1"/>
                <w:highlight w:val="none"/>
                <w14:textFill>
                  <w14:solidFill>
                    <w14:schemeClr w14:val="tx1"/>
                  </w14:solidFill>
                </w14:textFill>
              </w:rPr>
              <w:t>车间</w:t>
            </w:r>
            <w:r>
              <w:rPr>
                <w:rFonts w:hint="eastAsia"/>
                <w:bCs/>
                <w:color w:val="000000" w:themeColor="text1"/>
                <w:highlight w:val="none"/>
                <w:lang w:eastAsia="zh-CN"/>
                <w14:textFill>
                  <w14:solidFill>
                    <w14:schemeClr w14:val="tx1"/>
                  </w14:solidFill>
                </w14:textFill>
              </w:rPr>
              <w:t>、</w:t>
            </w:r>
            <w:r>
              <w:rPr>
                <w:rFonts w:hint="eastAsia"/>
                <w:bCs/>
                <w:color w:val="000000" w:themeColor="text1"/>
                <w:highlight w:val="none"/>
                <w:lang w:val="en-US" w:eastAsia="zh-CN"/>
                <w14:textFill>
                  <w14:solidFill>
                    <w14:schemeClr w14:val="tx1"/>
                  </w14:solidFill>
                </w14:textFill>
              </w:rPr>
              <w:t>待检区均</w:t>
            </w:r>
            <w:r>
              <w:rPr>
                <w:rFonts w:hint="eastAsia"/>
                <w:bCs/>
                <w:color w:val="000000" w:themeColor="text1"/>
                <w:highlight w:val="none"/>
                <w14:textFill>
                  <w14:solidFill>
                    <w14:schemeClr w14:val="tx1"/>
                  </w14:solidFill>
                </w14:textFill>
              </w:rPr>
              <w:t>全密闭，车间内</w:t>
            </w:r>
            <w:r>
              <w:rPr>
                <w:rFonts w:hint="eastAsia"/>
                <w:bCs/>
                <w:color w:val="000000" w:themeColor="text1"/>
                <w:highlight w:val="none"/>
                <w:lang w:val="en-US" w:eastAsia="zh-CN"/>
                <w14:textFill>
                  <w14:solidFill>
                    <w14:schemeClr w14:val="tx1"/>
                  </w14:solidFill>
                </w14:textFill>
              </w:rPr>
              <w:t>设置全自动喷雾装置</w:t>
            </w:r>
            <w:r>
              <w:rPr>
                <w:rFonts w:hint="eastAsia"/>
                <w:bCs/>
                <w:color w:val="000000" w:themeColor="text1"/>
                <w:highlight w:val="none"/>
                <w14:textFill>
                  <w14:solidFill>
                    <w14:schemeClr w14:val="tx1"/>
                  </w14:solidFill>
                </w14:textFill>
              </w:rPr>
              <w:t>，只预留运输车辆进出卸料口，原料及产品均采取袋装存放。经过车间密闭，自然沉降后，只有少量粉尘排放，对周围环境影响不大。</w:t>
            </w:r>
          </w:p>
          <w:p w14:paraId="5E0534A2">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本环评采用AERSCREEN模型估算项目建成后</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无组织废气中颗粒物</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对周围环境的影响，</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预测结果见下表。</w:t>
            </w:r>
          </w:p>
          <w:p w14:paraId="08C100B9">
            <w:pPr>
              <w:pStyle w:val="273"/>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zh-CN" w:eastAsia="zh-CN"/>
                <w14:textFill>
                  <w14:solidFill>
                    <w14:schemeClr w14:val="tx1"/>
                  </w14:solidFill>
                </w14:textFill>
              </w:rPr>
              <w:t>表4</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2 </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 xml:space="preserve"> 无组织废气污染物预测结果一览表</w:t>
            </w:r>
          </w:p>
          <w:tbl>
            <w:tblPr>
              <w:tblStyle w:val="45"/>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5"/>
              <w:gridCol w:w="4195"/>
            </w:tblGrid>
            <w:tr w14:paraId="48B3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tcPr>
                <w:p w14:paraId="6F4572D3">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0"/>
                      <w:szCs w:val="20"/>
                      <w:highlight w:val="none"/>
                      <w:lang w:eastAsia="zh-CN"/>
                      <w14:textFill>
                        <w14:solidFill>
                          <w14:schemeClr w14:val="tx1"/>
                        </w14:solidFill>
                      </w14:textFill>
                    </w:rPr>
                    <w:t>离源距离（m）</w:t>
                  </w:r>
                </w:p>
              </w:tc>
              <w:tc>
                <w:tcPr>
                  <w:tcW w:w="4195" w:type="dxa"/>
                  <w:tcBorders>
                    <w:tl2br w:val="nil"/>
                    <w:tr2bl w:val="nil"/>
                  </w:tcBorders>
                </w:tcPr>
                <w:p w14:paraId="5652FCA4">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bCs/>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0"/>
                      <w:szCs w:val="20"/>
                      <w:highlight w:val="none"/>
                      <w:lang w:eastAsia="zh-CN"/>
                      <w14:textFill>
                        <w14:solidFill>
                          <w14:schemeClr w14:val="tx1"/>
                        </w14:solidFill>
                      </w14:textFill>
                    </w:rPr>
                    <w:t>预测浓度（mg/m</w:t>
                  </w:r>
                  <w:r>
                    <w:rPr>
                      <w:rFonts w:hint="eastAsia" w:ascii="Times New Roman" w:hAnsi="Times New Roman" w:eastAsia="宋体" w:cs="Times New Roman"/>
                      <w:b/>
                      <w:bCs/>
                      <w:color w:val="000000" w:themeColor="text1"/>
                      <w:sz w:val="20"/>
                      <w:szCs w:val="20"/>
                      <w:highlight w:val="none"/>
                      <w:vertAlign w:val="superscript"/>
                      <w:lang w:eastAsia="zh-CN"/>
                      <w14:textFill>
                        <w14:solidFill>
                          <w14:schemeClr w14:val="tx1"/>
                        </w14:solidFill>
                      </w14:textFill>
                    </w:rPr>
                    <w:t>3</w:t>
                  </w:r>
                  <w:r>
                    <w:rPr>
                      <w:rFonts w:hint="eastAsia" w:ascii="Times New Roman" w:hAnsi="Times New Roman" w:eastAsia="宋体" w:cs="Times New Roman"/>
                      <w:b/>
                      <w:bCs/>
                      <w:color w:val="000000" w:themeColor="text1"/>
                      <w:sz w:val="20"/>
                      <w:szCs w:val="20"/>
                      <w:highlight w:val="none"/>
                      <w:lang w:eastAsia="zh-CN"/>
                      <w14:textFill>
                        <w14:solidFill>
                          <w14:schemeClr w14:val="tx1"/>
                        </w14:solidFill>
                      </w14:textFill>
                    </w:rPr>
                    <w:t>）</w:t>
                  </w:r>
                </w:p>
              </w:tc>
            </w:tr>
            <w:tr w14:paraId="5B25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161FC3A6">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1</w:t>
                  </w:r>
                </w:p>
              </w:tc>
              <w:tc>
                <w:tcPr>
                  <w:tcW w:w="4195" w:type="dxa"/>
                  <w:tcBorders>
                    <w:tl2br w:val="nil"/>
                    <w:tr2bl w:val="nil"/>
                  </w:tcBorders>
                  <w:vAlign w:val="center"/>
                </w:tcPr>
                <w:p w14:paraId="5BA16ED3">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0.2</w:t>
                  </w:r>
                </w:p>
              </w:tc>
            </w:tr>
            <w:tr w14:paraId="4400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195" w:type="dxa"/>
                  <w:tcBorders>
                    <w:tl2br w:val="nil"/>
                    <w:tr2bl w:val="nil"/>
                  </w:tcBorders>
                  <w:vAlign w:val="center"/>
                </w:tcPr>
                <w:p w14:paraId="49796200">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25</w:t>
                  </w:r>
                </w:p>
              </w:tc>
              <w:tc>
                <w:tcPr>
                  <w:tcW w:w="4195" w:type="dxa"/>
                  <w:tcBorders>
                    <w:tl2br w:val="nil"/>
                    <w:tr2bl w:val="nil"/>
                  </w:tcBorders>
                  <w:vAlign w:val="center"/>
                </w:tcPr>
                <w:p w14:paraId="50B17C75">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0.26</w:t>
                  </w:r>
                </w:p>
              </w:tc>
            </w:tr>
            <w:tr w14:paraId="6F70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5DB8CD1B">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50</w:t>
                  </w:r>
                </w:p>
              </w:tc>
              <w:tc>
                <w:tcPr>
                  <w:tcW w:w="4195" w:type="dxa"/>
                  <w:tcBorders>
                    <w:tl2br w:val="nil"/>
                    <w:tr2bl w:val="nil"/>
                  </w:tcBorders>
                  <w:vAlign w:val="center"/>
                </w:tcPr>
                <w:p w14:paraId="15A17E1F">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0.31</w:t>
                  </w:r>
                </w:p>
              </w:tc>
            </w:tr>
            <w:tr w14:paraId="4DCB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3BC8254A">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0"/>
                      <w:szCs w:val="20"/>
                      <w:highlight w:val="none"/>
                      <w:lang w:eastAsia="zh-CN"/>
                      <w14:textFill>
                        <w14:solidFill>
                          <w14:schemeClr w14:val="tx1"/>
                        </w14:solidFill>
                      </w14:textFill>
                    </w:rPr>
                    <w:t>75</w:t>
                  </w:r>
                </w:p>
              </w:tc>
              <w:tc>
                <w:tcPr>
                  <w:tcW w:w="4195" w:type="dxa"/>
                  <w:tcBorders>
                    <w:tl2br w:val="nil"/>
                    <w:tr2bl w:val="nil"/>
                  </w:tcBorders>
                  <w:vAlign w:val="center"/>
                </w:tcPr>
                <w:p w14:paraId="084B5A15">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000000" w:themeColor="text1"/>
                      <w:sz w:val="20"/>
                      <w:szCs w:val="20"/>
                      <w:highlight w:val="none"/>
                      <w:lang w:val="en-US" w:eastAsia="zh-CN"/>
                      <w14:textFill>
                        <w14:solidFill>
                          <w14:schemeClr w14:val="tx1"/>
                        </w14:solidFill>
                      </w14:textFill>
                    </w:rPr>
                  </w:pPr>
                  <w:r>
                    <w:rPr>
                      <w:rFonts w:hint="eastAsia" w:cs="Times New Roman"/>
                      <w:b w:val="0"/>
                      <w:bCs w:val="0"/>
                      <w:color w:val="000000" w:themeColor="text1"/>
                      <w:sz w:val="20"/>
                      <w:szCs w:val="20"/>
                      <w:highlight w:val="none"/>
                      <w:lang w:val="en-US" w:eastAsia="zh-CN"/>
                      <w14:textFill>
                        <w14:solidFill>
                          <w14:schemeClr w14:val="tx1"/>
                        </w14:solidFill>
                      </w14:textFill>
                    </w:rPr>
                    <w:t>0.35</w:t>
                  </w:r>
                </w:p>
              </w:tc>
            </w:tr>
            <w:tr w14:paraId="01BA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1622AB48">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100</w:t>
                  </w:r>
                </w:p>
              </w:tc>
              <w:tc>
                <w:tcPr>
                  <w:tcW w:w="4195" w:type="dxa"/>
                  <w:tcBorders>
                    <w:tl2br w:val="nil"/>
                    <w:tr2bl w:val="nil"/>
                  </w:tcBorders>
                  <w:vAlign w:val="center"/>
                </w:tcPr>
                <w:p w14:paraId="4B11B788">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0.38</w:t>
                  </w:r>
                </w:p>
              </w:tc>
            </w:tr>
            <w:tr w14:paraId="6088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72E8A0D0">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125</w:t>
                  </w:r>
                </w:p>
              </w:tc>
              <w:tc>
                <w:tcPr>
                  <w:tcW w:w="4195" w:type="dxa"/>
                  <w:tcBorders>
                    <w:tl2br w:val="nil"/>
                    <w:tr2bl w:val="nil"/>
                  </w:tcBorders>
                  <w:vAlign w:val="center"/>
                </w:tcPr>
                <w:p w14:paraId="616E538F">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0.41</w:t>
                  </w:r>
                </w:p>
              </w:tc>
            </w:tr>
            <w:tr w14:paraId="6C37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6EA73AB0">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150</w:t>
                  </w:r>
                </w:p>
              </w:tc>
              <w:tc>
                <w:tcPr>
                  <w:tcW w:w="4195" w:type="dxa"/>
                  <w:tcBorders>
                    <w:tl2br w:val="nil"/>
                    <w:tr2bl w:val="nil"/>
                  </w:tcBorders>
                  <w:vAlign w:val="center"/>
                </w:tcPr>
                <w:p w14:paraId="208367F4">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0.43</w:t>
                  </w:r>
                </w:p>
              </w:tc>
            </w:tr>
            <w:tr w14:paraId="42F0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2FC45DE2">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175</w:t>
                  </w:r>
                </w:p>
              </w:tc>
              <w:tc>
                <w:tcPr>
                  <w:tcW w:w="4195" w:type="dxa"/>
                  <w:tcBorders>
                    <w:tl2br w:val="nil"/>
                    <w:tr2bl w:val="nil"/>
                  </w:tcBorders>
                  <w:vAlign w:val="center"/>
                </w:tcPr>
                <w:p w14:paraId="1B5264C5">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0.45</w:t>
                  </w:r>
                </w:p>
              </w:tc>
            </w:tr>
            <w:tr w14:paraId="12F4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24313036">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200</w:t>
                  </w:r>
                </w:p>
              </w:tc>
              <w:tc>
                <w:tcPr>
                  <w:tcW w:w="4195" w:type="dxa"/>
                  <w:tcBorders>
                    <w:tl2br w:val="nil"/>
                    <w:tr2bl w:val="nil"/>
                  </w:tcBorders>
                  <w:vAlign w:val="center"/>
                </w:tcPr>
                <w:p w14:paraId="0E133C12">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0.47</w:t>
                  </w:r>
                </w:p>
              </w:tc>
            </w:tr>
            <w:tr w14:paraId="5FF9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3E0A0B4C">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225</w:t>
                  </w:r>
                </w:p>
              </w:tc>
              <w:tc>
                <w:tcPr>
                  <w:tcW w:w="4195" w:type="dxa"/>
                  <w:tcBorders>
                    <w:tl2br w:val="nil"/>
                    <w:tr2bl w:val="nil"/>
                  </w:tcBorders>
                  <w:vAlign w:val="center"/>
                </w:tcPr>
                <w:p w14:paraId="226035B5">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0.44</w:t>
                  </w:r>
                </w:p>
              </w:tc>
            </w:tr>
            <w:tr w14:paraId="248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7410B001">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250</w:t>
                  </w:r>
                </w:p>
              </w:tc>
              <w:tc>
                <w:tcPr>
                  <w:tcW w:w="4195" w:type="dxa"/>
                  <w:tcBorders>
                    <w:tl2br w:val="nil"/>
                    <w:tr2bl w:val="nil"/>
                  </w:tcBorders>
                  <w:vAlign w:val="center"/>
                </w:tcPr>
                <w:p w14:paraId="3F3D0F99">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0.40</w:t>
                  </w:r>
                </w:p>
              </w:tc>
            </w:tr>
            <w:tr w14:paraId="2612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321499A2">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275</w:t>
                  </w:r>
                </w:p>
              </w:tc>
              <w:tc>
                <w:tcPr>
                  <w:tcW w:w="4195" w:type="dxa"/>
                  <w:tcBorders>
                    <w:tl2br w:val="nil"/>
                    <w:tr2bl w:val="nil"/>
                  </w:tcBorders>
                  <w:vAlign w:val="center"/>
                </w:tcPr>
                <w:p w14:paraId="5B56A55B">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0.37</w:t>
                  </w:r>
                </w:p>
              </w:tc>
            </w:tr>
            <w:tr w14:paraId="16E1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2D25B5AF">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300</w:t>
                  </w:r>
                </w:p>
              </w:tc>
              <w:tc>
                <w:tcPr>
                  <w:tcW w:w="4195" w:type="dxa"/>
                  <w:tcBorders>
                    <w:tl2br w:val="nil"/>
                    <w:tr2bl w:val="nil"/>
                  </w:tcBorders>
                  <w:vAlign w:val="center"/>
                </w:tcPr>
                <w:p w14:paraId="1AB7C3DB">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0.33</w:t>
                  </w:r>
                </w:p>
              </w:tc>
            </w:tr>
            <w:tr w14:paraId="6045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62492C43">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325</w:t>
                  </w:r>
                </w:p>
              </w:tc>
              <w:tc>
                <w:tcPr>
                  <w:tcW w:w="4195" w:type="dxa"/>
                  <w:tcBorders>
                    <w:tl2br w:val="nil"/>
                    <w:tr2bl w:val="nil"/>
                  </w:tcBorders>
                  <w:vAlign w:val="center"/>
                </w:tcPr>
                <w:p w14:paraId="2C33F4DC">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0.29</w:t>
                  </w:r>
                </w:p>
              </w:tc>
            </w:tr>
            <w:tr w14:paraId="2809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634DB0D0">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350</w:t>
                  </w:r>
                </w:p>
              </w:tc>
              <w:tc>
                <w:tcPr>
                  <w:tcW w:w="4195" w:type="dxa"/>
                  <w:tcBorders>
                    <w:tl2br w:val="nil"/>
                    <w:tr2bl w:val="nil"/>
                  </w:tcBorders>
                  <w:vAlign w:val="center"/>
                </w:tcPr>
                <w:p w14:paraId="36850477">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0.25</w:t>
                  </w:r>
                </w:p>
              </w:tc>
            </w:tr>
            <w:tr w14:paraId="5E46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7D8869C4">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375</w:t>
                  </w:r>
                </w:p>
              </w:tc>
              <w:tc>
                <w:tcPr>
                  <w:tcW w:w="4195" w:type="dxa"/>
                  <w:tcBorders>
                    <w:tl2br w:val="nil"/>
                    <w:tr2bl w:val="nil"/>
                  </w:tcBorders>
                  <w:vAlign w:val="center"/>
                </w:tcPr>
                <w:p w14:paraId="754E775D">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0.22</w:t>
                  </w:r>
                </w:p>
              </w:tc>
            </w:tr>
            <w:tr w14:paraId="6DF4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45FA3180">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400</w:t>
                  </w:r>
                </w:p>
              </w:tc>
              <w:tc>
                <w:tcPr>
                  <w:tcW w:w="4195" w:type="dxa"/>
                  <w:tcBorders>
                    <w:tl2br w:val="nil"/>
                    <w:tr2bl w:val="nil"/>
                  </w:tcBorders>
                  <w:vAlign w:val="center"/>
                </w:tcPr>
                <w:p w14:paraId="2A49D81D">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0.19</w:t>
                  </w:r>
                </w:p>
              </w:tc>
            </w:tr>
            <w:tr w14:paraId="4F16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5B649723">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425</w:t>
                  </w:r>
                </w:p>
              </w:tc>
              <w:tc>
                <w:tcPr>
                  <w:tcW w:w="4195" w:type="dxa"/>
                  <w:tcBorders>
                    <w:tl2br w:val="nil"/>
                    <w:tr2bl w:val="nil"/>
                  </w:tcBorders>
                  <w:vAlign w:val="center"/>
                </w:tcPr>
                <w:p w14:paraId="3D06F5F4">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0.16</w:t>
                  </w:r>
                </w:p>
              </w:tc>
            </w:tr>
            <w:tr w14:paraId="1BDA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27D8D9DE">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450</w:t>
                  </w:r>
                </w:p>
              </w:tc>
              <w:tc>
                <w:tcPr>
                  <w:tcW w:w="4195" w:type="dxa"/>
                  <w:tcBorders>
                    <w:tl2br w:val="nil"/>
                    <w:tr2bl w:val="nil"/>
                  </w:tcBorders>
                  <w:vAlign w:val="center"/>
                </w:tcPr>
                <w:p w14:paraId="452AF3DD">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0.13</w:t>
                  </w:r>
                </w:p>
              </w:tc>
            </w:tr>
            <w:tr w14:paraId="67A0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1CF41479">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475</w:t>
                  </w:r>
                </w:p>
              </w:tc>
              <w:tc>
                <w:tcPr>
                  <w:tcW w:w="4195" w:type="dxa"/>
                  <w:tcBorders>
                    <w:tl2br w:val="nil"/>
                    <w:tr2bl w:val="nil"/>
                  </w:tcBorders>
                  <w:vAlign w:val="center"/>
                </w:tcPr>
                <w:p w14:paraId="5AC2360E">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0.11</w:t>
                  </w:r>
                </w:p>
              </w:tc>
            </w:tr>
            <w:tr w14:paraId="0268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5" w:type="dxa"/>
                  <w:tcBorders>
                    <w:tl2br w:val="nil"/>
                    <w:tr2bl w:val="nil"/>
                  </w:tcBorders>
                  <w:vAlign w:val="center"/>
                </w:tcPr>
                <w:p w14:paraId="16E47A43">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500</w:t>
                  </w:r>
                </w:p>
              </w:tc>
              <w:tc>
                <w:tcPr>
                  <w:tcW w:w="4195" w:type="dxa"/>
                  <w:tcBorders>
                    <w:tl2br w:val="nil"/>
                    <w:tr2bl w:val="nil"/>
                  </w:tcBorders>
                  <w:vAlign w:val="center"/>
                </w:tcPr>
                <w:p w14:paraId="56332039">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cs="Times New Roman"/>
                      <w:color w:val="000000" w:themeColor="text1"/>
                      <w:sz w:val="20"/>
                      <w:szCs w:val="20"/>
                      <w:highlight w:val="none"/>
                      <w:lang w:val="en-US" w:eastAsia="zh-CN"/>
                      <w14:textFill>
                        <w14:solidFill>
                          <w14:schemeClr w14:val="tx1"/>
                        </w14:solidFill>
                      </w14:textFill>
                    </w:rPr>
                    <w:t>0.09</w:t>
                  </w:r>
                </w:p>
              </w:tc>
            </w:tr>
          </w:tbl>
          <w:p w14:paraId="6EC4DB06">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上表</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，项目无组织颗粒物的最大地面落地浓度</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离</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 xml:space="preserve">源距离为源下风向 </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m。无组织颗粒物最大落地浓度为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0.47</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mg/m</w:t>
            </w:r>
            <w:r>
              <w:rPr>
                <w:rFonts w:hint="default"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。厂界无组织废气满足《大气污染物综合排放标准》（GB16297-1996）中无组织颗粒物排放限值要求。</w:t>
            </w:r>
          </w:p>
          <w:p w14:paraId="7439666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综上，本项目废气对周边大气环境影响较小。</w:t>
            </w:r>
          </w:p>
          <w:p w14:paraId="7DC93D3C">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三、污染物排放量核算</w:t>
            </w:r>
          </w:p>
          <w:p w14:paraId="3164DE75">
            <w:pPr>
              <w:pStyle w:val="7"/>
              <w:numPr>
                <w:ilvl w:val="0"/>
                <w:numId w:val="0"/>
              </w:numPr>
              <w:suppressLineNumbers w:val="0"/>
              <w:spacing w:before="0" w:beforeAutospacing="0" w:after="0" w:afterAutospacing="0" w:line="240" w:lineRule="auto"/>
              <w:ind w:left="0" w:right="0"/>
              <w:jc w:val="center"/>
              <w:rPr>
                <w:rFonts w:hint="default"/>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表4-</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 xml:space="preserve">  大气污染物无组织排放量核算</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797"/>
              <w:gridCol w:w="886"/>
              <w:gridCol w:w="1639"/>
              <w:gridCol w:w="2362"/>
              <w:gridCol w:w="1234"/>
              <w:gridCol w:w="792"/>
            </w:tblGrid>
            <w:tr w14:paraId="5E24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Merge w:val="restart"/>
                  <w:noWrap w:val="0"/>
                  <w:vAlign w:val="center"/>
                </w:tcPr>
                <w:p w14:paraId="40523931">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478" w:type="pct"/>
                  <w:vMerge w:val="restart"/>
                  <w:noWrap w:val="0"/>
                  <w:vAlign w:val="center"/>
                </w:tcPr>
                <w:p w14:paraId="2D0DECDE">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产污环节</w:t>
                  </w:r>
                </w:p>
              </w:tc>
              <w:tc>
                <w:tcPr>
                  <w:tcW w:w="531" w:type="pct"/>
                  <w:vMerge w:val="restart"/>
                  <w:noWrap w:val="0"/>
                  <w:vAlign w:val="center"/>
                </w:tcPr>
                <w:p w14:paraId="62D41287">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污染物</w:t>
                  </w:r>
                </w:p>
              </w:tc>
              <w:tc>
                <w:tcPr>
                  <w:tcW w:w="982" w:type="pct"/>
                  <w:vMerge w:val="restart"/>
                  <w:noWrap w:val="0"/>
                  <w:vAlign w:val="center"/>
                </w:tcPr>
                <w:p w14:paraId="60FAC832">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主要治理措施</w:t>
                  </w:r>
                </w:p>
              </w:tc>
              <w:tc>
                <w:tcPr>
                  <w:tcW w:w="2155" w:type="pct"/>
                  <w:gridSpan w:val="2"/>
                  <w:noWrap w:val="0"/>
                  <w:vAlign w:val="center"/>
                </w:tcPr>
                <w:p w14:paraId="78AD2440">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排放标准</w:t>
                  </w:r>
                </w:p>
              </w:tc>
              <w:tc>
                <w:tcPr>
                  <w:tcW w:w="475" w:type="pct"/>
                  <w:vMerge w:val="restart"/>
                  <w:noWrap w:val="0"/>
                  <w:vAlign w:val="center"/>
                </w:tcPr>
                <w:p w14:paraId="0846DDF1">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排放量t/a</w:t>
                  </w:r>
                </w:p>
              </w:tc>
            </w:tr>
            <w:tr w14:paraId="2F42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Merge w:val="continue"/>
                  <w:noWrap w:val="0"/>
                  <w:vAlign w:val="center"/>
                </w:tcPr>
                <w:p w14:paraId="46BFEA21">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b w:val="0"/>
                      <w:bCs/>
                      <w:color w:val="000000" w:themeColor="text1"/>
                      <w:sz w:val="21"/>
                      <w:szCs w:val="21"/>
                      <w:highlight w:val="none"/>
                      <w14:textFill>
                        <w14:solidFill>
                          <w14:schemeClr w14:val="tx1"/>
                        </w14:solidFill>
                      </w14:textFill>
                    </w:rPr>
                  </w:pPr>
                </w:p>
              </w:tc>
              <w:tc>
                <w:tcPr>
                  <w:tcW w:w="478" w:type="pct"/>
                  <w:vMerge w:val="continue"/>
                  <w:noWrap w:val="0"/>
                  <w:vAlign w:val="center"/>
                </w:tcPr>
                <w:p w14:paraId="00EE63E9">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b w:val="0"/>
                      <w:bCs/>
                      <w:color w:val="000000" w:themeColor="text1"/>
                      <w:sz w:val="21"/>
                      <w:szCs w:val="21"/>
                      <w:highlight w:val="none"/>
                      <w14:textFill>
                        <w14:solidFill>
                          <w14:schemeClr w14:val="tx1"/>
                        </w14:solidFill>
                      </w14:textFill>
                    </w:rPr>
                  </w:pPr>
                </w:p>
              </w:tc>
              <w:tc>
                <w:tcPr>
                  <w:tcW w:w="531" w:type="pct"/>
                  <w:vMerge w:val="continue"/>
                  <w:noWrap w:val="0"/>
                  <w:vAlign w:val="center"/>
                </w:tcPr>
                <w:p w14:paraId="248986A9">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b w:val="0"/>
                      <w:bCs/>
                      <w:color w:val="000000" w:themeColor="text1"/>
                      <w:sz w:val="21"/>
                      <w:szCs w:val="21"/>
                      <w:highlight w:val="none"/>
                      <w14:textFill>
                        <w14:solidFill>
                          <w14:schemeClr w14:val="tx1"/>
                        </w14:solidFill>
                      </w14:textFill>
                    </w:rPr>
                  </w:pPr>
                </w:p>
              </w:tc>
              <w:tc>
                <w:tcPr>
                  <w:tcW w:w="982" w:type="pct"/>
                  <w:vMerge w:val="continue"/>
                  <w:noWrap w:val="0"/>
                  <w:vAlign w:val="center"/>
                </w:tcPr>
                <w:p w14:paraId="42893E62">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b w:val="0"/>
                      <w:bCs/>
                      <w:color w:val="000000" w:themeColor="text1"/>
                      <w:sz w:val="21"/>
                      <w:szCs w:val="21"/>
                      <w:highlight w:val="none"/>
                      <w14:textFill>
                        <w14:solidFill>
                          <w14:schemeClr w14:val="tx1"/>
                        </w14:solidFill>
                      </w14:textFill>
                    </w:rPr>
                  </w:pPr>
                </w:p>
              </w:tc>
              <w:tc>
                <w:tcPr>
                  <w:tcW w:w="1415" w:type="pct"/>
                  <w:noWrap w:val="0"/>
                  <w:vAlign w:val="center"/>
                </w:tcPr>
                <w:p w14:paraId="7DC11AAC">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标准名称</w:t>
                  </w:r>
                </w:p>
              </w:tc>
              <w:tc>
                <w:tcPr>
                  <w:tcW w:w="739" w:type="pct"/>
                  <w:noWrap w:val="0"/>
                  <w:vAlign w:val="center"/>
                </w:tcPr>
                <w:p w14:paraId="14A5B761">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浓度限值（mg/m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475" w:type="pct"/>
                  <w:vMerge w:val="continue"/>
                  <w:noWrap w:val="0"/>
                  <w:vAlign w:val="center"/>
                </w:tcPr>
                <w:p w14:paraId="3682F839">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b w:val="0"/>
                      <w:bCs/>
                      <w:color w:val="000000" w:themeColor="text1"/>
                      <w:sz w:val="21"/>
                      <w:szCs w:val="21"/>
                      <w:highlight w:val="none"/>
                      <w14:textFill>
                        <w14:solidFill>
                          <w14:schemeClr w14:val="tx1"/>
                        </w14:solidFill>
                      </w14:textFill>
                    </w:rPr>
                  </w:pPr>
                </w:p>
              </w:tc>
            </w:tr>
            <w:tr w14:paraId="7338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376" w:type="pct"/>
                  <w:noWrap w:val="0"/>
                  <w:vAlign w:val="center"/>
                </w:tcPr>
                <w:p w14:paraId="0B26EAD8">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1</w:t>
                  </w:r>
                </w:p>
              </w:tc>
              <w:tc>
                <w:tcPr>
                  <w:tcW w:w="478" w:type="pct"/>
                  <w:noWrap w:val="0"/>
                  <w:vAlign w:val="center"/>
                </w:tcPr>
                <w:p w14:paraId="1334BAAA">
                  <w:pPr>
                    <w:pStyle w:val="96"/>
                    <w:keepNext w:val="0"/>
                    <w:keepLines w:val="0"/>
                    <w:suppressLineNumbers w:val="0"/>
                    <w:snapToGrid w:val="0"/>
                    <w:spacing w:before="0" w:beforeAutospacing="0" w:after="0" w:afterAutospacing="0" w:line="240" w:lineRule="auto"/>
                    <w:ind w:left="0" w:right="0"/>
                    <w:jc w:val="both"/>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生产线</w:t>
                  </w:r>
                </w:p>
              </w:tc>
              <w:tc>
                <w:tcPr>
                  <w:tcW w:w="531" w:type="pct"/>
                  <w:noWrap w:val="0"/>
                  <w:vAlign w:val="center"/>
                </w:tcPr>
                <w:p w14:paraId="3C1C357B">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颗粒物</w:t>
                  </w:r>
                </w:p>
              </w:tc>
              <w:tc>
                <w:tcPr>
                  <w:tcW w:w="982" w:type="pct"/>
                  <w:noWrap w:val="0"/>
                  <w:vAlign w:val="center"/>
                </w:tcPr>
                <w:p w14:paraId="1BB79A4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bCs/>
                      <w:color w:val="000000" w:themeColor="text1"/>
                      <w:sz w:val="21"/>
                      <w:szCs w:val="21"/>
                      <w:highlight w:val="none"/>
                      <w14:textFill>
                        <w14:solidFill>
                          <w14:schemeClr w14:val="tx1"/>
                        </w14:solidFill>
                      </w14:textFill>
                    </w:rPr>
                  </w:pPr>
                  <w:r>
                    <w:rPr>
                      <w:rFonts w:hint="default"/>
                      <w:bCs/>
                      <w:color w:val="000000" w:themeColor="text1"/>
                      <w:sz w:val="21"/>
                      <w:szCs w:val="21"/>
                      <w:highlight w:val="none"/>
                      <w14:textFill>
                        <w14:solidFill>
                          <w14:schemeClr w14:val="tx1"/>
                        </w14:solidFill>
                      </w14:textFill>
                    </w:rPr>
                    <w:t>厂房密闭、负压收集、车间沉降</w:t>
                  </w:r>
                </w:p>
              </w:tc>
              <w:tc>
                <w:tcPr>
                  <w:tcW w:w="1415" w:type="pct"/>
                  <w:noWrap w:val="0"/>
                  <w:vAlign w:val="center"/>
                </w:tcPr>
                <w:p w14:paraId="3D21D407">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hint="default"/>
                      <w:bCs/>
                      <w:color w:val="000000" w:themeColor="text1"/>
                      <w:sz w:val="21"/>
                      <w:szCs w:val="21"/>
                      <w:highlight w:val="none"/>
                      <w14:textFill>
                        <w14:solidFill>
                          <w14:schemeClr w14:val="tx1"/>
                        </w14:solidFill>
                      </w14:textFill>
                    </w:rPr>
                  </w:pPr>
                  <w:r>
                    <w:rPr>
                      <w:rFonts w:hint="default"/>
                      <w:color w:val="000000" w:themeColor="text1"/>
                      <w:kern w:val="0"/>
                      <w:sz w:val="21"/>
                      <w:szCs w:val="21"/>
                      <w:highlight w:val="none"/>
                      <w:lang w:bidi="ar"/>
                      <w14:textFill>
                        <w14:solidFill>
                          <w14:schemeClr w14:val="tx1"/>
                        </w14:solidFill>
                      </w14:textFill>
                    </w:rPr>
                    <w:t>《大气污染物综合排放标准》（GB16297-1996）表2无组织排放监测浓度限值</w:t>
                  </w:r>
                </w:p>
              </w:tc>
              <w:tc>
                <w:tcPr>
                  <w:tcW w:w="739" w:type="pct"/>
                  <w:noWrap w:val="0"/>
                  <w:vAlign w:val="center"/>
                </w:tcPr>
                <w:p w14:paraId="2C874908">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1.0</w:t>
                  </w:r>
                </w:p>
              </w:tc>
              <w:tc>
                <w:tcPr>
                  <w:tcW w:w="475" w:type="pct"/>
                  <w:noWrap w:val="0"/>
                  <w:vAlign w:val="center"/>
                </w:tcPr>
                <w:p w14:paraId="5E38580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11.898</w:t>
                  </w:r>
                </w:p>
              </w:tc>
            </w:tr>
          </w:tbl>
          <w:p w14:paraId="745F39BA">
            <w:pPr>
              <w:pStyle w:val="7"/>
              <w:numPr>
                <w:ilvl w:val="0"/>
                <w:numId w:val="0"/>
              </w:numPr>
              <w:suppressLineNumbers w:val="0"/>
              <w:spacing w:before="0" w:beforeAutospacing="0" w:after="0" w:afterAutospacing="0" w:line="240" w:lineRule="auto"/>
              <w:ind w:left="0" w:right="0"/>
              <w:jc w:val="center"/>
              <w:rPr>
                <w:rFonts w:hint="default"/>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表4-</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 xml:space="preserve">  大气污染物年排放量核算表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2739"/>
              <w:gridCol w:w="2859"/>
            </w:tblGrid>
            <w:tr w14:paraId="7C5D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pct"/>
                  <w:noWrap w:val="0"/>
                  <w:vAlign w:val="center"/>
                </w:tcPr>
                <w:p w14:paraId="4939B17F">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1642" w:type="pct"/>
                  <w:noWrap w:val="0"/>
                  <w:vAlign w:val="center"/>
                </w:tcPr>
                <w:p w14:paraId="0F4D132D">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污染物</w:t>
                  </w:r>
                </w:p>
              </w:tc>
              <w:tc>
                <w:tcPr>
                  <w:tcW w:w="1714" w:type="pct"/>
                  <w:noWrap w:val="0"/>
                  <w:vAlign w:val="center"/>
                </w:tcPr>
                <w:p w14:paraId="3E47F1A2">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年排放量（t/a）</w:t>
                  </w:r>
                </w:p>
              </w:tc>
            </w:tr>
            <w:tr w14:paraId="3E5B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pct"/>
                  <w:noWrap w:val="0"/>
                  <w:vAlign w:val="center"/>
                </w:tcPr>
                <w:p w14:paraId="524278B2">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1</w:t>
                  </w:r>
                </w:p>
              </w:tc>
              <w:tc>
                <w:tcPr>
                  <w:tcW w:w="1642" w:type="pct"/>
                  <w:noWrap w:val="0"/>
                  <w:vAlign w:val="center"/>
                </w:tcPr>
                <w:p w14:paraId="6880C50B">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b w:val="0"/>
                      <w:bCs/>
                      <w:color w:val="000000" w:themeColor="text1"/>
                      <w:sz w:val="21"/>
                      <w:szCs w:val="21"/>
                      <w:highlight w:val="none"/>
                      <w14:textFill>
                        <w14:solidFill>
                          <w14:schemeClr w14:val="tx1"/>
                        </w14:solidFill>
                      </w14:textFill>
                    </w:rPr>
                  </w:pPr>
                  <w:r>
                    <w:rPr>
                      <w:rFonts w:hint="eastAsia" w:ascii="Times New Roman" w:hAnsi="Times New Roman" w:cs="Times New Roman"/>
                      <w:b w:val="0"/>
                      <w:bCs/>
                      <w:color w:val="000000" w:themeColor="text1"/>
                      <w:sz w:val="21"/>
                      <w:szCs w:val="21"/>
                      <w:highlight w:val="none"/>
                      <w14:textFill>
                        <w14:solidFill>
                          <w14:schemeClr w14:val="tx1"/>
                        </w14:solidFill>
                      </w14:textFill>
                    </w:rPr>
                    <w:t>颗粒物</w:t>
                  </w:r>
                </w:p>
              </w:tc>
              <w:tc>
                <w:tcPr>
                  <w:tcW w:w="1714" w:type="pct"/>
                  <w:noWrap w:val="0"/>
                  <w:vAlign w:val="center"/>
                </w:tcPr>
                <w:p w14:paraId="7B9C53DB">
                  <w:pPr>
                    <w:pStyle w:val="96"/>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11.898</w:t>
                  </w:r>
                </w:p>
              </w:tc>
            </w:tr>
          </w:tbl>
          <w:p w14:paraId="2BDF90D7">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四、</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粉尘对</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环境保护目标</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的影响</w:t>
            </w:r>
          </w:p>
          <w:p w14:paraId="3AC444A6">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大气</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环境保护目标为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王岗屯村、云集村、大桥村</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项目废气主要</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污染物</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是颗粒物，不产生有毒有害气体及挥发性有机物，项目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改性车间及待检区</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均为封闭厂房</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仅设置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一个</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出入</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口，且地面硬化，逸散至外环境的粉尘很小，产生的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装卸</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等加工</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粉</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尘对周边环境</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影响较小；项目物料在皮带输送过程中产生少量的颗粒物，但项目物料用密闭皮带输送机输送，对</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居民</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影响较小。项目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搅拌</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机设备机身为封闭式，设置一个排泄口，采用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布袋</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除尘器来控制粉尘，且生产线在厂房内，对</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居民</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影响较小。项目运输扬尘采取洒水降尘措施</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，可有效控制运输粉尘。据前文分析，本项目颗粒物排放浓度及速率均能做到达标排放，</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因此，本项目产生粉尘对</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居民点</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影响较小。</w:t>
            </w:r>
          </w:p>
          <w:p w14:paraId="168A6528">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五、</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措施处理可行性分析</w:t>
            </w:r>
          </w:p>
          <w:p w14:paraId="565762A2">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环境空气细颗粒物污染综合防治技术政策》（2013年9月25日实施），“对于排放细颗粒物的工业污染源，应按照生产工艺、排放方式和烟（废）气组成的特点，选取适用的污染防治技术。工业污染源有组织排放的颗粒物，宜采取袋除尘、电除尘、电袋除尘等高效除尘技术”。</w:t>
            </w:r>
          </w:p>
          <w:p w14:paraId="716FB60B">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项目废气污染物为颗粒物，根据设计，项目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搅拌粉尘和</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筒仓上料和卸料粉尘</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经</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自带除尘器处理后，以无组织形式排放</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，处理方式属于《环境空气细颗粒物污染综合防治技术政策》（2013年9月25日实施）中的可行技术。</w:t>
            </w:r>
          </w:p>
          <w:p w14:paraId="65A7B1FD">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环境空气细颗粒物污染综合防治技术政策》（2013年9月25日实施），“产生大气颗粒物及其前体物污染物的生产活动应尽量采用密闭装置，避免无组织排放；无法完全密闭的，应安装集气装置收集逸散的污染物，经净化后排放”，针对扬尘防治，该技术政策指出“实行粉状物料及渣土车辆密闭运输，加强监管，防止遗撒。及时进行道路清扫、冲洗、洒水作业，减少扬尘。”。</w:t>
            </w:r>
          </w:p>
          <w:p w14:paraId="6D64299F">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项目厂房</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均为封闭厂房</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仅设置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一个</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出入</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口，</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厂房出入口及顶棚出气口设置喷雾降尘设施，</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皮带密闭运输，堆场、生产等均在厂房内，无组织采取的措施能够满足《环境空气细颗粒物污染综合防治技术政策》（2013年9月25日实施）的可行技术。</w:t>
            </w:r>
          </w:p>
          <w:p w14:paraId="369DBC7D">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根据《排污许可申请与核发技术规范 废弃资源加工工业》（HJ1034-2019）附录A 表A.1 废弃资源加工工业排污单位废气污染防治可行技术参考表中其他废弃资源—加工—颗粒物：布袋除尘，</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搅拌粉尘和</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筒仓上料和卸料粉尘</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配套的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自带除尘器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属于可行技术。</w:t>
            </w:r>
          </w:p>
          <w:p w14:paraId="5C54C779">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六、</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环境监测计划</w:t>
            </w:r>
          </w:p>
          <w:p w14:paraId="3B755269">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根据以上分析，项目运营期</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废气</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监测计划根据《排污单位自行监测技术指南</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总则》（HJ819-2017）</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和《排污许可申请与核发技术规范 废弃资源加工》（HJ1034-2019）</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进行设置。</w:t>
            </w:r>
            <w:r>
              <w:rPr>
                <w:rFonts w:hint="default" w:ascii="Times New Roman" w:hAnsi="Times New Roman" w:eastAsia="宋体" w:cs="Times New Roman"/>
                <w:color w:val="000000" w:themeColor="text1"/>
                <w:sz w:val="24"/>
                <w:szCs w:val="24"/>
                <w:highlight w:val="none"/>
                <w14:textFill>
                  <w14:solidFill>
                    <w14:schemeClr w14:val="tx1"/>
                  </w14:solidFill>
                </w14:textFill>
              </w:rPr>
              <w:t>监测计划如下：</w:t>
            </w:r>
          </w:p>
          <w:p w14:paraId="1EE75DBD">
            <w:pPr>
              <w:pStyle w:val="273"/>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表4-</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 xml:space="preserve">  运营期环境监测计划一览表</w:t>
            </w:r>
          </w:p>
          <w:tbl>
            <w:tblPr>
              <w:tblStyle w:val="257"/>
              <w:tblW w:w="83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3"/>
              <w:gridCol w:w="1795"/>
              <w:gridCol w:w="1062"/>
              <w:gridCol w:w="1399"/>
              <w:gridCol w:w="3101"/>
            </w:tblGrid>
            <w:tr w14:paraId="6FE5A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033" w:type="dxa"/>
                  <w:vAlign w:val="center"/>
                </w:tcPr>
                <w:p w14:paraId="2D03DC1A">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监测内容</w:t>
                  </w:r>
                </w:p>
              </w:tc>
              <w:tc>
                <w:tcPr>
                  <w:tcW w:w="1795" w:type="dxa"/>
                  <w:vAlign w:val="center"/>
                </w:tcPr>
                <w:p w14:paraId="081F8D04">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监测地点</w:t>
                  </w:r>
                </w:p>
              </w:tc>
              <w:tc>
                <w:tcPr>
                  <w:tcW w:w="1062" w:type="dxa"/>
                  <w:vAlign w:val="center"/>
                </w:tcPr>
                <w:p w14:paraId="3D719571">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监测项目</w:t>
                  </w:r>
                </w:p>
              </w:tc>
              <w:tc>
                <w:tcPr>
                  <w:tcW w:w="1399" w:type="dxa"/>
                  <w:vAlign w:val="center"/>
                </w:tcPr>
                <w:p w14:paraId="497ED25D">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监测频率</w:t>
                  </w:r>
                </w:p>
              </w:tc>
              <w:tc>
                <w:tcPr>
                  <w:tcW w:w="3101" w:type="dxa"/>
                  <w:vAlign w:val="center"/>
                </w:tcPr>
                <w:p w14:paraId="21590A1C">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执行标准</w:t>
                  </w:r>
                </w:p>
              </w:tc>
            </w:tr>
            <w:tr w14:paraId="53C8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033" w:type="dxa"/>
                  <w:vAlign w:val="center"/>
                </w:tcPr>
                <w:p w14:paraId="57B38D62">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废气</w:t>
                  </w:r>
                </w:p>
              </w:tc>
              <w:tc>
                <w:tcPr>
                  <w:tcW w:w="1795" w:type="dxa"/>
                  <w:vAlign w:val="center"/>
                </w:tcPr>
                <w:p w14:paraId="1E43D420">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color w:val="000000" w:themeColor="text1"/>
                      <w:sz w:val="21"/>
                      <w:szCs w:val="21"/>
                      <w:highlight w:val="none"/>
                      <w:lang w:eastAsia="zh-CN"/>
                      <w14:textFill>
                        <w14:solidFill>
                          <w14:schemeClr w14:val="tx1"/>
                        </w14:solidFill>
                      </w14:textFill>
                    </w:rPr>
                    <w:t>厂界（上风向厂界外1个，下风向厂界外3个）</w:t>
                  </w:r>
                </w:p>
              </w:tc>
              <w:tc>
                <w:tcPr>
                  <w:tcW w:w="1062" w:type="dxa"/>
                  <w:vAlign w:val="center"/>
                </w:tcPr>
                <w:p w14:paraId="2B2D9C34">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颗粒物</w:t>
                  </w:r>
                </w:p>
              </w:tc>
              <w:tc>
                <w:tcPr>
                  <w:tcW w:w="1399" w:type="dxa"/>
                  <w:vAlign w:val="center"/>
                </w:tcPr>
                <w:p w14:paraId="0FCE42CC">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1次/年</w:t>
                  </w:r>
                </w:p>
              </w:tc>
              <w:tc>
                <w:tcPr>
                  <w:tcW w:w="3101" w:type="dxa"/>
                  <w:vAlign w:val="center"/>
                </w:tcPr>
                <w:p w14:paraId="76E53FA8">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Cs/>
                      <w:color w:val="000000" w:themeColor="text1"/>
                      <w:sz w:val="21"/>
                      <w:szCs w:val="21"/>
                      <w:highlight w:val="none"/>
                      <w:lang w:eastAsia="zh-CN"/>
                      <w14:textFill>
                        <w14:solidFill>
                          <w14:schemeClr w14:val="tx1"/>
                        </w14:solidFill>
                      </w14:textFill>
                    </w:rPr>
                    <w:t>《大气污染物综合排放标准》（GB16297-1996）表2中无组织排放监控浓度限值</w:t>
                  </w:r>
                </w:p>
              </w:tc>
            </w:tr>
          </w:tbl>
          <w:p w14:paraId="2158076A">
            <w:pPr>
              <w:keepNext w:val="0"/>
              <w:keepLines w:val="0"/>
              <w:suppressLineNumbers w:val="0"/>
              <w:spacing w:before="0" w:beforeAutospacing="0" w:after="0" w:afterAutospacing="0" w:line="360" w:lineRule="auto"/>
              <w:ind w:left="0" w:right="0" w:firstLine="562" w:firstLineChars="200"/>
              <w:rPr>
                <w:rFonts w:hint="eastAsia"/>
                <w:b/>
                <w:bCs/>
                <w:color w:val="000000" w:themeColor="text1"/>
                <w:kern w:val="0"/>
                <w:sz w:val="28"/>
                <w:szCs w:val="21"/>
                <w:highlight w:val="none"/>
                <w14:textFill>
                  <w14:solidFill>
                    <w14:schemeClr w14:val="tx1"/>
                  </w14:solidFill>
                </w14:textFill>
              </w:rPr>
            </w:pPr>
            <w:r>
              <w:rPr>
                <w:rFonts w:hint="eastAsia"/>
                <w:b/>
                <w:bCs/>
                <w:color w:val="000000" w:themeColor="text1"/>
                <w:kern w:val="0"/>
                <w:sz w:val="28"/>
                <w:szCs w:val="21"/>
                <w:highlight w:val="none"/>
                <w:lang w:val="en-US" w:eastAsia="zh-CN"/>
                <w14:textFill>
                  <w14:solidFill>
                    <w14:schemeClr w14:val="tx1"/>
                  </w14:solidFill>
                </w14:textFill>
              </w:rPr>
              <w:t>4.6水</w:t>
            </w:r>
            <w:r>
              <w:rPr>
                <w:rFonts w:hint="eastAsia"/>
                <w:b/>
                <w:bCs/>
                <w:color w:val="000000" w:themeColor="text1"/>
                <w:kern w:val="0"/>
                <w:sz w:val="28"/>
                <w:szCs w:val="21"/>
                <w:highlight w:val="none"/>
                <w14:textFill>
                  <w14:solidFill>
                    <w14:schemeClr w14:val="tx1"/>
                  </w14:solidFill>
                </w14:textFill>
              </w:rPr>
              <w:t>环境影响分析</w:t>
            </w:r>
          </w:p>
          <w:p w14:paraId="2A43CDCE">
            <w:pPr>
              <w:keepNext w:val="0"/>
              <w:keepLines w:val="0"/>
              <w:widowControl/>
              <w:suppressLineNumbers w:val="0"/>
              <w:spacing w:before="0" w:beforeAutospacing="0" w:after="0" w:afterAutospacing="0" w:line="360" w:lineRule="auto"/>
              <w:ind w:left="0" w:right="0" w:firstLine="482" w:firstLineChars="200"/>
              <w:rPr>
                <w:rFonts w:hint="default"/>
                <w:color w:val="000000" w:themeColor="text1"/>
                <w:kern w:val="0"/>
                <w:sz w:val="24"/>
                <w:szCs w:val="20"/>
                <w:highlight w:val="none"/>
                <w:lang w:val="en-US"/>
                <w14:textFill>
                  <w14:solidFill>
                    <w14:schemeClr w14:val="tx1"/>
                  </w14:solidFill>
                </w14:textFill>
              </w:rPr>
            </w:pPr>
            <w:r>
              <w:rPr>
                <w:rFonts w:hint="eastAsia"/>
                <w:b/>
                <w:bCs/>
                <w:color w:val="000000" w:themeColor="text1"/>
                <w:kern w:val="0"/>
                <w:sz w:val="24"/>
                <w:szCs w:val="20"/>
                <w:highlight w:val="none"/>
                <w:lang w:val="en-US" w:eastAsia="zh-CN"/>
                <w14:textFill>
                  <w14:solidFill>
                    <w14:schemeClr w14:val="tx1"/>
                  </w14:solidFill>
                </w14:textFill>
              </w:rPr>
              <w:t>一、废水污染物产排情况</w:t>
            </w:r>
          </w:p>
          <w:p w14:paraId="51E65B1F">
            <w:pPr>
              <w:keepNext w:val="0"/>
              <w:keepLines w:val="0"/>
              <w:suppressLineNumbers w:val="0"/>
              <w:spacing w:before="0" w:beforeLines="-2147483648" w:beforeAutospacing="0" w:after="0" w:afterAutospacing="0" w:line="360" w:lineRule="auto"/>
              <w:ind w:left="0" w:right="0" w:firstLine="480" w:firstLineChars="200"/>
              <w:rPr>
                <w:rFonts w:hint="default"/>
                <w:color w:val="000000" w:themeColor="text1"/>
                <w:sz w:val="24"/>
                <w:szCs w:val="22"/>
                <w:highlight w:val="none"/>
                <w14:textFill>
                  <w14:solidFill>
                    <w14:schemeClr w14:val="tx1"/>
                  </w14:solidFill>
                </w14:textFill>
              </w:rPr>
            </w:pPr>
            <w:r>
              <w:rPr>
                <w:rFonts w:hint="default"/>
                <w:color w:val="000000" w:themeColor="text1"/>
                <w:sz w:val="24"/>
                <w:szCs w:val="22"/>
                <w:highlight w:val="none"/>
                <w14:textFill>
                  <w14:solidFill>
                    <w14:schemeClr w14:val="tx1"/>
                  </w14:solidFill>
                </w14:textFill>
              </w:rPr>
              <w:t>本项目供水依托</w:t>
            </w:r>
            <w:r>
              <w:rPr>
                <w:rFonts w:hint="eastAsia"/>
                <w:color w:val="000000" w:themeColor="text1"/>
                <w:sz w:val="24"/>
                <w:szCs w:val="22"/>
                <w:highlight w:val="none"/>
                <w:lang w:val="en-US" w:eastAsia="zh-CN"/>
                <w14:textFill>
                  <w14:solidFill>
                    <w14:schemeClr w14:val="tx1"/>
                  </w14:solidFill>
                </w14:textFill>
              </w:rPr>
              <w:t>租赁场地现有给水管网，</w:t>
            </w:r>
            <w:r>
              <w:rPr>
                <w:rFonts w:hint="default"/>
                <w:color w:val="000000" w:themeColor="text1"/>
                <w:sz w:val="24"/>
                <w:szCs w:val="22"/>
                <w:highlight w:val="none"/>
                <w14:textFill>
                  <w14:solidFill>
                    <w14:schemeClr w14:val="tx1"/>
                  </w14:solidFill>
                </w14:textFill>
              </w:rPr>
              <w:t>水源为自来水，供水压力及水量满足项目生产、生活及消防需求。</w:t>
            </w:r>
          </w:p>
          <w:p w14:paraId="3F37A080">
            <w:pPr>
              <w:keepNext w:val="0"/>
              <w:keepLines w:val="0"/>
              <w:suppressLineNumbers w:val="0"/>
              <w:spacing w:before="0" w:beforeLines="-2147483648" w:beforeAutospacing="0" w:after="0" w:afterAutospacing="0" w:line="360" w:lineRule="auto"/>
              <w:ind w:left="0" w:right="0" w:firstLine="480" w:firstLineChars="200"/>
              <w:rPr>
                <w:rFonts w:hint="default"/>
                <w:color w:val="000000" w:themeColor="text1"/>
                <w:sz w:val="24"/>
                <w:szCs w:val="22"/>
                <w:highlight w:val="none"/>
                <w14:textFill>
                  <w14:solidFill>
                    <w14:schemeClr w14:val="tx1"/>
                  </w14:solidFill>
                </w14:textFill>
              </w:rPr>
            </w:pPr>
            <w:r>
              <w:rPr>
                <w:rFonts w:hint="default"/>
                <w:color w:val="000000" w:themeColor="text1"/>
                <w:sz w:val="24"/>
                <w:szCs w:val="22"/>
                <w:highlight w:val="none"/>
                <w14:textFill>
                  <w14:solidFill>
                    <w14:schemeClr w14:val="tx1"/>
                  </w14:solidFill>
                </w14:textFill>
              </w:rPr>
              <w:t>本项目用水环节</w:t>
            </w:r>
            <w:r>
              <w:rPr>
                <w:rFonts w:hint="eastAsia"/>
                <w:color w:val="000000" w:themeColor="text1"/>
                <w:sz w:val="24"/>
                <w:szCs w:val="22"/>
                <w:highlight w:val="none"/>
                <w:lang w:val="en-US" w:eastAsia="zh-CN"/>
                <w14:textFill>
                  <w14:solidFill>
                    <w14:schemeClr w14:val="tx1"/>
                  </w14:solidFill>
                </w14:textFill>
              </w:rPr>
              <w:t>主要为</w:t>
            </w:r>
            <w:r>
              <w:rPr>
                <w:rFonts w:hint="default"/>
                <w:color w:val="000000" w:themeColor="text1"/>
                <w:sz w:val="24"/>
                <w:szCs w:val="22"/>
                <w:highlight w:val="none"/>
                <w14:textFill>
                  <w14:solidFill>
                    <w14:schemeClr w14:val="tx1"/>
                  </w14:solidFill>
                </w14:textFill>
              </w:rPr>
              <w:t>磷石膏改性工艺补水及厂区洒水降尘用水。</w:t>
            </w:r>
          </w:p>
          <w:p w14:paraId="3AA52841">
            <w:pPr>
              <w:keepNext w:val="0"/>
              <w:keepLines w:val="0"/>
              <w:suppressLineNumbers w:val="0"/>
              <w:spacing w:before="0" w:beforeLines="-2147483648" w:beforeAutospacing="0" w:after="0" w:afterAutospacing="0" w:line="360" w:lineRule="auto"/>
              <w:ind w:left="0" w:right="0" w:firstLine="482" w:firstLineChars="200"/>
              <w:rPr>
                <w:rFonts w:hint="eastAsia"/>
                <w:b/>
                <w:bCs/>
                <w:color w:val="000000" w:themeColor="text1"/>
                <w:sz w:val="24"/>
                <w:szCs w:val="22"/>
                <w:highlight w:val="none"/>
                <w:lang w:val="en-US" w:eastAsia="zh-CN"/>
                <w14:textFill>
                  <w14:solidFill>
                    <w14:schemeClr w14:val="tx1"/>
                  </w14:solidFill>
                </w14:textFill>
              </w:rPr>
            </w:pPr>
            <w:r>
              <w:rPr>
                <w:rFonts w:hint="eastAsia"/>
                <w:b/>
                <w:bCs/>
                <w:color w:val="000000" w:themeColor="text1"/>
                <w:sz w:val="24"/>
                <w:szCs w:val="22"/>
                <w:highlight w:val="none"/>
                <w:lang w:eastAsia="zh-CN"/>
                <w14:textFill>
                  <w14:solidFill>
                    <w14:schemeClr w14:val="tx1"/>
                  </w14:solidFill>
                </w14:textFill>
              </w:rPr>
              <w:t>（</w:t>
            </w:r>
            <w:r>
              <w:rPr>
                <w:rFonts w:hint="eastAsia"/>
                <w:b/>
                <w:bCs/>
                <w:color w:val="000000" w:themeColor="text1"/>
                <w:sz w:val="24"/>
                <w:szCs w:val="22"/>
                <w:highlight w:val="none"/>
                <w:lang w:val="en-US" w:eastAsia="zh-CN"/>
                <w14:textFill>
                  <w14:solidFill>
                    <w14:schemeClr w14:val="tx1"/>
                  </w14:solidFill>
                </w14:textFill>
              </w:rPr>
              <w:t>1</w:t>
            </w:r>
            <w:r>
              <w:rPr>
                <w:rFonts w:hint="eastAsia"/>
                <w:b/>
                <w:bCs/>
                <w:color w:val="000000" w:themeColor="text1"/>
                <w:sz w:val="24"/>
                <w:szCs w:val="22"/>
                <w:highlight w:val="none"/>
                <w:lang w:eastAsia="zh-CN"/>
                <w14:textFill>
                  <w14:solidFill>
                    <w14:schemeClr w14:val="tx1"/>
                  </w14:solidFill>
                </w14:textFill>
              </w:rPr>
              <w:t>）</w:t>
            </w:r>
            <w:r>
              <w:rPr>
                <w:rFonts w:hint="eastAsia"/>
                <w:b/>
                <w:bCs/>
                <w:color w:val="000000" w:themeColor="text1"/>
                <w:sz w:val="24"/>
                <w:szCs w:val="22"/>
                <w:highlight w:val="none"/>
                <w:lang w:val="en-US" w:eastAsia="zh-CN"/>
                <w14:textFill>
                  <w14:solidFill>
                    <w14:schemeClr w14:val="tx1"/>
                  </w14:solidFill>
                </w14:textFill>
              </w:rPr>
              <w:t>员工生活废水</w:t>
            </w:r>
          </w:p>
          <w:p w14:paraId="1F86144A">
            <w:pPr>
              <w:keepNext w:val="0"/>
              <w:keepLines w:val="0"/>
              <w:suppressLineNumbers w:val="0"/>
              <w:spacing w:before="0" w:beforeLines="-2147483648" w:beforeAutospacing="0" w:after="0" w:afterAutospacing="0" w:line="360" w:lineRule="auto"/>
              <w:ind w:left="0" w:right="0" w:firstLine="480" w:firstLineChars="200"/>
              <w:rPr>
                <w:rFonts w:hint="default"/>
                <w:color w:val="000000" w:themeColor="text1"/>
                <w:sz w:val="24"/>
                <w:szCs w:val="22"/>
                <w:highlight w:val="none"/>
                <w:lang w:val="en-US" w:eastAsia="zh-CN"/>
                <w14:textFill>
                  <w14:solidFill>
                    <w14:schemeClr w14:val="tx1"/>
                  </w14:solidFill>
                </w14:textFill>
              </w:rPr>
            </w:pPr>
            <w:r>
              <w:rPr>
                <w:rFonts w:hint="eastAsia"/>
                <w:color w:val="000000" w:themeColor="text1"/>
                <w:sz w:val="24"/>
                <w:szCs w:val="22"/>
                <w:highlight w:val="none"/>
                <w:lang w:val="en-US" w:eastAsia="zh-CN"/>
                <w14:textFill>
                  <w14:solidFill>
                    <w14:schemeClr w14:val="tx1"/>
                  </w14:solidFill>
                </w14:textFill>
              </w:rPr>
              <w:t>本项目劳动定员为20人，员工均不在厂区食宿，员工生活废水主要为员工盥洗废水（洗手洗脸废水），以及如厕废水，员工盥洗废水及如厕废水均依托租赁场地原有化粪池处理后，定期由周边居民清掏肥田。</w:t>
            </w:r>
          </w:p>
          <w:p w14:paraId="2A62EF69">
            <w:pPr>
              <w:keepNext w:val="0"/>
              <w:keepLines w:val="0"/>
              <w:suppressLineNumbers w:val="0"/>
              <w:spacing w:before="0" w:beforeLines="-2147483648" w:beforeAutospacing="0" w:after="0" w:afterAutospacing="0" w:line="360" w:lineRule="auto"/>
              <w:ind w:left="0" w:right="0" w:firstLine="482" w:firstLineChars="200"/>
              <w:rPr>
                <w:rFonts w:hint="eastAsia"/>
                <w:b/>
                <w:bCs/>
                <w:color w:val="000000" w:themeColor="text1"/>
                <w:sz w:val="24"/>
                <w:szCs w:val="22"/>
                <w:highlight w:val="none"/>
                <w:lang w:eastAsia="zh-CN"/>
                <w14:textFill>
                  <w14:solidFill>
                    <w14:schemeClr w14:val="tx1"/>
                  </w14:solidFill>
                </w14:textFill>
              </w:rPr>
            </w:pPr>
            <w:r>
              <w:rPr>
                <w:rFonts w:hint="eastAsia"/>
                <w:b/>
                <w:bCs/>
                <w:color w:val="000000" w:themeColor="text1"/>
                <w:sz w:val="24"/>
                <w:szCs w:val="22"/>
                <w:highlight w:val="none"/>
                <w:lang w:eastAsia="zh-CN"/>
                <w14:textFill>
                  <w14:solidFill>
                    <w14:schemeClr w14:val="tx1"/>
                  </w14:solidFill>
                </w14:textFill>
              </w:rPr>
              <w:t>（</w:t>
            </w:r>
            <w:r>
              <w:rPr>
                <w:rFonts w:hint="eastAsia"/>
                <w:b/>
                <w:bCs/>
                <w:color w:val="000000" w:themeColor="text1"/>
                <w:sz w:val="24"/>
                <w:szCs w:val="22"/>
                <w:highlight w:val="none"/>
                <w:lang w:val="en-US" w:eastAsia="zh-CN"/>
                <w14:textFill>
                  <w14:solidFill>
                    <w14:schemeClr w14:val="tx1"/>
                  </w14:solidFill>
                </w14:textFill>
              </w:rPr>
              <w:t>2</w:t>
            </w:r>
            <w:r>
              <w:rPr>
                <w:rFonts w:hint="eastAsia"/>
                <w:b/>
                <w:bCs/>
                <w:color w:val="000000" w:themeColor="text1"/>
                <w:sz w:val="24"/>
                <w:szCs w:val="22"/>
                <w:highlight w:val="none"/>
                <w:lang w:eastAsia="zh-CN"/>
                <w14:textFill>
                  <w14:solidFill>
                    <w14:schemeClr w14:val="tx1"/>
                  </w14:solidFill>
                </w14:textFill>
              </w:rPr>
              <w:t>）磷石膏改性工艺补水</w:t>
            </w:r>
          </w:p>
          <w:p w14:paraId="4FE672F1">
            <w:pPr>
              <w:keepNext w:val="0"/>
              <w:keepLines w:val="0"/>
              <w:suppressLineNumbers w:val="0"/>
              <w:spacing w:before="0" w:beforeLines="-2147483648" w:beforeAutospacing="0" w:after="0" w:afterAutospacing="0" w:line="360" w:lineRule="auto"/>
              <w:ind w:left="0" w:right="0" w:firstLine="480" w:firstLineChars="200"/>
              <w:rPr>
                <w:rFonts w:hint="eastAsia"/>
                <w:color w:val="000000" w:themeColor="text1"/>
                <w:sz w:val="24"/>
                <w:szCs w:val="22"/>
                <w:highlight w:val="none"/>
                <w:lang w:eastAsia="zh-CN"/>
                <w14:textFill>
                  <w14:solidFill>
                    <w14:schemeClr w14:val="tx1"/>
                  </w14:solidFill>
                </w14:textFill>
              </w:rPr>
            </w:pPr>
            <w:r>
              <w:rPr>
                <w:rFonts w:hint="eastAsia"/>
                <w:color w:val="000000" w:themeColor="text1"/>
                <w:sz w:val="24"/>
                <w:szCs w:val="22"/>
                <w:highlight w:val="none"/>
                <w:lang w:eastAsia="zh-CN"/>
                <w14:textFill>
                  <w14:solidFill>
                    <w14:schemeClr w14:val="tx1"/>
                  </w14:solidFill>
                </w14:textFill>
              </w:rPr>
              <w:t>项目磷石膏</w:t>
            </w:r>
            <w:r>
              <w:rPr>
                <w:rFonts w:hint="eastAsia"/>
                <w:color w:val="000000" w:themeColor="text1"/>
                <w:sz w:val="24"/>
                <w:szCs w:val="22"/>
                <w:highlight w:val="none"/>
                <w:lang w:val="en-US" w:eastAsia="zh-CN"/>
                <w14:textFill>
                  <w14:solidFill>
                    <w14:schemeClr w14:val="tx1"/>
                  </w14:solidFill>
                </w14:textFill>
              </w:rPr>
              <w:t>改性工程处理</w:t>
            </w:r>
            <w:r>
              <w:rPr>
                <w:rFonts w:hint="eastAsia"/>
                <w:color w:val="000000" w:themeColor="text1"/>
                <w:sz w:val="24"/>
                <w:szCs w:val="22"/>
                <w:highlight w:val="none"/>
                <w:lang w:eastAsia="zh-CN"/>
                <w14:textFill>
                  <w14:solidFill>
                    <w14:schemeClr w14:val="tx1"/>
                  </w14:solidFill>
                </w14:textFill>
              </w:rPr>
              <w:t>规模</w:t>
            </w:r>
            <w:r>
              <w:rPr>
                <w:rFonts w:hint="eastAsia"/>
                <w:color w:val="000000" w:themeColor="text1"/>
                <w:sz w:val="24"/>
                <w:szCs w:val="22"/>
                <w:highlight w:val="none"/>
                <w:lang w:val="en-US" w:eastAsia="zh-CN"/>
                <w14:textFill>
                  <w14:solidFill>
                    <w14:schemeClr w14:val="tx1"/>
                  </w14:solidFill>
                </w14:textFill>
              </w:rPr>
              <w:t>9000</w:t>
            </w:r>
            <w:r>
              <w:rPr>
                <w:rFonts w:hint="eastAsia"/>
                <w:color w:val="000000" w:themeColor="text1"/>
                <w:sz w:val="24"/>
                <w:szCs w:val="22"/>
                <w:highlight w:val="none"/>
                <w:lang w:eastAsia="zh-CN"/>
                <w14:textFill>
                  <w14:solidFill>
                    <w14:schemeClr w14:val="tx1"/>
                  </w14:solidFill>
                </w14:textFill>
              </w:rPr>
              <w:t>t/d（湿基，含水率约15%），改性目标含水率20%～25%。生产工序需补充新鲜水调节物料含水率，补水量约</w:t>
            </w:r>
            <w:r>
              <w:rPr>
                <w:rFonts w:hint="eastAsia"/>
                <w:color w:val="000000" w:themeColor="text1"/>
                <w:sz w:val="24"/>
                <w:szCs w:val="22"/>
                <w:highlight w:val="none"/>
                <w:lang w:val="en-US" w:eastAsia="zh-CN"/>
                <w14:textFill>
                  <w14:solidFill>
                    <w14:schemeClr w14:val="tx1"/>
                  </w14:solidFill>
                </w14:textFill>
              </w:rPr>
              <w:t>900</w:t>
            </w:r>
            <w:r>
              <w:rPr>
                <w:rFonts w:hint="eastAsia"/>
                <w:color w:val="000000" w:themeColor="text1"/>
                <w:sz w:val="24"/>
                <w:szCs w:val="22"/>
                <w:highlight w:val="none"/>
                <w:lang w:eastAsia="zh-CN"/>
                <w14:textFill>
                  <w14:solidFill>
                    <w14:schemeClr w14:val="tx1"/>
                  </w14:solidFill>
                </w14:textFill>
              </w:rPr>
              <w:t>m³/d。该部分水全部进入改性磷石膏产品，随生态修复回填消纳，无废水产生。</w:t>
            </w:r>
          </w:p>
          <w:p w14:paraId="3E9D7E8B">
            <w:pPr>
              <w:keepNext w:val="0"/>
              <w:keepLines w:val="0"/>
              <w:suppressLineNumbers w:val="0"/>
              <w:spacing w:before="0" w:beforeLines="-2147483648" w:beforeAutospacing="0" w:after="0" w:afterAutospacing="0" w:line="360" w:lineRule="auto"/>
              <w:ind w:left="0" w:right="0" w:firstLine="482" w:firstLineChars="200"/>
              <w:rPr>
                <w:rFonts w:hint="eastAsia"/>
                <w:b/>
                <w:bCs/>
                <w:color w:val="000000" w:themeColor="text1"/>
                <w:sz w:val="24"/>
                <w:szCs w:val="22"/>
                <w:highlight w:val="none"/>
                <w:lang w:eastAsia="zh-CN"/>
                <w14:textFill>
                  <w14:solidFill>
                    <w14:schemeClr w14:val="tx1"/>
                  </w14:solidFill>
                </w14:textFill>
              </w:rPr>
            </w:pPr>
            <w:r>
              <w:rPr>
                <w:rFonts w:hint="eastAsia"/>
                <w:b/>
                <w:bCs/>
                <w:color w:val="000000" w:themeColor="text1"/>
                <w:sz w:val="24"/>
                <w:szCs w:val="22"/>
                <w:highlight w:val="none"/>
                <w:lang w:eastAsia="zh-CN"/>
                <w14:textFill>
                  <w14:solidFill>
                    <w14:schemeClr w14:val="tx1"/>
                  </w14:solidFill>
                </w14:textFill>
              </w:rPr>
              <w:t>（</w:t>
            </w:r>
            <w:r>
              <w:rPr>
                <w:rFonts w:hint="eastAsia"/>
                <w:b/>
                <w:bCs/>
                <w:color w:val="000000" w:themeColor="text1"/>
                <w:sz w:val="24"/>
                <w:szCs w:val="22"/>
                <w:highlight w:val="none"/>
                <w:lang w:val="en-US" w:eastAsia="zh-CN"/>
                <w14:textFill>
                  <w14:solidFill>
                    <w14:schemeClr w14:val="tx1"/>
                  </w14:solidFill>
                </w14:textFill>
              </w:rPr>
              <w:t>3</w:t>
            </w:r>
            <w:r>
              <w:rPr>
                <w:rFonts w:hint="eastAsia"/>
                <w:b/>
                <w:bCs/>
                <w:color w:val="000000" w:themeColor="text1"/>
                <w:sz w:val="24"/>
                <w:szCs w:val="22"/>
                <w:highlight w:val="none"/>
                <w:lang w:eastAsia="zh-CN"/>
                <w14:textFill>
                  <w14:solidFill>
                    <w14:schemeClr w14:val="tx1"/>
                  </w14:solidFill>
                </w14:textFill>
              </w:rPr>
              <w:t>）洒水降尘用水</w:t>
            </w:r>
          </w:p>
          <w:p w14:paraId="12281AFD">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本项目厂区</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硬化地面及</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道路面积合计约</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2040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项目年运营300天，</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雨天数</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99</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天计</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，非雨天数以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天计。</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根据《云南省地方标准用水定额》（DB53/T168-2019），场地浇洒用水量为2L/m</w:t>
            </w:r>
            <w:r>
              <w:rPr>
                <w:rFonts w:hint="default" w:ascii="Times New Roman" w:hAnsi="Times New Roman" w:eastAsia="宋体" w:cs="Times New Roman"/>
                <w:color w:val="000000" w:themeColor="text1"/>
                <w:position w:val="7"/>
                <w:sz w:val="15"/>
                <w:szCs w:val="15"/>
                <w:highlight w:val="none"/>
                <w:lang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次</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。项目道路非雨天</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每天洒水</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次，</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雨天不洒水，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则厂区</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硬化地面及</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道路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洒水降尘</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用水量约</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8.16</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/d</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1640.16</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a，该部分用水全部蒸发损耗。</w:t>
            </w:r>
          </w:p>
          <w:p w14:paraId="35CF36AB">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喷雾降尘用水</w:t>
            </w:r>
          </w:p>
          <w:p w14:paraId="51FD4B2F">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改性车间内设置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喷雾降尘系统</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和雾炮机，该系统</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用水量约45~50L·min，本评价按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50</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L·min计算，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年工作300天，每天10h，</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雨天不进行喷雾降尘。项目年运营300天，雨天数</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99</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天计</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，非雨天数以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天计。非雨天喷雾降尘用水总量约为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/d</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6030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a，该部分用水全部蒸发损耗。</w:t>
            </w:r>
          </w:p>
          <w:p w14:paraId="759FF404">
            <w:pPr>
              <w:keepNext w:val="0"/>
              <w:keepLines w:val="0"/>
              <w:widowControl/>
              <w:suppressLineNumbers w:val="0"/>
              <w:spacing w:before="0" w:beforeAutospacing="0" w:after="0" w:afterAutospacing="0" w:line="360" w:lineRule="auto"/>
              <w:ind w:left="0" w:right="0" w:firstLine="482" w:firstLineChars="200"/>
              <w:rPr>
                <w:rFonts w:hint="default"/>
                <w:color w:val="000000" w:themeColor="text1"/>
                <w:sz w:val="24"/>
                <w:szCs w:val="20"/>
                <w:highlight w:val="none"/>
                <w:lang w:val="en-US"/>
                <w14:textFill>
                  <w14:solidFill>
                    <w14:schemeClr w14:val="tx1"/>
                  </w14:solidFill>
                </w14:textFill>
              </w:rPr>
            </w:pP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5</w:t>
            </w: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初期雨水</w:t>
            </w:r>
          </w:p>
          <w:p w14:paraId="10FD727A">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根据前文核算，</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本项目初期雨水产生量为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7534.03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/a。项目厂区周围设排水沟，初期雨水经排水沟收集至</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新建的280</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初期雨水收集池。初期雨水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经沉淀</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处理</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后</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回用于厂区降尘，非雨天按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天计，则每日需回用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37.48</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1EB22C42">
            <w:pPr>
              <w:keepNext w:val="0"/>
              <w:keepLines w:val="0"/>
              <w:suppressLineNumbers w:val="0"/>
              <w:autoSpaceDE w:val="0"/>
              <w:autoSpaceDN w:val="0"/>
              <w:spacing w:before="0" w:beforeAutospacing="0" w:after="0" w:afterAutospacing="0" w:line="360" w:lineRule="auto"/>
              <w:ind w:left="0" w:right="0" w:firstLine="482" w:firstLineChars="200"/>
              <w:rPr>
                <w:rFonts w:hint="eastAsia"/>
                <w:b/>
                <w:bCs/>
                <w:color w:val="000000" w:themeColor="text1"/>
                <w:sz w:val="24"/>
                <w:szCs w:val="20"/>
                <w:highlight w:val="none"/>
                <w:lang w:val="en-US" w:eastAsia="zh-CN"/>
                <w14:textFill>
                  <w14:solidFill>
                    <w14:schemeClr w14:val="tx1"/>
                  </w14:solidFill>
                </w14:textFill>
              </w:rPr>
            </w:pPr>
            <w:r>
              <w:rPr>
                <w:rFonts w:hint="eastAsia"/>
                <w:b/>
                <w:bCs/>
                <w:color w:val="000000" w:themeColor="text1"/>
                <w:sz w:val="24"/>
                <w:szCs w:val="20"/>
                <w:highlight w:val="none"/>
                <w:lang w:val="en-US" w:eastAsia="zh-CN"/>
                <w14:textFill>
                  <w14:solidFill>
                    <w14:schemeClr w14:val="tx1"/>
                  </w14:solidFill>
                </w14:textFill>
              </w:rPr>
              <w:t>（6）待检区改性磷石膏渗滤液</w:t>
            </w:r>
          </w:p>
          <w:p w14:paraId="49905EE5">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改性车间及原料待检区均采取全封闭密闭设计，有效隔绝雨水汇入。改性后磷石膏含水率控制在 20%~25%，水分形态以吸附水为主，仅含极少量游离水；同时物料在待检区暂存周期短，正常工况下不会产生渗滤液。</w:t>
            </w:r>
          </w:p>
          <w:p w14:paraId="5A7BE3DE">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本次环评从环境风险防控角度，按最不利工况进行校核核算：待检区物料最大暂存量 75000t，按渗滤液产生率 1% 计，核算得出日最大渗滤液产生量为 187.5m³。</w:t>
            </w:r>
          </w:p>
          <w:p w14:paraId="29B22C29">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lang w:val="en-US" w:eastAsia="zh-CN"/>
                <w14:textFill>
                  <w14:solidFill>
                    <w14:schemeClr w14:val="tx1"/>
                  </w14:solidFill>
                </w14:textFill>
              </w:rPr>
              <w:t>待检区</w:t>
            </w:r>
            <w:r>
              <w:rPr>
                <w:rFonts w:hint="default"/>
                <w:color w:val="000000" w:themeColor="text1"/>
                <w:kern w:val="0"/>
                <w:sz w:val="24"/>
                <w:szCs w:val="20"/>
                <w:highlight w:val="none"/>
                <w14:textFill>
                  <w14:solidFill>
                    <w14:schemeClr w14:val="tx1"/>
                  </w14:solidFill>
                </w14:textFill>
              </w:rPr>
              <w:t>车间周边设置环形导流沟，可将渗滤液统一收集至租赁场地现有300m³ 渗滤液收集池内。收集池有效容积大于单日最大渗滤液产生量，储存能力可完全满足暂存需求。收集后的废水全部回用于待检区洒水抑尘，全程闭路循环、无外排。</w:t>
            </w:r>
          </w:p>
          <w:p w14:paraId="6412813D">
            <w:pPr>
              <w:keepNext w:val="0"/>
              <w:keepLines w:val="0"/>
              <w:widowControl/>
              <w:suppressLineNumbers w:val="0"/>
              <w:spacing w:before="0" w:beforeAutospacing="0" w:after="0" w:afterAutospacing="0" w:line="360" w:lineRule="auto"/>
              <w:ind w:left="0" w:right="0" w:firstLine="482" w:firstLineChars="200"/>
              <w:rPr>
                <w:rFonts w:hint="default"/>
                <w:b/>
                <w:bCs/>
                <w:color w:val="000000" w:themeColor="text1"/>
                <w:sz w:val="24"/>
                <w:szCs w:val="20"/>
                <w:highlight w:val="none"/>
                <w:lang w:val="en-US" w:eastAsia="zh-CN"/>
                <w14:textFill>
                  <w14:solidFill>
                    <w14:schemeClr w14:val="tx1"/>
                  </w14:solidFill>
                </w14:textFill>
              </w:rPr>
            </w:pPr>
            <w:r>
              <w:rPr>
                <w:rFonts w:hint="eastAsia"/>
                <w:b/>
                <w:bCs/>
                <w:color w:val="000000" w:themeColor="text1"/>
                <w:sz w:val="24"/>
                <w:szCs w:val="20"/>
                <w:highlight w:val="none"/>
                <w:lang w:val="en-US" w:eastAsia="zh-CN"/>
                <w14:textFill>
                  <w14:solidFill>
                    <w14:schemeClr w14:val="tx1"/>
                  </w14:solidFill>
                </w14:textFill>
              </w:rPr>
              <w:t>二、污水不外排可行性分析</w:t>
            </w:r>
          </w:p>
          <w:p w14:paraId="274E5057">
            <w:pPr>
              <w:pStyle w:val="273"/>
              <w:keepNext w:val="0"/>
              <w:keepLines w:val="0"/>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eastAsia="zh-CN"/>
                <w14:textFill>
                  <w14:solidFill>
                    <w14:schemeClr w14:val="tx1"/>
                  </w14:solidFill>
                </w14:textFill>
              </w:rPr>
              <w:t>本项目初期雨水回用于厂区降尘及绿化用水。根据前文水平衡核算，初期雨水总量为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7534.03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/a</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根据前文水平衡核算，厂区降尘用水</w:t>
            </w:r>
            <w:r>
              <w:rPr>
                <w:rFonts w:hint="eastAsia" w:ascii="Times New Roman" w:hAnsi="Times New Roman" w:cs="Times New Roman"/>
                <w:color w:val="000000" w:themeColor="text1"/>
                <w:sz w:val="24"/>
                <w:highlight w:val="none"/>
                <w:lang w:val="en-US" w:eastAsia="zh-CN"/>
                <w14:textFill>
                  <w14:solidFill>
                    <w14:schemeClr w14:val="tx1"/>
                  </w14:solidFill>
                </w14:textFill>
              </w:rPr>
              <w:t>总</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量为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7670.16</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m</w:t>
            </w:r>
            <w:r>
              <w:rPr>
                <w:rFonts w:hint="default" w:ascii="Times New Roman" w:hAnsi="Times New Roman" w:eastAsia="宋体" w:cs="Times New Roman"/>
                <w:color w:val="000000" w:themeColor="text1"/>
                <w:position w:val="8"/>
                <w:sz w:val="15"/>
                <w:szCs w:val="15"/>
                <w:highlight w:val="none"/>
                <w:lang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a</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从水量角度看</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厂区降尘和绿化用水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能够完全消纳项目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初期雨水。</w:t>
            </w:r>
          </w:p>
          <w:p w14:paraId="5AF76835">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初期雨水主要污染物为SS，经沉淀处理后可去除大部分SS，同时</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《城市污水再生利用 城市杂用水水质》（GB/T18920-2020）中城市绿化、道路清扫、消防、建筑施工的标准</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无对SS的相关要求，因此初期雨水回用于厂区降尘及绿化用水可行。</w:t>
            </w:r>
            <w:r>
              <w:rPr>
                <w:rFonts w:hint="eastAsia" w:cs="Times New Roman"/>
                <w:color w:val="000000" w:themeColor="text1"/>
                <w:sz w:val="24"/>
                <w:szCs w:val="20"/>
                <w:highlight w:val="none"/>
                <w:lang w:val="en-US" w:eastAsia="zh-CN"/>
                <w14:textFill>
                  <w14:solidFill>
                    <w14:schemeClr w14:val="tx1"/>
                  </w14:solidFill>
                </w14:textFill>
              </w:rPr>
              <w:t>待检区渗滤液</w:t>
            </w:r>
            <w:r>
              <w:rPr>
                <w:rFonts w:hint="eastAsia"/>
                <w:color w:val="000000" w:themeColor="text1"/>
                <w:kern w:val="0"/>
                <w:sz w:val="24"/>
                <w:szCs w:val="20"/>
                <w:highlight w:val="none"/>
                <w:lang w:val="en-US" w:eastAsia="zh-CN"/>
                <w14:textFill>
                  <w14:solidFill>
                    <w14:schemeClr w14:val="tx1"/>
                  </w14:solidFill>
                </w14:textFill>
              </w:rPr>
              <w:t>经车间四周导流沟收集后排入租赁场地已建的300m</w:t>
            </w:r>
            <w:r>
              <w:rPr>
                <w:rFonts w:hint="eastAsia"/>
                <w:color w:val="000000" w:themeColor="text1"/>
                <w:kern w:val="0"/>
                <w:sz w:val="24"/>
                <w:szCs w:val="20"/>
                <w:highlight w:val="none"/>
                <w:vertAlign w:val="superscript"/>
                <w:lang w:val="en-US" w:eastAsia="zh-CN"/>
                <w14:textFill>
                  <w14:solidFill>
                    <w14:schemeClr w14:val="tx1"/>
                  </w14:solidFill>
                </w14:textFill>
              </w:rPr>
              <w:t>3</w:t>
            </w:r>
            <w:r>
              <w:rPr>
                <w:rFonts w:hint="eastAsia"/>
                <w:color w:val="000000" w:themeColor="text1"/>
                <w:kern w:val="0"/>
                <w:sz w:val="24"/>
                <w:szCs w:val="20"/>
                <w:highlight w:val="none"/>
                <w:lang w:val="en-US" w:eastAsia="zh-CN"/>
                <w14:textFill>
                  <w14:solidFill>
                    <w14:schemeClr w14:val="tx1"/>
                  </w14:solidFill>
                </w14:textFill>
              </w:rPr>
              <w:t>收集池中，回用于待检区洒水抑尘，不外排。</w:t>
            </w:r>
          </w:p>
          <w:p w14:paraId="5AABA8EA">
            <w:pPr>
              <w:keepNext w:val="0"/>
              <w:keepLines w:val="0"/>
              <w:widowControl/>
              <w:suppressLineNumbers w:val="0"/>
              <w:spacing w:before="0" w:beforeAutospacing="0" w:after="0" w:afterAutospacing="0" w:line="360" w:lineRule="auto"/>
              <w:ind w:left="0" w:right="0" w:firstLine="482" w:firstLineChars="200"/>
              <w:rPr>
                <w:rFonts w:hint="eastAsia"/>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lang w:val="en-US" w:eastAsia="zh-CN"/>
                <w14:textFill>
                  <w14:solidFill>
                    <w14:schemeClr w14:val="tx1"/>
                  </w14:solidFill>
                </w14:textFill>
              </w:rPr>
              <w:t>三、</w:t>
            </w:r>
            <w:r>
              <w:rPr>
                <w:rFonts w:hint="eastAsia"/>
                <w:b/>
                <w:bCs/>
                <w:color w:val="000000" w:themeColor="text1"/>
                <w:sz w:val="24"/>
                <w:szCs w:val="20"/>
                <w:highlight w:val="none"/>
                <w14:textFill>
                  <w14:solidFill>
                    <w14:schemeClr w14:val="tx1"/>
                  </w14:solidFill>
                </w14:textFill>
              </w:rPr>
              <w:t>结论</w:t>
            </w:r>
          </w:p>
          <w:p w14:paraId="7910B8D0">
            <w:pPr>
              <w:keepNext w:val="0"/>
              <w:keepLines w:val="0"/>
              <w:widowControl/>
              <w:suppressLineNumbers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综上所述，本项目</w:t>
            </w:r>
            <w:r>
              <w:rPr>
                <w:rFonts w:hint="eastAsia"/>
                <w:color w:val="000000" w:themeColor="text1"/>
                <w:sz w:val="24"/>
                <w:szCs w:val="22"/>
                <w:highlight w:val="none"/>
                <w:lang w:val="en-US" w:eastAsia="zh-CN"/>
                <w14:textFill>
                  <w14:solidFill>
                    <w14:schemeClr w14:val="tx1"/>
                  </w14:solidFill>
                </w14:textFill>
              </w:rPr>
              <w:t>员工生活废水主要为员工盥洗废水（洗手洗脸废水），以及如厕废水，员工盥洗废水及如厕废水均依托租赁场地原有化粪池处理后，定期由周边居民清掏肥田。</w:t>
            </w:r>
            <w:r>
              <w:rPr>
                <w:rFonts w:hint="eastAsia"/>
                <w:color w:val="000000" w:themeColor="text1"/>
                <w:sz w:val="24"/>
                <w:szCs w:val="20"/>
                <w:highlight w:val="none"/>
                <w14:textFill>
                  <w14:solidFill>
                    <w14:schemeClr w14:val="tx1"/>
                  </w14:solidFill>
                </w14:textFill>
              </w:rPr>
              <w:t>生产补水进入产品；洒水降尘水自然蒸发；改性区及待检区产生的初期雨水</w:t>
            </w:r>
            <w:r>
              <w:rPr>
                <w:rFonts w:hint="eastAsia"/>
                <w:color w:val="000000" w:themeColor="text1"/>
                <w:kern w:val="0"/>
                <w:sz w:val="24"/>
                <w:szCs w:val="20"/>
                <w:highlight w:val="none"/>
                <w:lang w:val="en-US" w:eastAsia="zh-CN"/>
                <w14:textFill>
                  <w14:solidFill>
                    <w14:schemeClr w14:val="tx1"/>
                  </w14:solidFill>
                </w14:textFill>
              </w:rPr>
              <w:t>经车间四周导流沟收集后排入租赁场地已建的300m</w:t>
            </w:r>
            <w:r>
              <w:rPr>
                <w:rFonts w:hint="eastAsia"/>
                <w:color w:val="000000" w:themeColor="text1"/>
                <w:kern w:val="0"/>
                <w:sz w:val="24"/>
                <w:szCs w:val="20"/>
                <w:highlight w:val="none"/>
                <w:vertAlign w:val="superscript"/>
                <w:lang w:val="en-US" w:eastAsia="zh-CN"/>
                <w14:textFill>
                  <w14:solidFill>
                    <w14:schemeClr w14:val="tx1"/>
                  </w14:solidFill>
                </w14:textFill>
              </w:rPr>
              <w:t>3</w:t>
            </w:r>
            <w:r>
              <w:rPr>
                <w:rFonts w:hint="eastAsia"/>
                <w:color w:val="000000" w:themeColor="text1"/>
                <w:kern w:val="0"/>
                <w:sz w:val="24"/>
                <w:szCs w:val="20"/>
                <w:highlight w:val="none"/>
                <w:lang w:val="en-US" w:eastAsia="zh-CN"/>
                <w14:textFill>
                  <w14:solidFill>
                    <w14:schemeClr w14:val="tx1"/>
                  </w14:solidFill>
                </w14:textFill>
              </w:rPr>
              <w:t>收集池中，回用于待检区洒水抑尘，不外排。</w:t>
            </w:r>
            <w:r>
              <w:rPr>
                <w:rFonts w:hint="eastAsia"/>
                <w:color w:val="000000" w:themeColor="text1"/>
                <w:sz w:val="24"/>
                <w:szCs w:val="20"/>
                <w:highlight w:val="none"/>
                <w14:textFill>
                  <w14:solidFill>
                    <w14:schemeClr w14:val="tx1"/>
                  </w14:solidFill>
                </w14:textFill>
              </w:rPr>
              <w:t>本项目废水不外排技术可行、风险可控，对周边水环境影响较小。</w:t>
            </w:r>
          </w:p>
          <w:p w14:paraId="03A7B4CB">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b/>
                <w:bCs/>
                <w:color w:val="000000" w:themeColor="text1"/>
                <w:szCs w:val="24"/>
                <w:highlight w:val="none"/>
                <w14:textFill>
                  <w14:solidFill>
                    <w14:schemeClr w14:val="tx1"/>
                  </w14:solidFill>
                </w14:textFill>
              </w:rPr>
            </w:pPr>
            <w:r>
              <w:rPr>
                <w:rFonts w:hint="eastAsia" w:ascii="Times New Roman" w:hAnsi="Times New Roman"/>
                <w:b/>
                <w:bCs/>
                <w:color w:val="000000" w:themeColor="text1"/>
                <w:szCs w:val="24"/>
                <w:highlight w:val="none"/>
                <w14:textFill>
                  <w14:solidFill>
                    <w14:schemeClr w14:val="tx1"/>
                  </w14:solidFill>
                </w14:textFill>
              </w:rPr>
              <w:t>4.</w:t>
            </w:r>
            <w:r>
              <w:rPr>
                <w:rFonts w:hint="eastAsia" w:ascii="Times New Roman" w:hAnsi="Times New Roman"/>
                <w:b/>
                <w:bCs/>
                <w:color w:val="000000" w:themeColor="text1"/>
                <w:szCs w:val="24"/>
                <w:highlight w:val="none"/>
                <w:lang w:val="en-US" w:eastAsia="zh-CN"/>
                <w14:textFill>
                  <w14:solidFill>
                    <w14:schemeClr w14:val="tx1"/>
                  </w14:solidFill>
                </w14:textFill>
              </w:rPr>
              <w:t>6</w:t>
            </w:r>
            <w:r>
              <w:rPr>
                <w:rFonts w:hint="eastAsia" w:ascii="Times New Roman" w:hAnsi="Times New Roman"/>
                <w:b/>
                <w:bCs/>
                <w:color w:val="000000" w:themeColor="text1"/>
                <w:szCs w:val="24"/>
                <w:highlight w:val="none"/>
                <w14:textFill>
                  <w14:solidFill>
                    <w14:schemeClr w14:val="tx1"/>
                  </w14:solidFill>
                </w14:textFill>
              </w:rPr>
              <w:t>.</w:t>
            </w:r>
            <w:r>
              <w:rPr>
                <w:rFonts w:hint="eastAsia" w:ascii="Times New Roman" w:hAnsi="Times New Roman"/>
                <w:b/>
                <w:bCs/>
                <w:color w:val="000000" w:themeColor="text1"/>
                <w:szCs w:val="24"/>
                <w:highlight w:val="none"/>
                <w:lang w:val="en-US" w:eastAsia="zh-CN"/>
                <w14:textFill>
                  <w14:solidFill>
                    <w14:schemeClr w14:val="tx1"/>
                  </w14:solidFill>
                </w14:textFill>
              </w:rPr>
              <w:t>2</w:t>
            </w:r>
            <w:r>
              <w:rPr>
                <w:rFonts w:hint="eastAsia" w:ascii="Times New Roman" w:hAnsi="Times New Roman"/>
                <w:b/>
                <w:bCs/>
                <w:color w:val="000000" w:themeColor="text1"/>
                <w:szCs w:val="24"/>
                <w:highlight w:val="none"/>
                <w14:textFill>
                  <w14:solidFill>
                    <w14:schemeClr w14:val="tx1"/>
                  </w14:solidFill>
                </w14:textFill>
              </w:rPr>
              <w:t>声环境影响分析和噪声污染防治措施</w:t>
            </w:r>
          </w:p>
          <w:p w14:paraId="29B55C12">
            <w:pPr>
              <w:keepNext w:val="0"/>
              <w:keepLines w:val="0"/>
              <w:suppressLineNumbers w:val="0"/>
              <w:spacing w:before="0" w:beforeAutospacing="0" w:after="0" w:afterAutospacing="0" w:line="360"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1）噪声源强</w:t>
            </w:r>
          </w:p>
          <w:p w14:paraId="454B1064">
            <w:pPr>
              <w:keepNext w:val="0"/>
              <w:keepLines w:val="0"/>
              <w:suppressLineNumbers w:val="0"/>
              <w:spacing w:before="0" w:beforeAutospacing="0" w:after="0" w:afterAutospacing="0" w:line="360"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磷石膏改性</w:t>
            </w:r>
            <w:r>
              <w:rPr>
                <w:rFonts w:hint="default"/>
                <w:color w:val="000000" w:themeColor="text1"/>
                <w:kern w:val="0"/>
                <w:sz w:val="24"/>
                <w:szCs w:val="20"/>
                <w:highlight w:val="none"/>
                <w14:textFill>
                  <w14:solidFill>
                    <w14:schemeClr w14:val="tx1"/>
                  </w14:solidFill>
                </w14:textFill>
              </w:rPr>
              <w:t>噪声</w:t>
            </w:r>
            <w:r>
              <w:rPr>
                <w:rFonts w:hint="eastAsia"/>
                <w:color w:val="000000" w:themeColor="text1"/>
                <w:kern w:val="0"/>
                <w:sz w:val="24"/>
                <w:szCs w:val="20"/>
                <w:highlight w:val="none"/>
                <w14:textFill>
                  <w14:solidFill>
                    <w14:schemeClr w14:val="tx1"/>
                  </w14:solidFill>
                </w14:textFill>
              </w:rPr>
              <w:t>源主要为</w:t>
            </w:r>
            <w:bookmarkStart w:id="17" w:name="_Hlk179291182"/>
            <w:r>
              <w:rPr>
                <w:rFonts w:hint="eastAsia"/>
                <w:color w:val="000000" w:themeColor="text1"/>
                <w:kern w:val="0"/>
                <w:sz w:val="24"/>
                <w:szCs w:val="20"/>
                <w:highlight w:val="none"/>
                <w14:textFill>
                  <w14:solidFill>
                    <w14:schemeClr w14:val="tx1"/>
                  </w14:solidFill>
                </w14:textFill>
              </w:rPr>
              <w:t>改性</w:t>
            </w:r>
            <w:r>
              <w:rPr>
                <w:rFonts w:hint="eastAsia"/>
                <w:color w:val="000000" w:themeColor="text1"/>
                <w:kern w:val="0"/>
                <w:sz w:val="24"/>
                <w:szCs w:val="20"/>
                <w:highlight w:val="none"/>
                <w:lang w:val="en-US" w:eastAsia="zh-CN"/>
                <w14:textFill>
                  <w14:solidFill>
                    <w14:schemeClr w14:val="tx1"/>
                  </w14:solidFill>
                </w14:textFill>
              </w:rPr>
              <w:t>车间内的给料机、破碎机、搅拌机等</w:t>
            </w:r>
            <w:r>
              <w:rPr>
                <w:rFonts w:hint="eastAsia"/>
                <w:color w:val="000000" w:themeColor="text1"/>
                <w:kern w:val="0"/>
                <w:sz w:val="24"/>
                <w:szCs w:val="20"/>
                <w:highlight w:val="none"/>
                <w14:textFill>
                  <w14:solidFill>
                    <w14:schemeClr w14:val="tx1"/>
                  </w14:solidFill>
                </w14:textFill>
              </w:rPr>
              <w:t>设备</w:t>
            </w:r>
            <w:bookmarkEnd w:id="17"/>
            <w:r>
              <w:rPr>
                <w:rFonts w:hint="default"/>
                <w:color w:val="000000" w:themeColor="text1"/>
                <w:kern w:val="0"/>
                <w:sz w:val="24"/>
                <w:szCs w:val="20"/>
                <w:highlight w:val="none"/>
                <w14:textFill>
                  <w14:solidFill>
                    <w14:schemeClr w14:val="tx1"/>
                  </w14:solidFill>
                </w14:textFill>
              </w:rPr>
              <w:t>。</w:t>
            </w:r>
            <w:r>
              <w:rPr>
                <w:rFonts w:hint="eastAsia"/>
                <w:color w:val="000000" w:themeColor="text1"/>
                <w:kern w:val="0"/>
                <w:sz w:val="24"/>
                <w:szCs w:val="20"/>
                <w:highlight w:val="none"/>
                <w14:textFill>
                  <w14:solidFill>
                    <w14:schemeClr w14:val="tx1"/>
                  </w14:solidFill>
                </w14:textFill>
              </w:rPr>
              <w:t>噪声设备在改性生产厂房内，声源强度见表4-</w:t>
            </w:r>
            <w:r>
              <w:rPr>
                <w:rFonts w:hint="eastAsia"/>
                <w:color w:val="000000" w:themeColor="text1"/>
                <w:kern w:val="0"/>
                <w:sz w:val="24"/>
                <w:szCs w:val="20"/>
                <w:highlight w:val="none"/>
                <w:lang w:val="en-US" w:eastAsia="zh-CN"/>
                <w14:textFill>
                  <w14:solidFill>
                    <w14:schemeClr w14:val="tx1"/>
                  </w14:solidFill>
                </w14:textFill>
              </w:rPr>
              <w:t>3</w:t>
            </w:r>
            <w:r>
              <w:rPr>
                <w:rFonts w:hint="eastAsia"/>
                <w:color w:val="000000" w:themeColor="text1"/>
                <w:kern w:val="0"/>
                <w:sz w:val="24"/>
                <w:szCs w:val="20"/>
                <w:highlight w:val="none"/>
                <w14:textFill>
                  <w14:solidFill>
                    <w14:schemeClr w14:val="tx1"/>
                  </w14:solidFill>
                </w14:textFill>
              </w:rPr>
              <w:t>及表4-</w:t>
            </w:r>
            <w:r>
              <w:rPr>
                <w:rFonts w:hint="eastAsia"/>
                <w:color w:val="000000" w:themeColor="text1"/>
                <w:kern w:val="0"/>
                <w:sz w:val="24"/>
                <w:szCs w:val="20"/>
                <w:highlight w:val="none"/>
                <w:lang w:val="en-US" w:eastAsia="zh-CN"/>
                <w14:textFill>
                  <w14:solidFill>
                    <w14:schemeClr w14:val="tx1"/>
                  </w14:solidFill>
                </w14:textFill>
              </w:rPr>
              <w:t>4</w:t>
            </w:r>
            <w:r>
              <w:rPr>
                <w:rFonts w:hint="eastAsia"/>
                <w:color w:val="000000" w:themeColor="text1"/>
                <w:kern w:val="0"/>
                <w:sz w:val="24"/>
                <w:szCs w:val="20"/>
                <w:highlight w:val="none"/>
                <w14:textFill>
                  <w14:solidFill>
                    <w14:schemeClr w14:val="tx1"/>
                  </w14:solidFill>
                </w14:textFill>
              </w:rPr>
              <w:t>。</w:t>
            </w:r>
          </w:p>
          <w:p w14:paraId="7D5BAC5F">
            <w:pPr>
              <w:keepNext w:val="0"/>
              <w:keepLines w:val="0"/>
              <w:suppressLineNumbers w:val="0"/>
              <w:spacing w:before="0" w:beforeAutospacing="0" w:after="0" w:afterAutospacing="0"/>
              <w:ind w:left="0" w:right="0"/>
              <w:jc w:val="center"/>
              <w:rPr>
                <w:rFonts w:hint="eastAsia"/>
                <w:b/>
                <w:color w:val="000000" w:themeColor="text1"/>
                <w:kern w:val="0"/>
                <w:sz w:val="24"/>
                <w:szCs w:val="24"/>
                <w:highlight w:val="none"/>
                <w14:textFill>
                  <w14:solidFill>
                    <w14:schemeClr w14:val="tx1"/>
                  </w14:solidFill>
                </w14:textFill>
              </w:rPr>
            </w:pPr>
            <w:r>
              <w:rPr>
                <w:rFonts w:hint="eastAsia"/>
                <w:b/>
                <w:color w:val="000000" w:themeColor="text1"/>
                <w:kern w:val="0"/>
                <w:sz w:val="24"/>
                <w:szCs w:val="24"/>
                <w:highlight w:val="none"/>
                <w14:textFill>
                  <w14:solidFill>
                    <w14:schemeClr w14:val="tx1"/>
                  </w14:solidFill>
                </w14:textFill>
              </w:rPr>
              <w:t>表4-</w:t>
            </w:r>
            <w:r>
              <w:rPr>
                <w:rFonts w:hint="eastAsia"/>
                <w:b/>
                <w:color w:val="000000" w:themeColor="text1"/>
                <w:kern w:val="0"/>
                <w:sz w:val="24"/>
                <w:szCs w:val="24"/>
                <w:highlight w:val="none"/>
                <w:lang w:val="en-US" w:eastAsia="zh-CN"/>
                <w14:textFill>
                  <w14:solidFill>
                    <w14:schemeClr w14:val="tx1"/>
                  </w14:solidFill>
                </w14:textFill>
              </w:rPr>
              <w:t>3</w:t>
            </w:r>
            <w:r>
              <w:rPr>
                <w:rFonts w:hint="eastAsia"/>
                <w:b/>
                <w:color w:val="000000" w:themeColor="text1"/>
                <w:kern w:val="0"/>
                <w:sz w:val="24"/>
                <w:szCs w:val="24"/>
                <w:highlight w:val="none"/>
                <w14:textFill>
                  <w14:solidFill>
                    <w14:schemeClr w14:val="tx1"/>
                  </w14:solidFill>
                </w14:textFill>
              </w:rPr>
              <w:t xml:space="preserve"> </w:t>
            </w:r>
            <w:r>
              <w:rPr>
                <w:rFonts w:hint="eastAsia"/>
                <w:b/>
                <w:color w:val="000000" w:themeColor="text1"/>
                <w:kern w:val="0"/>
                <w:sz w:val="24"/>
                <w:szCs w:val="24"/>
                <w:highlight w:val="none"/>
                <w:lang w:val="en-US" w:eastAsia="zh-CN"/>
                <w14:textFill>
                  <w14:solidFill>
                    <w14:schemeClr w14:val="tx1"/>
                  </w14:solidFill>
                </w14:textFill>
              </w:rPr>
              <w:t xml:space="preserve"> </w:t>
            </w:r>
            <w:r>
              <w:rPr>
                <w:rFonts w:hint="eastAsia"/>
                <w:b/>
                <w:color w:val="000000" w:themeColor="text1"/>
                <w:kern w:val="0"/>
                <w:sz w:val="24"/>
                <w:szCs w:val="24"/>
                <w:highlight w:val="none"/>
                <w14:textFill>
                  <w14:solidFill>
                    <w14:schemeClr w14:val="tx1"/>
                  </w14:solidFill>
                </w14:textFill>
              </w:rPr>
              <w:t>室内噪声源强一览表</w:t>
            </w:r>
          </w:p>
          <w:tbl>
            <w:tblPr>
              <w:tblStyle w:val="44"/>
              <w:tblW w:w="8113"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1"/>
              <w:gridCol w:w="361"/>
              <w:gridCol w:w="432"/>
              <w:gridCol w:w="389"/>
              <w:gridCol w:w="374"/>
              <w:gridCol w:w="411"/>
              <w:gridCol w:w="643"/>
              <w:gridCol w:w="557"/>
              <w:gridCol w:w="321"/>
              <w:gridCol w:w="815"/>
              <w:gridCol w:w="835"/>
              <w:gridCol w:w="408"/>
              <w:gridCol w:w="771"/>
              <w:gridCol w:w="729"/>
              <w:gridCol w:w="706"/>
            </w:tblGrid>
            <w:tr w14:paraId="0DC1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61" w:type="dxa"/>
                  <w:vMerge w:val="restart"/>
                  <w:shd w:val="clear" w:color="auto" w:fill="auto"/>
                  <w:vAlign w:val="center"/>
                </w:tcPr>
                <w:p w14:paraId="15C20B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361" w:type="dxa"/>
                  <w:vMerge w:val="restart"/>
                  <w:shd w:val="clear" w:color="auto" w:fill="auto"/>
                  <w:vAlign w:val="center"/>
                </w:tcPr>
                <w:p w14:paraId="191FDE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建筑物名称</w:t>
                  </w:r>
                </w:p>
              </w:tc>
              <w:tc>
                <w:tcPr>
                  <w:tcW w:w="432" w:type="dxa"/>
                  <w:vMerge w:val="restart"/>
                  <w:shd w:val="clear" w:color="auto" w:fill="auto"/>
                  <w:noWrap/>
                  <w:vAlign w:val="center"/>
                </w:tcPr>
                <w:p w14:paraId="463ACA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声源名称</w:t>
                  </w:r>
                </w:p>
              </w:tc>
              <w:tc>
                <w:tcPr>
                  <w:tcW w:w="389" w:type="dxa"/>
                  <w:vMerge w:val="restart"/>
                  <w:shd w:val="clear" w:color="auto" w:fill="auto"/>
                  <w:noWrap/>
                  <w:vAlign w:val="center"/>
                </w:tcPr>
                <w:p w14:paraId="56EE79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型号</w:t>
                  </w:r>
                </w:p>
              </w:tc>
              <w:tc>
                <w:tcPr>
                  <w:tcW w:w="374" w:type="dxa"/>
                  <w:vMerge w:val="restart"/>
                  <w:shd w:val="clear" w:color="auto" w:fill="auto"/>
                  <w:noWrap/>
                  <w:vAlign w:val="center"/>
                </w:tcPr>
                <w:p w14:paraId="59834E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声源</w:t>
                  </w:r>
                </w:p>
              </w:tc>
              <w:tc>
                <w:tcPr>
                  <w:tcW w:w="411" w:type="dxa"/>
                  <w:vMerge w:val="restart"/>
                  <w:shd w:val="clear" w:color="auto" w:fill="auto"/>
                  <w:vAlign w:val="center"/>
                </w:tcPr>
                <w:p w14:paraId="66566A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声源控制措施</w:t>
                  </w:r>
                </w:p>
              </w:tc>
              <w:tc>
                <w:tcPr>
                  <w:tcW w:w="1521" w:type="dxa"/>
                  <w:gridSpan w:val="3"/>
                  <w:shd w:val="clear" w:color="auto" w:fill="auto"/>
                  <w:noWrap/>
                  <w:vAlign w:val="center"/>
                </w:tcPr>
                <w:p w14:paraId="4EEB1D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空间相对位置/m</w:t>
                  </w:r>
                </w:p>
              </w:tc>
              <w:tc>
                <w:tcPr>
                  <w:tcW w:w="815" w:type="dxa"/>
                  <w:vMerge w:val="restart"/>
                  <w:shd w:val="clear" w:color="auto" w:fill="auto"/>
                  <w:noWrap/>
                  <w:vAlign w:val="center"/>
                </w:tcPr>
                <w:p w14:paraId="33DB21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距室内边界距离/m</w:t>
                  </w:r>
                </w:p>
              </w:tc>
              <w:tc>
                <w:tcPr>
                  <w:tcW w:w="835" w:type="dxa"/>
                  <w:vMerge w:val="restart"/>
                  <w:shd w:val="clear" w:color="auto" w:fill="auto"/>
                  <w:noWrap/>
                  <w:vAlign w:val="center"/>
                </w:tcPr>
                <w:p w14:paraId="1E6046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室内边界声级/dB（A）</w:t>
                  </w:r>
                </w:p>
              </w:tc>
              <w:tc>
                <w:tcPr>
                  <w:tcW w:w="408" w:type="dxa"/>
                  <w:vMerge w:val="restart"/>
                  <w:shd w:val="clear" w:color="auto" w:fill="auto"/>
                  <w:noWrap/>
                  <w:vAlign w:val="center"/>
                </w:tcPr>
                <w:p w14:paraId="0BAE9A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运行时段</w:t>
                  </w:r>
                </w:p>
              </w:tc>
              <w:tc>
                <w:tcPr>
                  <w:tcW w:w="771" w:type="dxa"/>
                  <w:vMerge w:val="restart"/>
                  <w:shd w:val="clear" w:color="auto" w:fill="auto"/>
                  <w:vAlign w:val="center"/>
                </w:tcPr>
                <w:p w14:paraId="41B463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建筑物插入损失</w:t>
                  </w:r>
                </w:p>
              </w:tc>
              <w:tc>
                <w:tcPr>
                  <w:tcW w:w="729" w:type="dxa"/>
                  <w:vMerge w:val="restart"/>
                  <w:shd w:val="clear" w:color="auto" w:fill="auto"/>
                  <w:vAlign w:val="center"/>
                </w:tcPr>
                <w:p w14:paraId="4D08F7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建筑物外噪声</w:t>
                  </w:r>
                </w:p>
              </w:tc>
              <w:tc>
                <w:tcPr>
                  <w:tcW w:w="706" w:type="dxa"/>
                  <w:vMerge w:val="restart"/>
                  <w:shd w:val="clear" w:color="auto" w:fill="auto"/>
                  <w:vAlign w:val="center"/>
                </w:tcPr>
                <w:p w14:paraId="188FD1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建筑物外噪声距离</w:t>
                  </w:r>
                </w:p>
              </w:tc>
            </w:tr>
            <w:tr w14:paraId="7A27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61" w:type="dxa"/>
                  <w:vMerge w:val="continue"/>
                  <w:shd w:val="clear" w:color="auto" w:fill="auto"/>
                  <w:vAlign w:val="center"/>
                </w:tcPr>
                <w:p w14:paraId="524ABB8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vAlign w:val="center"/>
                </w:tcPr>
                <w:p w14:paraId="0581AEA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1829F48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2A0AD96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605AC66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574A29C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shd w:val="clear" w:color="auto" w:fill="auto"/>
                  <w:noWrap/>
                  <w:vAlign w:val="center"/>
                </w:tcPr>
                <w:p w14:paraId="5452D1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X</w:t>
                  </w:r>
                </w:p>
              </w:tc>
              <w:tc>
                <w:tcPr>
                  <w:tcW w:w="557" w:type="dxa"/>
                  <w:shd w:val="clear" w:color="auto" w:fill="auto"/>
                  <w:noWrap/>
                  <w:vAlign w:val="center"/>
                </w:tcPr>
                <w:p w14:paraId="7F7B28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Y</w:t>
                  </w:r>
                </w:p>
              </w:tc>
              <w:tc>
                <w:tcPr>
                  <w:tcW w:w="321" w:type="dxa"/>
                  <w:shd w:val="clear" w:color="auto" w:fill="auto"/>
                  <w:noWrap/>
                  <w:vAlign w:val="center"/>
                </w:tcPr>
                <w:p w14:paraId="07EDD9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Z</w:t>
                  </w:r>
                </w:p>
              </w:tc>
              <w:tc>
                <w:tcPr>
                  <w:tcW w:w="815" w:type="dxa"/>
                  <w:vMerge w:val="continue"/>
                  <w:shd w:val="clear" w:color="auto" w:fill="auto"/>
                  <w:noWrap/>
                  <w:vAlign w:val="center"/>
                </w:tcPr>
                <w:p w14:paraId="4051E8E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35" w:type="dxa"/>
                  <w:vMerge w:val="continue"/>
                  <w:shd w:val="clear" w:color="auto" w:fill="auto"/>
                  <w:noWrap/>
                  <w:vAlign w:val="center"/>
                </w:tcPr>
                <w:p w14:paraId="06FC679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08" w:type="dxa"/>
                  <w:vMerge w:val="continue"/>
                  <w:shd w:val="clear" w:color="auto" w:fill="auto"/>
                  <w:noWrap/>
                  <w:vAlign w:val="center"/>
                </w:tcPr>
                <w:p w14:paraId="33D154B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vAlign w:val="center"/>
                </w:tcPr>
                <w:p w14:paraId="63248E7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vMerge w:val="continue"/>
                  <w:shd w:val="clear" w:color="auto" w:fill="auto"/>
                  <w:vAlign w:val="center"/>
                </w:tcPr>
                <w:p w14:paraId="333ADDC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06" w:type="dxa"/>
                  <w:vMerge w:val="continue"/>
                  <w:shd w:val="clear" w:color="auto" w:fill="auto"/>
                  <w:vAlign w:val="center"/>
                </w:tcPr>
                <w:p w14:paraId="356786A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0C6D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restart"/>
                  <w:shd w:val="clear" w:color="auto" w:fill="auto"/>
                  <w:noWrap/>
                  <w:vAlign w:val="center"/>
                </w:tcPr>
                <w:p w14:paraId="761221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N1</w:t>
                  </w:r>
                </w:p>
              </w:tc>
              <w:tc>
                <w:tcPr>
                  <w:tcW w:w="361" w:type="dxa"/>
                  <w:vMerge w:val="restart"/>
                  <w:shd w:val="clear" w:color="auto" w:fill="auto"/>
                  <w:noWrap/>
                  <w:vAlign w:val="center"/>
                </w:tcPr>
                <w:p w14:paraId="1489C8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改性车间</w:t>
                  </w:r>
                </w:p>
              </w:tc>
              <w:tc>
                <w:tcPr>
                  <w:tcW w:w="432" w:type="dxa"/>
                  <w:vMerge w:val="restart"/>
                  <w:shd w:val="clear" w:color="auto" w:fill="auto"/>
                  <w:noWrap/>
                  <w:vAlign w:val="center"/>
                </w:tcPr>
                <w:p w14:paraId="73B743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搅拌机1</w:t>
                  </w:r>
                </w:p>
              </w:tc>
              <w:tc>
                <w:tcPr>
                  <w:tcW w:w="389" w:type="dxa"/>
                  <w:vMerge w:val="restart"/>
                  <w:shd w:val="clear" w:color="auto" w:fill="auto"/>
                  <w:noWrap/>
                  <w:vAlign w:val="center"/>
                </w:tcPr>
                <w:p w14:paraId="642ABC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restart"/>
                  <w:shd w:val="clear" w:color="auto" w:fill="auto"/>
                  <w:noWrap/>
                  <w:vAlign w:val="center"/>
                </w:tcPr>
                <w:p w14:paraId="6E6289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70</w:t>
                  </w:r>
                </w:p>
              </w:tc>
              <w:tc>
                <w:tcPr>
                  <w:tcW w:w="411" w:type="dxa"/>
                  <w:vMerge w:val="restart"/>
                  <w:shd w:val="clear" w:color="auto" w:fill="auto"/>
                  <w:vAlign w:val="center"/>
                </w:tcPr>
                <w:p w14:paraId="29FEA8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基础减震+低噪设备+厂房密闭</w:t>
                  </w:r>
                </w:p>
              </w:tc>
              <w:tc>
                <w:tcPr>
                  <w:tcW w:w="643" w:type="dxa"/>
                  <w:vMerge w:val="restart"/>
                  <w:shd w:val="clear" w:color="auto" w:fill="auto"/>
                  <w:noWrap/>
                  <w:vAlign w:val="bottom"/>
                </w:tcPr>
                <w:p w14:paraId="283D30CE">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59.03</w:t>
                  </w:r>
                </w:p>
              </w:tc>
              <w:tc>
                <w:tcPr>
                  <w:tcW w:w="557" w:type="dxa"/>
                  <w:vMerge w:val="restart"/>
                  <w:shd w:val="clear" w:color="auto" w:fill="auto"/>
                  <w:noWrap/>
                  <w:vAlign w:val="bottom"/>
                </w:tcPr>
                <w:p w14:paraId="58F90D73">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0.94</w:t>
                  </w:r>
                </w:p>
              </w:tc>
              <w:tc>
                <w:tcPr>
                  <w:tcW w:w="321" w:type="dxa"/>
                  <w:vMerge w:val="restart"/>
                  <w:shd w:val="clear" w:color="auto" w:fill="auto"/>
                  <w:noWrap/>
                  <w:vAlign w:val="bottom"/>
                </w:tcPr>
                <w:p w14:paraId="45019A7A">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815" w:type="dxa"/>
                  <w:shd w:val="clear" w:color="auto" w:fill="auto"/>
                  <w:noWrap/>
                  <w:vAlign w:val="bottom"/>
                </w:tcPr>
                <w:p w14:paraId="162325E6">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24.92</w:t>
                  </w:r>
                </w:p>
              </w:tc>
              <w:tc>
                <w:tcPr>
                  <w:tcW w:w="835" w:type="dxa"/>
                  <w:shd w:val="clear" w:color="auto" w:fill="auto"/>
                  <w:noWrap/>
                  <w:vAlign w:val="bottom"/>
                </w:tcPr>
                <w:p w14:paraId="5D5D9474">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59.13</w:t>
                  </w:r>
                </w:p>
              </w:tc>
              <w:tc>
                <w:tcPr>
                  <w:tcW w:w="408" w:type="dxa"/>
                  <w:vMerge w:val="restart"/>
                  <w:shd w:val="clear" w:color="auto" w:fill="auto"/>
                  <w:noWrap/>
                  <w:vAlign w:val="center"/>
                </w:tcPr>
                <w:p w14:paraId="32A77B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昼间</w:t>
                  </w:r>
                </w:p>
              </w:tc>
              <w:tc>
                <w:tcPr>
                  <w:tcW w:w="771" w:type="dxa"/>
                  <w:vMerge w:val="restart"/>
                  <w:shd w:val="clear" w:color="auto" w:fill="auto"/>
                  <w:noWrap/>
                  <w:vAlign w:val="center"/>
                </w:tcPr>
                <w:p w14:paraId="64D1B4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729" w:type="dxa"/>
                  <w:shd w:val="clear" w:color="auto" w:fill="auto"/>
                  <w:noWrap/>
                  <w:vAlign w:val="bottom"/>
                </w:tcPr>
                <w:p w14:paraId="06DCD02B">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38.13</w:t>
                  </w:r>
                </w:p>
              </w:tc>
              <w:tc>
                <w:tcPr>
                  <w:tcW w:w="706" w:type="dxa"/>
                  <w:vMerge w:val="restart"/>
                  <w:shd w:val="clear" w:color="auto" w:fill="auto"/>
                  <w:noWrap/>
                  <w:vAlign w:val="center"/>
                </w:tcPr>
                <w:p w14:paraId="0FE98B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r>
            <w:tr w14:paraId="4611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65FE534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2CCB51C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7FE165C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0BB1EEA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04B2BD1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7918B84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678C9BF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3945037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4E552FE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2AE8D3B0">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12.68</w:t>
                  </w:r>
                </w:p>
              </w:tc>
              <w:tc>
                <w:tcPr>
                  <w:tcW w:w="835" w:type="dxa"/>
                  <w:shd w:val="clear" w:color="auto" w:fill="auto"/>
                  <w:noWrap/>
                  <w:vAlign w:val="bottom"/>
                </w:tcPr>
                <w:p w14:paraId="4B189583">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59.15</w:t>
                  </w:r>
                </w:p>
              </w:tc>
              <w:tc>
                <w:tcPr>
                  <w:tcW w:w="408" w:type="dxa"/>
                  <w:vMerge w:val="continue"/>
                  <w:shd w:val="clear" w:color="auto" w:fill="auto"/>
                  <w:noWrap/>
                  <w:vAlign w:val="center"/>
                </w:tcPr>
                <w:p w14:paraId="363C472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4C3ADF0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15CAF7C3">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38.15</w:t>
                  </w:r>
                </w:p>
              </w:tc>
              <w:tc>
                <w:tcPr>
                  <w:tcW w:w="706" w:type="dxa"/>
                  <w:vMerge w:val="continue"/>
                  <w:shd w:val="clear" w:color="auto" w:fill="auto"/>
                  <w:noWrap/>
                  <w:vAlign w:val="center"/>
                </w:tcPr>
                <w:p w14:paraId="4FB95F3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42AC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7665370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1DE9AF9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292BBE3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1E21476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6D3D1FE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2225320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4C917E9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68A2681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3AED0E6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328DCB0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24.91</w:t>
                  </w:r>
                </w:p>
              </w:tc>
              <w:tc>
                <w:tcPr>
                  <w:tcW w:w="835" w:type="dxa"/>
                  <w:shd w:val="clear" w:color="auto" w:fill="auto"/>
                  <w:noWrap/>
                  <w:vAlign w:val="bottom"/>
                </w:tcPr>
                <w:p w14:paraId="340EDA2A">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59.13</w:t>
                  </w:r>
                </w:p>
              </w:tc>
              <w:tc>
                <w:tcPr>
                  <w:tcW w:w="408" w:type="dxa"/>
                  <w:vMerge w:val="continue"/>
                  <w:shd w:val="clear" w:color="auto" w:fill="auto"/>
                  <w:noWrap/>
                  <w:vAlign w:val="center"/>
                </w:tcPr>
                <w:p w14:paraId="707DD2B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16F6FED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694809BE">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38.13</w:t>
                  </w:r>
                </w:p>
              </w:tc>
              <w:tc>
                <w:tcPr>
                  <w:tcW w:w="706" w:type="dxa"/>
                  <w:vMerge w:val="continue"/>
                  <w:shd w:val="clear" w:color="auto" w:fill="auto"/>
                  <w:noWrap/>
                  <w:vAlign w:val="center"/>
                </w:tcPr>
                <w:p w14:paraId="1C0520C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78DC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57A6DC7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4379AED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57E68FA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4CB20F7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77EE3C6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2719E57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1947E22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67A47BB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4E46D0B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036D5317">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7.36</w:t>
                  </w:r>
                </w:p>
              </w:tc>
              <w:tc>
                <w:tcPr>
                  <w:tcW w:w="835" w:type="dxa"/>
                  <w:shd w:val="clear" w:color="auto" w:fill="auto"/>
                  <w:noWrap/>
                  <w:vAlign w:val="bottom"/>
                </w:tcPr>
                <w:p w14:paraId="4DD51300">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59.2</w:t>
                  </w:r>
                </w:p>
              </w:tc>
              <w:tc>
                <w:tcPr>
                  <w:tcW w:w="408" w:type="dxa"/>
                  <w:vMerge w:val="continue"/>
                  <w:shd w:val="clear" w:color="auto" w:fill="auto"/>
                  <w:noWrap/>
                  <w:vAlign w:val="center"/>
                </w:tcPr>
                <w:p w14:paraId="1558945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4E7E44C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246FE077">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38.2</w:t>
                  </w:r>
                </w:p>
              </w:tc>
              <w:tc>
                <w:tcPr>
                  <w:tcW w:w="706" w:type="dxa"/>
                  <w:vMerge w:val="continue"/>
                  <w:shd w:val="clear" w:color="auto" w:fill="auto"/>
                  <w:noWrap/>
                  <w:vAlign w:val="center"/>
                </w:tcPr>
                <w:p w14:paraId="12622DD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6E61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restart"/>
                  <w:shd w:val="clear" w:color="auto" w:fill="auto"/>
                  <w:noWrap/>
                  <w:vAlign w:val="center"/>
                </w:tcPr>
                <w:p w14:paraId="5DAD3D7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N2</w:t>
                  </w:r>
                </w:p>
              </w:tc>
              <w:tc>
                <w:tcPr>
                  <w:tcW w:w="361" w:type="dxa"/>
                  <w:vMerge w:val="continue"/>
                  <w:shd w:val="clear" w:color="auto" w:fill="auto"/>
                  <w:noWrap/>
                  <w:vAlign w:val="center"/>
                </w:tcPr>
                <w:p w14:paraId="606461D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restart"/>
                  <w:shd w:val="clear" w:color="auto" w:fill="auto"/>
                  <w:noWrap/>
                  <w:vAlign w:val="center"/>
                </w:tcPr>
                <w:p w14:paraId="5FF8F1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搅拌机2</w:t>
                  </w:r>
                </w:p>
              </w:tc>
              <w:tc>
                <w:tcPr>
                  <w:tcW w:w="389" w:type="dxa"/>
                  <w:vMerge w:val="restart"/>
                  <w:shd w:val="clear" w:color="auto" w:fill="auto"/>
                  <w:noWrap/>
                  <w:vAlign w:val="center"/>
                </w:tcPr>
                <w:p w14:paraId="195F92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restart"/>
                  <w:shd w:val="clear" w:color="auto" w:fill="auto"/>
                  <w:noWrap/>
                  <w:vAlign w:val="center"/>
                </w:tcPr>
                <w:p w14:paraId="5D438C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70</w:t>
                  </w:r>
                </w:p>
              </w:tc>
              <w:tc>
                <w:tcPr>
                  <w:tcW w:w="411" w:type="dxa"/>
                  <w:vMerge w:val="continue"/>
                  <w:shd w:val="clear" w:color="auto" w:fill="auto"/>
                  <w:vAlign w:val="center"/>
                </w:tcPr>
                <w:p w14:paraId="237BAC2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restart"/>
                  <w:shd w:val="clear" w:color="auto" w:fill="auto"/>
                  <w:noWrap/>
                  <w:vAlign w:val="bottom"/>
                </w:tcPr>
                <w:p w14:paraId="04065432">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58.82</w:t>
                  </w:r>
                </w:p>
              </w:tc>
              <w:tc>
                <w:tcPr>
                  <w:tcW w:w="557" w:type="dxa"/>
                  <w:vMerge w:val="restart"/>
                  <w:shd w:val="clear" w:color="auto" w:fill="auto"/>
                  <w:noWrap/>
                  <w:vAlign w:val="bottom"/>
                </w:tcPr>
                <w:p w14:paraId="2F1B0056">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-5.48</w:t>
                  </w:r>
                </w:p>
              </w:tc>
              <w:tc>
                <w:tcPr>
                  <w:tcW w:w="321" w:type="dxa"/>
                  <w:vMerge w:val="restart"/>
                  <w:shd w:val="clear" w:color="auto" w:fill="auto"/>
                  <w:noWrap/>
                  <w:vAlign w:val="bottom"/>
                </w:tcPr>
                <w:p w14:paraId="6D7762F8">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815" w:type="dxa"/>
                  <w:shd w:val="clear" w:color="auto" w:fill="auto"/>
                  <w:noWrap/>
                  <w:vAlign w:val="bottom"/>
                </w:tcPr>
                <w:p w14:paraId="6218A9DB">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26.22</w:t>
                  </w:r>
                </w:p>
              </w:tc>
              <w:tc>
                <w:tcPr>
                  <w:tcW w:w="835" w:type="dxa"/>
                  <w:shd w:val="clear" w:color="auto" w:fill="auto"/>
                  <w:noWrap/>
                  <w:vAlign w:val="bottom"/>
                </w:tcPr>
                <w:p w14:paraId="748D71F3">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59.13</w:t>
                  </w:r>
                </w:p>
              </w:tc>
              <w:tc>
                <w:tcPr>
                  <w:tcW w:w="408" w:type="dxa"/>
                  <w:vMerge w:val="continue"/>
                  <w:shd w:val="clear" w:color="auto" w:fill="auto"/>
                  <w:noWrap/>
                  <w:vAlign w:val="center"/>
                </w:tcPr>
                <w:p w14:paraId="2654013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0AB91B6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1AA81A3B">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38.13</w:t>
                  </w:r>
                </w:p>
              </w:tc>
              <w:tc>
                <w:tcPr>
                  <w:tcW w:w="706" w:type="dxa"/>
                  <w:vMerge w:val="continue"/>
                  <w:shd w:val="clear" w:color="auto" w:fill="auto"/>
                  <w:noWrap/>
                  <w:vAlign w:val="center"/>
                </w:tcPr>
                <w:p w14:paraId="506725A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2F46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6541999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56F30F2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248C302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59DEA59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6517FFF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68D9530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621358C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05A1AAB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2C6F89F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2084270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6.33</w:t>
                  </w:r>
                </w:p>
              </w:tc>
              <w:tc>
                <w:tcPr>
                  <w:tcW w:w="835" w:type="dxa"/>
                  <w:shd w:val="clear" w:color="auto" w:fill="auto"/>
                  <w:noWrap/>
                  <w:vAlign w:val="bottom"/>
                </w:tcPr>
                <w:p w14:paraId="7D5521EE">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59.23</w:t>
                  </w:r>
                </w:p>
              </w:tc>
              <w:tc>
                <w:tcPr>
                  <w:tcW w:w="408" w:type="dxa"/>
                  <w:vMerge w:val="continue"/>
                  <w:shd w:val="clear" w:color="auto" w:fill="auto"/>
                  <w:noWrap/>
                  <w:vAlign w:val="center"/>
                </w:tcPr>
                <w:p w14:paraId="373B11D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74093A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5F1102BE">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38.23</w:t>
                  </w:r>
                </w:p>
              </w:tc>
              <w:tc>
                <w:tcPr>
                  <w:tcW w:w="706" w:type="dxa"/>
                  <w:vMerge w:val="continue"/>
                  <w:shd w:val="clear" w:color="auto" w:fill="auto"/>
                  <w:noWrap/>
                  <w:vAlign w:val="center"/>
                </w:tcPr>
                <w:p w14:paraId="15B3CE5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60B9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1F9B1A1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088EB2B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03434D9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2BB482B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184D7E8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5F0414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74CA598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1474D08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0A04D59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6E412D84">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28.17</w:t>
                  </w:r>
                </w:p>
              </w:tc>
              <w:tc>
                <w:tcPr>
                  <w:tcW w:w="835" w:type="dxa"/>
                  <w:shd w:val="clear" w:color="auto" w:fill="auto"/>
                  <w:noWrap/>
                  <w:vAlign w:val="bottom"/>
                </w:tcPr>
                <w:p w14:paraId="7EFF8129">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59.13</w:t>
                  </w:r>
                </w:p>
              </w:tc>
              <w:tc>
                <w:tcPr>
                  <w:tcW w:w="408" w:type="dxa"/>
                  <w:vMerge w:val="continue"/>
                  <w:shd w:val="clear" w:color="auto" w:fill="auto"/>
                  <w:noWrap/>
                  <w:vAlign w:val="center"/>
                </w:tcPr>
                <w:p w14:paraId="24DD2F3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1D5D5B2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5DF02661">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38.13</w:t>
                  </w:r>
                </w:p>
              </w:tc>
              <w:tc>
                <w:tcPr>
                  <w:tcW w:w="706" w:type="dxa"/>
                  <w:vMerge w:val="continue"/>
                  <w:shd w:val="clear" w:color="auto" w:fill="auto"/>
                  <w:noWrap/>
                  <w:vAlign w:val="center"/>
                </w:tcPr>
                <w:p w14:paraId="7AD32EE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55DA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297DC1D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6D400B2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7FBBBA5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465A7E8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425EE2E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0675A98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65AEA7C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1AF6E9C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7141871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28C66C47">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13.74</w:t>
                  </w:r>
                </w:p>
              </w:tc>
              <w:tc>
                <w:tcPr>
                  <w:tcW w:w="835" w:type="dxa"/>
                  <w:shd w:val="clear" w:color="auto" w:fill="auto"/>
                  <w:noWrap/>
                  <w:vAlign w:val="bottom"/>
                </w:tcPr>
                <w:p w14:paraId="0F8FC924">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59.14</w:t>
                  </w:r>
                </w:p>
              </w:tc>
              <w:tc>
                <w:tcPr>
                  <w:tcW w:w="408" w:type="dxa"/>
                  <w:vMerge w:val="continue"/>
                  <w:shd w:val="clear" w:color="auto" w:fill="auto"/>
                  <w:noWrap/>
                  <w:vAlign w:val="center"/>
                </w:tcPr>
                <w:p w14:paraId="5AF491B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18AEC40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025766EF">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38.14</w:t>
                  </w:r>
                </w:p>
              </w:tc>
              <w:tc>
                <w:tcPr>
                  <w:tcW w:w="706" w:type="dxa"/>
                  <w:vMerge w:val="continue"/>
                  <w:shd w:val="clear" w:color="auto" w:fill="auto"/>
                  <w:noWrap/>
                  <w:vAlign w:val="center"/>
                </w:tcPr>
                <w:p w14:paraId="0C73963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1266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restart"/>
                  <w:shd w:val="clear" w:color="auto" w:fill="auto"/>
                  <w:noWrap/>
                  <w:vAlign w:val="center"/>
                </w:tcPr>
                <w:p w14:paraId="755395D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N3</w:t>
                  </w:r>
                </w:p>
              </w:tc>
              <w:tc>
                <w:tcPr>
                  <w:tcW w:w="361" w:type="dxa"/>
                  <w:vMerge w:val="continue"/>
                  <w:shd w:val="clear" w:color="auto" w:fill="auto"/>
                  <w:noWrap/>
                  <w:vAlign w:val="center"/>
                </w:tcPr>
                <w:p w14:paraId="0CE27F2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restart"/>
                  <w:shd w:val="clear" w:color="auto" w:fill="auto"/>
                  <w:noWrap/>
                  <w:vAlign w:val="center"/>
                </w:tcPr>
                <w:p w14:paraId="11F775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粉碎机1</w:t>
                  </w:r>
                </w:p>
              </w:tc>
              <w:tc>
                <w:tcPr>
                  <w:tcW w:w="389" w:type="dxa"/>
                  <w:vMerge w:val="restart"/>
                  <w:shd w:val="clear" w:color="auto" w:fill="auto"/>
                  <w:noWrap/>
                  <w:vAlign w:val="center"/>
                </w:tcPr>
                <w:p w14:paraId="48095A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LHW70</w:t>
                  </w:r>
                </w:p>
              </w:tc>
              <w:tc>
                <w:tcPr>
                  <w:tcW w:w="374" w:type="dxa"/>
                  <w:vMerge w:val="restart"/>
                  <w:shd w:val="clear" w:color="auto" w:fill="auto"/>
                  <w:noWrap/>
                  <w:vAlign w:val="center"/>
                </w:tcPr>
                <w:p w14:paraId="13994B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70</w:t>
                  </w:r>
                </w:p>
              </w:tc>
              <w:tc>
                <w:tcPr>
                  <w:tcW w:w="411" w:type="dxa"/>
                  <w:vMerge w:val="continue"/>
                  <w:shd w:val="clear" w:color="auto" w:fill="auto"/>
                  <w:vAlign w:val="center"/>
                </w:tcPr>
                <w:p w14:paraId="020A0C0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restart"/>
                  <w:shd w:val="clear" w:color="auto" w:fill="auto"/>
                  <w:noWrap/>
                  <w:vAlign w:val="bottom"/>
                </w:tcPr>
                <w:p w14:paraId="3AF9D869">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70.65</w:t>
                  </w:r>
                </w:p>
              </w:tc>
              <w:tc>
                <w:tcPr>
                  <w:tcW w:w="557" w:type="dxa"/>
                  <w:vMerge w:val="restart"/>
                  <w:shd w:val="clear" w:color="auto" w:fill="auto"/>
                  <w:noWrap/>
                  <w:vAlign w:val="bottom"/>
                </w:tcPr>
                <w:p w14:paraId="235F6846">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-0.67</w:t>
                  </w:r>
                </w:p>
              </w:tc>
              <w:tc>
                <w:tcPr>
                  <w:tcW w:w="321" w:type="dxa"/>
                  <w:vMerge w:val="restart"/>
                  <w:shd w:val="clear" w:color="auto" w:fill="auto"/>
                  <w:noWrap/>
                  <w:vAlign w:val="center"/>
                </w:tcPr>
                <w:p w14:paraId="14DC96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815" w:type="dxa"/>
                  <w:shd w:val="clear" w:color="auto" w:fill="auto"/>
                  <w:noWrap/>
                  <w:vAlign w:val="bottom"/>
                </w:tcPr>
                <w:p w14:paraId="7A19FA7B">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36.59</w:t>
                  </w:r>
                </w:p>
              </w:tc>
              <w:tc>
                <w:tcPr>
                  <w:tcW w:w="835" w:type="dxa"/>
                  <w:shd w:val="clear" w:color="auto" w:fill="auto"/>
                  <w:noWrap/>
                  <w:vAlign w:val="bottom"/>
                </w:tcPr>
                <w:p w14:paraId="412AD0DB">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64.12</w:t>
                  </w:r>
                </w:p>
              </w:tc>
              <w:tc>
                <w:tcPr>
                  <w:tcW w:w="408" w:type="dxa"/>
                  <w:vMerge w:val="continue"/>
                  <w:shd w:val="clear" w:color="auto" w:fill="auto"/>
                  <w:noWrap/>
                  <w:vAlign w:val="center"/>
                </w:tcPr>
                <w:p w14:paraId="3D5FEA2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353B0BD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414DD427">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43.12</w:t>
                  </w:r>
                </w:p>
              </w:tc>
              <w:tc>
                <w:tcPr>
                  <w:tcW w:w="706" w:type="dxa"/>
                  <w:vMerge w:val="continue"/>
                  <w:shd w:val="clear" w:color="auto" w:fill="auto"/>
                  <w:noWrap/>
                  <w:vAlign w:val="center"/>
                </w:tcPr>
                <w:p w14:paraId="0F3D3F1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2045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2342ED0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4883B7C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7497BE5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0292BAE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621B25F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28325BD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172DD5E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6470D71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7257A50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40651B9E">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13.22</w:t>
                  </w:r>
                </w:p>
              </w:tc>
              <w:tc>
                <w:tcPr>
                  <w:tcW w:w="835" w:type="dxa"/>
                  <w:shd w:val="clear" w:color="auto" w:fill="auto"/>
                  <w:noWrap/>
                  <w:vAlign w:val="bottom"/>
                </w:tcPr>
                <w:p w14:paraId="70C3E01C">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64.15</w:t>
                  </w:r>
                </w:p>
              </w:tc>
              <w:tc>
                <w:tcPr>
                  <w:tcW w:w="408" w:type="dxa"/>
                  <w:vMerge w:val="continue"/>
                  <w:shd w:val="clear" w:color="auto" w:fill="auto"/>
                  <w:noWrap/>
                  <w:vAlign w:val="center"/>
                </w:tcPr>
                <w:p w14:paraId="5BF7D9A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4FDC2B3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000205F0">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43.15</w:t>
                  </w:r>
                </w:p>
              </w:tc>
              <w:tc>
                <w:tcPr>
                  <w:tcW w:w="706" w:type="dxa"/>
                  <w:vMerge w:val="continue"/>
                  <w:shd w:val="clear" w:color="auto" w:fill="auto"/>
                  <w:noWrap/>
                  <w:vAlign w:val="center"/>
                </w:tcPr>
                <w:p w14:paraId="6A43EE3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3C11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11EC37A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79EB5D7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7CC2E61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69126CC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3E24F7D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7BCAFF0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6E755F8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601F501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3E88394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02E6D44A">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15.48</w:t>
                  </w:r>
                </w:p>
              </w:tc>
              <w:tc>
                <w:tcPr>
                  <w:tcW w:w="835" w:type="dxa"/>
                  <w:shd w:val="clear" w:color="auto" w:fill="auto"/>
                  <w:noWrap/>
                  <w:vAlign w:val="bottom"/>
                </w:tcPr>
                <w:p w14:paraId="7816D4B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64.14</w:t>
                  </w:r>
                </w:p>
              </w:tc>
              <w:tc>
                <w:tcPr>
                  <w:tcW w:w="408" w:type="dxa"/>
                  <w:vMerge w:val="continue"/>
                  <w:shd w:val="clear" w:color="auto" w:fill="auto"/>
                  <w:noWrap/>
                  <w:vAlign w:val="center"/>
                </w:tcPr>
                <w:p w14:paraId="7B45145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34F6131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36C703E0">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43.14</w:t>
                  </w:r>
                </w:p>
              </w:tc>
              <w:tc>
                <w:tcPr>
                  <w:tcW w:w="706" w:type="dxa"/>
                  <w:vMerge w:val="continue"/>
                  <w:shd w:val="clear" w:color="auto" w:fill="auto"/>
                  <w:noWrap/>
                  <w:vAlign w:val="center"/>
                </w:tcPr>
                <w:p w14:paraId="6D9B553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4E89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1B25E1A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4E5D4D6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7F9D562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6081145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1FE61BA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77F80E0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31667E3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52F7F4A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26D5B1A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1CEB2F04">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7.32</w:t>
                  </w:r>
                </w:p>
              </w:tc>
              <w:tc>
                <w:tcPr>
                  <w:tcW w:w="835" w:type="dxa"/>
                  <w:shd w:val="clear" w:color="auto" w:fill="auto"/>
                  <w:noWrap/>
                  <w:vAlign w:val="bottom"/>
                </w:tcPr>
                <w:p w14:paraId="59E9FF51">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64.2</w:t>
                  </w:r>
                </w:p>
              </w:tc>
              <w:tc>
                <w:tcPr>
                  <w:tcW w:w="408" w:type="dxa"/>
                  <w:vMerge w:val="continue"/>
                  <w:shd w:val="clear" w:color="auto" w:fill="auto"/>
                  <w:noWrap/>
                  <w:vAlign w:val="center"/>
                </w:tcPr>
                <w:p w14:paraId="0DFB073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6439A10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4E14F929">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43.2</w:t>
                  </w:r>
                </w:p>
              </w:tc>
              <w:tc>
                <w:tcPr>
                  <w:tcW w:w="706" w:type="dxa"/>
                  <w:vMerge w:val="continue"/>
                  <w:shd w:val="clear" w:color="auto" w:fill="auto"/>
                  <w:noWrap/>
                  <w:vAlign w:val="center"/>
                </w:tcPr>
                <w:p w14:paraId="3986C2F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204A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restart"/>
                  <w:shd w:val="clear" w:color="auto" w:fill="auto"/>
                  <w:noWrap/>
                  <w:vAlign w:val="center"/>
                </w:tcPr>
                <w:p w14:paraId="226F1AA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N4</w:t>
                  </w:r>
                </w:p>
              </w:tc>
              <w:tc>
                <w:tcPr>
                  <w:tcW w:w="361" w:type="dxa"/>
                  <w:vMerge w:val="continue"/>
                  <w:shd w:val="clear" w:color="auto" w:fill="auto"/>
                  <w:noWrap/>
                  <w:vAlign w:val="center"/>
                </w:tcPr>
                <w:p w14:paraId="4D3A2C1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restart"/>
                  <w:shd w:val="clear" w:color="auto" w:fill="auto"/>
                  <w:noWrap/>
                  <w:vAlign w:val="center"/>
                </w:tcPr>
                <w:p w14:paraId="4FEA1A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粉碎机2</w:t>
                  </w:r>
                </w:p>
              </w:tc>
              <w:tc>
                <w:tcPr>
                  <w:tcW w:w="389" w:type="dxa"/>
                  <w:vMerge w:val="restart"/>
                  <w:shd w:val="clear" w:color="auto" w:fill="auto"/>
                  <w:noWrap/>
                  <w:vAlign w:val="center"/>
                </w:tcPr>
                <w:p w14:paraId="740037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LHW70</w:t>
                  </w:r>
                </w:p>
              </w:tc>
              <w:tc>
                <w:tcPr>
                  <w:tcW w:w="374" w:type="dxa"/>
                  <w:vMerge w:val="restart"/>
                  <w:shd w:val="clear" w:color="auto" w:fill="auto"/>
                  <w:noWrap/>
                  <w:vAlign w:val="center"/>
                </w:tcPr>
                <w:p w14:paraId="21C4F5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70</w:t>
                  </w:r>
                </w:p>
              </w:tc>
              <w:tc>
                <w:tcPr>
                  <w:tcW w:w="411" w:type="dxa"/>
                  <w:vMerge w:val="continue"/>
                  <w:shd w:val="clear" w:color="auto" w:fill="auto"/>
                  <w:vAlign w:val="center"/>
                </w:tcPr>
                <w:p w14:paraId="7E3F2AC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restart"/>
                  <w:shd w:val="clear" w:color="auto" w:fill="auto"/>
                  <w:noWrap/>
                  <w:vAlign w:val="bottom"/>
                </w:tcPr>
                <w:p w14:paraId="08EC553B">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70.25</w:t>
                  </w:r>
                </w:p>
              </w:tc>
              <w:tc>
                <w:tcPr>
                  <w:tcW w:w="557" w:type="dxa"/>
                  <w:vMerge w:val="restart"/>
                  <w:shd w:val="clear" w:color="auto" w:fill="auto"/>
                  <w:noWrap/>
                  <w:vAlign w:val="bottom"/>
                </w:tcPr>
                <w:p w14:paraId="6591B3FD">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-6.08</w:t>
                  </w:r>
                </w:p>
              </w:tc>
              <w:tc>
                <w:tcPr>
                  <w:tcW w:w="321" w:type="dxa"/>
                  <w:vMerge w:val="restart"/>
                  <w:shd w:val="clear" w:color="auto" w:fill="auto"/>
                  <w:noWrap/>
                  <w:vAlign w:val="bottom"/>
                </w:tcPr>
                <w:p w14:paraId="25E8B9D9">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815" w:type="dxa"/>
                  <w:shd w:val="clear" w:color="auto" w:fill="auto"/>
                  <w:noWrap/>
                  <w:vAlign w:val="bottom"/>
                </w:tcPr>
                <w:p w14:paraId="323CEE4D">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37.47</w:t>
                  </w:r>
                </w:p>
              </w:tc>
              <w:tc>
                <w:tcPr>
                  <w:tcW w:w="835" w:type="dxa"/>
                  <w:shd w:val="clear" w:color="auto" w:fill="auto"/>
                  <w:noWrap/>
                  <w:vAlign w:val="bottom"/>
                </w:tcPr>
                <w:p w14:paraId="23AC69E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59.12</w:t>
                  </w:r>
                </w:p>
              </w:tc>
              <w:tc>
                <w:tcPr>
                  <w:tcW w:w="408" w:type="dxa"/>
                  <w:vMerge w:val="continue"/>
                  <w:shd w:val="clear" w:color="auto" w:fill="auto"/>
                  <w:noWrap/>
                  <w:vAlign w:val="center"/>
                </w:tcPr>
                <w:p w14:paraId="0384407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7D6688D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5F2707EB">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38.12</w:t>
                  </w:r>
                </w:p>
              </w:tc>
              <w:tc>
                <w:tcPr>
                  <w:tcW w:w="706" w:type="dxa"/>
                  <w:vMerge w:val="continue"/>
                  <w:shd w:val="clear" w:color="auto" w:fill="auto"/>
                  <w:noWrap/>
                  <w:vAlign w:val="center"/>
                </w:tcPr>
                <w:p w14:paraId="0F7AAF5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2683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1B3419C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26A7A4F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6AE5191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2A934A9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0C3ED0F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0C5D928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1F002F8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5AC672C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7A3A715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3FCA468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7.83</w:t>
                  </w:r>
                </w:p>
              </w:tc>
              <w:tc>
                <w:tcPr>
                  <w:tcW w:w="835" w:type="dxa"/>
                  <w:shd w:val="clear" w:color="auto" w:fill="auto"/>
                  <w:noWrap/>
                  <w:vAlign w:val="bottom"/>
                </w:tcPr>
                <w:p w14:paraId="7FBDEA37">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59.19</w:t>
                  </w:r>
                </w:p>
              </w:tc>
              <w:tc>
                <w:tcPr>
                  <w:tcW w:w="408" w:type="dxa"/>
                  <w:vMerge w:val="continue"/>
                  <w:shd w:val="clear" w:color="auto" w:fill="auto"/>
                  <w:noWrap/>
                  <w:vAlign w:val="center"/>
                </w:tcPr>
                <w:p w14:paraId="1371ABF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4C17A70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308D103B">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38.19</w:t>
                  </w:r>
                </w:p>
              </w:tc>
              <w:tc>
                <w:tcPr>
                  <w:tcW w:w="706" w:type="dxa"/>
                  <w:vMerge w:val="continue"/>
                  <w:shd w:val="clear" w:color="auto" w:fill="auto"/>
                  <w:noWrap/>
                  <w:vAlign w:val="center"/>
                </w:tcPr>
                <w:p w14:paraId="7564C65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3168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continue"/>
                  <w:shd w:val="clear" w:color="auto" w:fill="auto"/>
                  <w:noWrap/>
                  <w:vAlign w:val="center"/>
                </w:tcPr>
                <w:p w14:paraId="0F1719D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387E1B2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463E6D9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0FC07BA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03AEFDF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0697D00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493CE48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52D223D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3FBB11D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5E793CF3">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18.43</w:t>
                  </w:r>
                </w:p>
              </w:tc>
              <w:tc>
                <w:tcPr>
                  <w:tcW w:w="835" w:type="dxa"/>
                  <w:shd w:val="clear" w:color="auto" w:fill="auto"/>
                  <w:noWrap/>
                  <w:vAlign w:val="bottom"/>
                </w:tcPr>
                <w:p w14:paraId="070C0980">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59.13</w:t>
                  </w:r>
                </w:p>
              </w:tc>
              <w:tc>
                <w:tcPr>
                  <w:tcW w:w="408" w:type="dxa"/>
                  <w:vMerge w:val="continue"/>
                  <w:shd w:val="clear" w:color="auto" w:fill="auto"/>
                  <w:noWrap/>
                  <w:vAlign w:val="center"/>
                </w:tcPr>
                <w:p w14:paraId="2C570A9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1F2CD88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63C3FC03">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38.13</w:t>
                  </w:r>
                </w:p>
              </w:tc>
              <w:tc>
                <w:tcPr>
                  <w:tcW w:w="706" w:type="dxa"/>
                  <w:vMerge w:val="continue"/>
                  <w:shd w:val="clear" w:color="auto" w:fill="auto"/>
                  <w:noWrap/>
                  <w:vAlign w:val="center"/>
                </w:tcPr>
                <w:p w14:paraId="0F5DEFB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7EF9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16C980E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12FF505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5B21080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6FB3451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4D83867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44B67D5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7A03373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3B97FC3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552BAF4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3A0CE269">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12.73</w:t>
                  </w:r>
                </w:p>
              </w:tc>
              <w:tc>
                <w:tcPr>
                  <w:tcW w:w="835" w:type="dxa"/>
                  <w:shd w:val="clear" w:color="auto" w:fill="auto"/>
                  <w:noWrap/>
                  <w:vAlign w:val="bottom"/>
                </w:tcPr>
                <w:p w14:paraId="7C4E5168">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59.15</w:t>
                  </w:r>
                </w:p>
              </w:tc>
              <w:tc>
                <w:tcPr>
                  <w:tcW w:w="408" w:type="dxa"/>
                  <w:vMerge w:val="continue"/>
                  <w:shd w:val="clear" w:color="auto" w:fill="auto"/>
                  <w:noWrap/>
                  <w:vAlign w:val="center"/>
                </w:tcPr>
                <w:p w14:paraId="295D06E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473DCF6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237DDE57">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38.15</w:t>
                  </w:r>
                </w:p>
              </w:tc>
              <w:tc>
                <w:tcPr>
                  <w:tcW w:w="706" w:type="dxa"/>
                  <w:vMerge w:val="continue"/>
                  <w:shd w:val="clear" w:color="auto" w:fill="auto"/>
                  <w:noWrap/>
                  <w:vAlign w:val="center"/>
                </w:tcPr>
                <w:p w14:paraId="532B903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2502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1" w:type="dxa"/>
                  <w:vMerge w:val="restart"/>
                  <w:shd w:val="clear" w:color="auto" w:fill="auto"/>
                  <w:noWrap/>
                  <w:vAlign w:val="center"/>
                </w:tcPr>
                <w:p w14:paraId="3406ACA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N5</w:t>
                  </w:r>
                </w:p>
              </w:tc>
              <w:tc>
                <w:tcPr>
                  <w:tcW w:w="361" w:type="dxa"/>
                  <w:vMerge w:val="continue"/>
                  <w:shd w:val="clear" w:color="auto" w:fill="auto"/>
                  <w:noWrap/>
                  <w:vAlign w:val="center"/>
                </w:tcPr>
                <w:p w14:paraId="5B79254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restart"/>
                  <w:shd w:val="clear" w:color="auto" w:fill="auto"/>
                  <w:noWrap/>
                  <w:vAlign w:val="center"/>
                </w:tcPr>
                <w:p w14:paraId="7C8C4A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粉碎机3</w:t>
                  </w:r>
                </w:p>
              </w:tc>
              <w:tc>
                <w:tcPr>
                  <w:tcW w:w="389" w:type="dxa"/>
                  <w:vMerge w:val="restart"/>
                  <w:shd w:val="clear" w:color="auto" w:fill="auto"/>
                  <w:noWrap/>
                  <w:vAlign w:val="center"/>
                </w:tcPr>
                <w:p w14:paraId="43FC00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374" w:type="dxa"/>
                  <w:vMerge w:val="restart"/>
                  <w:shd w:val="clear" w:color="auto" w:fill="auto"/>
                  <w:noWrap/>
                  <w:vAlign w:val="center"/>
                </w:tcPr>
                <w:p w14:paraId="65DB74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w:t>
                  </w:r>
                </w:p>
              </w:tc>
              <w:tc>
                <w:tcPr>
                  <w:tcW w:w="411" w:type="dxa"/>
                  <w:vMerge w:val="continue"/>
                  <w:shd w:val="clear" w:color="auto" w:fill="auto"/>
                  <w:vAlign w:val="center"/>
                </w:tcPr>
                <w:p w14:paraId="1AE7069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restart"/>
                  <w:shd w:val="clear" w:color="auto" w:fill="auto"/>
                  <w:noWrap/>
                  <w:vAlign w:val="bottom"/>
                </w:tcPr>
                <w:p w14:paraId="7A4AE74A">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65.04</w:t>
                  </w:r>
                </w:p>
              </w:tc>
              <w:tc>
                <w:tcPr>
                  <w:tcW w:w="557" w:type="dxa"/>
                  <w:vMerge w:val="restart"/>
                  <w:shd w:val="clear" w:color="auto" w:fill="auto"/>
                  <w:noWrap/>
                  <w:vAlign w:val="bottom"/>
                </w:tcPr>
                <w:p w14:paraId="7AFAC6F7">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0.14</w:t>
                  </w:r>
                </w:p>
              </w:tc>
              <w:tc>
                <w:tcPr>
                  <w:tcW w:w="321" w:type="dxa"/>
                  <w:vMerge w:val="restart"/>
                  <w:shd w:val="clear" w:color="auto" w:fill="auto"/>
                  <w:noWrap/>
                  <w:vAlign w:val="bottom"/>
                </w:tcPr>
                <w:p w14:paraId="4CC53C28">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815" w:type="dxa"/>
                  <w:shd w:val="clear" w:color="auto" w:fill="auto"/>
                  <w:noWrap/>
                  <w:vAlign w:val="bottom"/>
                </w:tcPr>
                <w:p w14:paraId="260C92FD">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30.95</w:t>
                  </w:r>
                </w:p>
              </w:tc>
              <w:tc>
                <w:tcPr>
                  <w:tcW w:w="835" w:type="dxa"/>
                  <w:shd w:val="clear" w:color="auto" w:fill="auto"/>
                  <w:noWrap/>
                  <w:vAlign w:val="bottom"/>
                </w:tcPr>
                <w:p w14:paraId="7060E9EC">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59.13</w:t>
                  </w:r>
                </w:p>
              </w:tc>
              <w:tc>
                <w:tcPr>
                  <w:tcW w:w="408" w:type="dxa"/>
                  <w:vMerge w:val="continue"/>
                  <w:shd w:val="clear" w:color="auto" w:fill="auto"/>
                  <w:noWrap/>
                  <w:vAlign w:val="center"/>
                </w:tcPr>
                <w:p w14:paraId="7342B4B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1AE085C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13202617">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38.13</w:t>
                  </w:r>
                </w:p>
              </w:tc>
              <w:tc>
                <w:tcPr>
                  <w:tcW w:w="706" w:type="dxa"/>
                  <w:vMerge w:val="continue"/>
                  <w:shd w:val="clear" w:color="auto" w:fill="auto"/>
                  <w:noWrap/>
                  <w:vAlign w:val="center"/>
                </w:tcPr>
                <w:p w14:paraId="302B1F9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633D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61" w:type="dxa"/>
                  <w:vMerge w:val="continue"/>
                  <w:shd w:val="clear" w:color="auto" w:fill="auto"/>
                  <w:noWrap/>
                  <w:vAlign w:val="center"/>
                </w:tcPr>
                <w:p w14:paraId="2AC6434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14467B5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5B7D9B1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35A636E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1FEC2C6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3228432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789ADC7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12821DC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7E80612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4A0DD12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12.99</w:t>
                  </w:r>
                </w:p>
              </w:tc>
              <w:tc>
                <w:tcPr>
                  <w:tcW w:w="835" w:type="dxa"/>
                  <w:shd w:val="clear" w:color="auto" w:fill="auto"/>
                  <w:noWrap/>
                  <w:vAlign w:val="bottom"/>
                </w:tcPr>
                <w:p w14:paraId="5924BD96">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59.15</w:t>
                  </w:r>
                </w:p>
              </w:tc>
              <w:tc>
                <w:tcPr>
                  <w:tcW w:w="408" w:type="dxa"/>
                  <w:vMerge w:val="continue"/>
                  <w:shd w:val="clear" w:color="auto" w:fill="auto"/>
                  <w:noWrap/>
                  <w:vAlign w:val="center"/>
                </w:tcPr>
                <w:p w14:paraId="7EAC9B8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7C48EC8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0598C0ED">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38.15</w:t>
                  </w:r>
                </w:p>
              </w:tc>
              <w:tc>
                <w:tcPr>
                  <w:tcW w:w="706" w:type="dxa"/>
                  <w:vMerge w:val="continue"/>
                  <w:shd w:val="clear" w:color="auto" w:fill="auto"/>
                  <w:noWrap/>
                  <w:vAlign w:val="center"/>
                </w:tcPr>
                <w:p w14:paraId="681FD4C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30BA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61" w:type="dxa"/>
                  <w:vMerge w:val="continue"/>
                  <w:shd w:val="clear" w:color="auto" w:fill="auto"/>
                  <w:noWrap/>
                  <w:vAlign w:val="center"/>
                </w:tcPr>
                <w:p w14:paraId="2B7FACE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69F24B1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3A11C63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3E8D20A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24F421B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3BD6D1A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20C3A8F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4DAE2B3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2CEA651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04BE698E">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20.02</w:t>
                  </w:r>
                </w:p>
              </w:tc>
              <w:tc>
                <w:tcPr>
                  <w:tcW w:w="835" w:type="dxa"/>
                  <w:shd w:val="clear" w:color="auto" w:fill="auto"/>
                  <w:noWrap/>
                  <w:vAlign w:val="bottom"/>
                </w:tcPr>
                <w:p w14:paraId="329D17D8">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59.13</w:t>
                  </w:r>
                </w:p>
              </w:tc>
              <w:tc>
                <w:tcPr>
                  <w:tcW w:w="408" w:type="dxa"/>
                  <w:vMerge w:val="continue"/>
                  <w:shd w:val="clear" w:color="auto" w:fill="auto"/>
                  <w:noWrap/>
                  <w:vAlign w:val="center"/>
                </w:tcPr>
                <w:p w14:paraId="5574D23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0A86DF6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07C98583">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38.13</w:t>
                  </w:r>
                </w:p>
              </w:tc>
              <w:tc>
                <w:tcPr>
                  <w:tcW w:w="706" w:type="dxa"/>
                  <w:vMerge w:val="continue"/>
                  <w:shd w:val="clear" w:color="auto" w:fill="auto"/>
                  <w:noWrap/>
                  <w:vAlign w:val="center"/>
                </w:tcPr>
                <w:p w14:paraId="20231B0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1653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61" w:type="dxa"/>
                  <w:vMerge w:val="continue"/>
                  <w:shd w:val="clear" w:color="auto" w:fill="auto"/>
                  <w:noWrap/>
                  <w:vAlign w:val="center"/>
                </w:tcPr>
                <w:p w14:paraId="5FDCFEE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2056907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4CC3CE9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029AFF8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1AF8920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4FCB43A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24DF40C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07A24A5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6926B7F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1EB63FE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7.3</w:t>
                  </w:r>
                </w:p>
              </w:tc>
              <w:tc>
                <w:tcPr>
                  <w:tcW w:w="835" w:type="dxa"/>
                  <w:shd w:val="clear" w:color="auto" w:fill="auto"/>
                  <w:noWrap/>
                  <w:vAlign w:val="bottom"/>
                </w:tcPr>
                <w:p w14:paraId="628E35B3">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59.2</w:t>
                  </w:r>
                </w:p>
              </w:tc>
              <w:tc>
                <w:tcPr>
                  <w:tcW w:w="408" w:type="dxa"/>
                  <w:vMerge w:val="continue"/>
                  <w:shd w:val="clear" w:color="auto" w:fill="auto"/>
                  <w:noWrap/>
                  <w:vAlign w:val="center"/>
                </w:tcPr>
                <w:p w14:paraId="6320539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3E12FAD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6BD4522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38.2</w:t>
                  </w:r>
                </w:p>
              </w:tc>
              <w:tc>
                <w:tcPr>
                  <w:tcW w:w="706" w:type="dxa"/>
                  <w:vMerge w:val="continue"/>
                  <w:shd w:val="clear" w:color="auto" w:fill="auto"/>
                  <w:noWrap/>
                  <w:vAlign w:val="center"/>
                </w:tcPr>
                <w:p w14:paraId="24AAAE0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2422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restart"/>
                  <w:shd w:val="clear" w:color="auto" w:fill="auto"/>
                  <w:noWrap/>
                  <w:vAlign w:val="center"/>
                </w:tcPr>
                <w:p w14:paraId="287570D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N6</w:t>
                  </w:r>
                </w:p>
              </w:tc>
              <w:tc>
                <w:tcPr>
                  <w:tcW w:w="361" w:type="dxa"/>
                  <w:vMerge w:val="continue"/>
                  <w:shd w:val="clear" w:color="auto" w:fill="auto"/>
                  <w:noWrap/>
                  <w:vAlign w:val="center"/>
                </w:tcPr>
                <w:p w14:paraId="71D89CD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restart"/>
                  <w:shd w:val="clear" w:color="auto" w:fill="auto"/>
                  <w:noWrap/>
                  <w:vAlign w:val="center"/>
                </w:tcPr>
                <w:p w14:paraId="55649BF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给料机1</w:t>
                  </w:r>
                </w:p>
              </w:tc>
              <w:tc>
                <w:tcPr>
                  <w:tcW w:w="389" w:type="dxa"/>
                  <w:vMerge w:val="restart"/>
                  <w:shd w:val="clear" w:color="auto" w:fill="auto"/>
                  <w:noWrap/>
                  <w:vAlign w:val="center"/>
                </w:tcPr>
                <w:p w14:paraId="5360536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374" w:type="dxa"/>
                  <w:vMerge w:val="restart"/>
                  <w:shd w:val="clear" w:color="auto" w:fill="auto"/>
                  <w:noWrap/>
                  <w:vAlign w:val="center"/>
                </w:tcPr>
                <w:p w14:paraId="6B84D6F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75</w:t>
                  </w:r>
                </w:p>
              </w:tc>
              <w:tc>
                <w:tcPr>
                  <w:tcW w:w="411" w:type="dxa"/>
                  <w:vMerge w:val="continue"/>
                  <w:shd w:val="clear" w:color="auto" w:fill="auto"/>
                  <w:vAlign w:val="center"/>
                </w:tcPr>
                <w:p w14:paraId="39F8612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restart"/>
                  <w:shd w:val="clear" w:color="auto" w:fill="auto"/>
                  <w:noWrap/>
                  <w:vAlign w:val="bottom"/>
                </w:tcPr>
                <w:p w14:paraId="4C472C49">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80.68</w:t>
                  </w:r>
                </w:p>
              </w:tc>
              <w:tc>
                <w:tcPr>
                  <w:tcW w:w="557" w:type="dxa"/>
                  <w:vMerge w:val="restart"/>
                  <w:shd w:val="clear" w:color="auto" w:fill="auto"/>
                  <w:noWrap/>
                  <w:vAlign w:val="bottom"/>
                </w:tcPr>
                <w:p w14:paraId="22BEB592">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-1.47</w:t>
                  </w:r>
                </w:p>
              </w:tc>
              <w:tc>
                <w:tcPr>
                  <w:tcW w:w="321" w:type="dxa"/>
                  <w:vMerge w:val="restart"/>
                  <w:shd w:val="clear" w:color="auto" w:fill="auto"/>
                  <w:noWrap/>
                  <w:vAlign w:val="center"/>
                </w:tcPr>
                <w:p w14:paraId="590B213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1</w:t>
                  </w:r>
                </w:p>
              </w:tc>
              <w:tc>
                <w:tcPr>
                  <w:tcW w:w="815" w:type="dxa"/>
                  <w:shd w:val="clear" w:color="auto" w:fill="auto"/>
                  <w:noWrap/>
                  <w:vAlign w:val="bottom"/>
                </w:tcPr>
                <w:p w14:paraId="30C0CB13">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46.53</w:t>
                  </w:r>
                </w:p>
              </w:tc>
              <w:tc>
                <w:tcPr>
                  <w:tcW w:w="835" w:type="dxa"/>
                  <w:shd w:val="clear" w:color="auto" w:fill="auto"/>
                  <w:noWrap/>
                  <w:vAlign w:val="bottom"/>
                </w:tcPr>
                <w:p w14:paraId="0C055D8D">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59.12</w:t>
                  </w:r>
                </w:p>
              </w:tc>
              <w:tc>
                <w:tcPr>
                  <w:tcW w:w="408" w:type="dxa"/>
                  <w:vMerge w:val="continue"/>
                  <w:shd w:val="clear" w:color="auto" w:fill="auto"/>
                  <w:noWrap/>
                  <w:vAlign w:val="center"/>
                </w:tcPr>
                <w:p w14:paraId="09BDD06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0ABAB1D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17BE1614">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38.12</w:t>
                  </w:r>
                </w:p>
              </w:tc>
              <w:tc>
                <w:tcPr>
                  <w:tcW w:w="706" w:type="dxa"/>
                  <w:vMerge w:val="continue"/>
                  <w:shd w:val="clear" w:color="auto" w:fill="auto"/>
                  <w:noWrap/>
                  <w:vAlign w:val="center"/>
                </w:tcPr>
                <w:p w14:paraId="0C24C7D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42F5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7F84643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16FC9A2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21AE0B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4180A60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7058AA0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6D0E211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673C9C9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6F93B25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325BD85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4744F5D0">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14.26</w:t>
                  </w:r>
                </w:p>
              </w:tc>
              <w:tc>
                <w:tcPr>
                  <w:tcW w:w="835" w:type="dxa"/>
                  <w:shd w:val="clear" w:color="auto" w:fill="auto"/>
                  <w:noWrap/>
                  <w:vAlign w:val="bottom"/>
                </w:tcPr>
                <w:p w14:paraId="695E85F9">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59.14</w:t>
                  </w:r>
                </w:p>
              </w:tc>
              <w:tc>
                <w:tcPr>
                  <w:tcW w:w="408" w:type="dxa"/>
                  <w:vMerge w:val="continue"/>
                  <w:shd w:val="clear" w:color="auto" w:fill="auto"/>
                  <w:noWrap/>
                  <w:vAlign w:val="center"/>
                </w:tcPr>
                <w:p w14:paraId="1E64313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63B2FFA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38690550">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38.14</w:t>
                  </w:r>
                </w:p>
              </w:tc>
              <w:tc>
                <w:tcPr>
                  <w:tcW w:w="706" w:type="dxa"/>
                  <w:vMerge w:val="continue"/>
                  <w:shd w:val="clear" w:color="auto" w:fill="auto"/>
                  <w:noWrap/>
                  <w:vAlign w:val="center"/>
                </w:tcPr>
                <w:p w14:paraId="76ADD6D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6AD7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22D2BA1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31F33FC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6AAFE24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11FCE16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3194764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4970C25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72E3502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36950B4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0EA4DBB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43EBD9D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7.07</w:t>
                  </w:r>
                </w:p>
              </w:tc>
              <w:tc>
                <w:tcPr>
                  <w:tcW w:w="835" w:type="dxa"/>
                  <w:shd w:val="clear" w:color="auto" w:fill="auto"/>
                  <w:noWrap/>
                  <w:vAlign w:val="bottom"/>
                </w:tcPr>
                <w:p w14:paraId="664AF592">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59.21</w:t>
                  </w:r>
                </w:p>
              </w:tc>
              <w:tc>
                <w:tcPr>
                  <w:tcW w:w="408" w:type="dxa"/>
                  <w:vMerge w:val="continue"/>
                  <w:shd w:val="clear" w:color="auto" w:fill="auto"/>
                  <w:noWrap/>
                  <w:vAlign w:val="center"/>
                </w:tcPr>
                <w:p w14:paraId="2505F86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190C1AC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70438D53">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38.21</w:t>
                  </w:r>
                </w:p>
              </w:tc>
              <w:tc>
                <w:tcPr>
                  <w:tcW w:w="706" w:type="dxa"/>
                  <w:vMerge w:val="continue"/>
                  <w:shd w:val="clear" w:color="auto" w:fill="auto"/>
                  <w:noWrap/>
                  <w:vAlign w:val="center"/>
                </w:tcPr>
                <w:p w14:paraId="7D634F4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5C33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0056FBC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6287DCB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p>
              </w:tc>
              <w:tc>
                <w:tcPr>
                  <w:tcW w:w="432" w:type="dxa"/>
                  <w:vMerge w:val="continue"/>
                  <w:shd w:val="clear" w:color="auto" w:fill="auto"/>
                  <w:noWrap/>
                  <w:vAlign w:val="center"/>
                </w:tcPr>
                <w:p w14:paraId="4F8F100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1A6B2A3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05B8779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466935D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383293C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435663A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37FA0E7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36FADA92">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6.7</w:t>
                  </w:r>
                </w:p>
              </w:tc>
              <w:tc>
                <w:tcPr>
                  <w:tcW w:w="835" w:type="dxa"/>
                  <w:shd w:val="clear" w:color="auto" w:fill="auto"/>
                  <w:noWrap/>
                  <w:vAlign w:val="bottom"/>
                </w:tcPr>
                <w:p w14:paraId="52E837E2">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59.21</w:t>
                  </w:r>
                </w:p>
              </w:tc>
              <w:tc>
                <w:tcPr>
                  <w:tcW w:w="408" w:type="dxa"/>
                  <w:vMerge w:val="continue"/>
                  <w:shd w:val="clear" w:color="auto" w:fill="auto"/>
                  <w:noWrap/>
                  <w:vAlign w:val="center"/>
                </w:tcPr>
                <w:p w14:paraId="7D0BE71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1D031F3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284E58FD">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38.21</w:t>
                  </w:r>
                </w:p>
              </w:tc>
              <w:tc>
                <w:tcPr>
                  <w:tcW w:w="706" w:type="dxa"/>
                  <w:vMerge w:val="continue"/>
                  <w:shd w:val="clear" w:color="auto" w:fill="auto"/>
                  <w:noWrap/>
                  <w:vAlign w:val="center"/>
                </w:tcPr>
                <w:p w14:paraId="148AF2D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0A11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restart"/>
                  <w:shd w:val="clear" w:color="auto" w:fill="auto"/>
                  <w:noWrap/>
                  <w:vAlign w:val="center"/>
                </w:tcPr>
                <w:p w14:paraId="0EAB4A0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N7</w:t>
                  </w:r>
                </w:p>
              </w:tc>
              <w:tc>
                <w:tcPr>
                  <w:tcW w:w="361" w:type="dxa"/>
                  <w:vMerge w:val="continue"/>
                  <w:shd w:val="clear" w:color="auto" w:fill="auto"/>
                  <w:noWrap/>
                  <w:vAlign w:val="center"/>
                </w:tcPr>
                <w:p w14:paraId="1CDE79C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restart"/>
                  <w:shd w:val="clear" w:color="auto" w:fill="auto"/>
                  <w:noWrap/>
                  <w:vAlign w:val="center"/>
                </w:tcPr>
                <w:p w14:paraId="3BF8DB1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给料机2</w:t>
                  </w:r>
                </w:p>
              </w:tc>
              <w:tc>
                <w:tcPr>
                  <w:tcW w:w="389" w:type="dxa"/>
                  <w:vMerge w:val="restart"/>
                  <w:shd w:val="clear" w:color="auto" w:fill="auto"/>
                  <w:noWrap/>
                  <w:vAlign w:val="center"/>
                </w:tcPr>
                <w:p w14:paraId="406E626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374" w:type="dxa"/>
                  <w:vMerge w:val="restart"/>
                  <w:shd w:val="clear" w:color="auto" w:fill="auto"/>
                  <w:noWrap/>
                  <w:vAlign w:val="center"/>
                </w:tcPr>
                <w:p w14:paraId="4E9E4A1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75</w:t>
                  </w:r>
                </w:p>
              </w:tc>
              <w:tc>
                <w:tcPr>
                  <w:tcW w:w="411" w:type="dxa"/>
                  <w:vMerge w:val="continue"/>
                  <w:shd w:val="clear" w:color="auto" w:fill="auto"/>
                  <w:vAlign w:val="center"/>
                </w:tcPr>
                <w:p w14:paraId="14DD837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restart"/>
                  <w:shd w:val="clear" w:color="auto" w:fill="auto"/>
                  <w:noWrap/>
                  <w:vAlign w:val="bottom"/>
                </w:tcPr>
                <w:p w14:paraId="3A1DE22C">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80.68</w:t>
                  </w:r>
                </w:p>
              </w:tc>
              <w:tc>
                <w:tcPr>
                  <w:tcW w:w="557" w:type="dxa"/>
                  <w:vMerge w:val="restart"/>
                  <w:shd w:val="clear" w:color="auto" w:fill="auto"/>
                  <w:noWrap/>
                  <w:vAlign w:val="bottom"/>
                </w:tcPr>
                <w:p w14:paraId="31135016">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-7.28</w:t>
                  </w:r>
                </w:p>
              </w:tc>
              <w:tc>
                <w:tcPr>
                  <w:tcW w:w="321" w:type="dxa"/>
                  <w:vMerge w:val="restart"/>
                  <w:shd w:val="clear" w:color="auto" w:fill="auto"/>
                  <w:noWrap/>
                  <w:vAlign w:val="center"/>
                </w:tcPr>
                <w:p w14:paraId="3C17D51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1</w:t>
                  </w:r>
                </w:p>
              </w:tc>
              <w:tc>
                <w:tcPr>
                  <w:tcW w:w="815" w:type="dxa"/>
                  <w:shd w:val="clear" w:color="auto" w:fill="auto"/>
                  <w:noWrap/>
                  <w:vAlign w:val="bottom"/>
                </w:tcPr>
                <w:p w14:paraId="53F76222">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47.89</w:t>
                  </w:r>
                </w:p>
              </w:tc>
              <w:tc>
                <w:tcPr>
                  <w:tcW w:w="835" w:type="dxa"/>
                  <w:shd w:val="clear" w:color="auto" w:fill="auto"/>
                  <w:noWrap/>
                  <w:vAlign w:val="bottom"/>
                </w:tcPr>
                <w:p w14:paraId="28CBF0C7">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59.12</w:t>
                  </w:r>
                </w:p>
              </w:tc>
              <w:tc>
                <w:tcPr>
                  <w:tcW w:w="408" w:type="dxa"/>
                  <w:vMerge w:val="continue"/>
                  <w:shd w:val="clear" w:color="auto" w:fill="auto"/>
                  <w:noWrap/>
                  <w:vAlign w:val="center"/>
                </w:tcPr>
                <w:p w14:paraId="5FBEB8E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0CDBB1F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1E0B5E82">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38.12</w:t>
                  </w:r>
                </w:p>
              </w:tc>
              <w:tc>
                <w:tcPr>
                  <w:tcW w:w="706" w:type="dxa"/>
                  <w:vMerge w:val="continue"/>
                  <w:shd w:val="clear" w:color="auto" w:fill="auto"/>
                  <w:noWrap/>
                  <w:vAlign w:val="center"/>
                </w:tcPr>
                <w:p w14:paraId="598EE72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63CC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3CB12F6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3DD49AF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369AB11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3BD6B42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557196B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34E8096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142F77A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623B510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65E96BD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55BDE48C">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8.55</w:t>
                  </w:r>
                </w:p>
              </w:tc>
              <w:tc>
                <w:tcPr>
                  <w:tcW w:w="835" w:type="dxa"/>
                  <w:shd w:val="clear" w:color="auto" w:fill="auto"/>
                  <w:noWrap/>
                  <w:vAlign w:val="bottom"/>
                </w:tcPr>
                <w:p w14:paraId="69379621">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59.18</w:t>
                  </w:r>
                </w:p>
              </w:tc>
              <w:tc>
                <w:tcPr>
                  <w:tcW w:w="408" w:type="dxa"/>
                  <w:vMerge w:val="continue"/>
                  <w:shd w:val="clear" w:color="auto" w:fill="auto"/>
                  <w:noWrap/>
                  <w:vAlign w:val="center"/>
                </w:tcPr>
                <w:p w14:paraId="3E9B540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1A162D0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5DE0B60D">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38.18</w:t>
                  </w:r>
                </w:p>
              </w:tc>
              <w:tc>
                <w:tcPr>
                  <w:tcW w:w="706" w:type="dxa"/>
                  <w:vMerge w:val="continue"/>
                  <w:shd w:val="clear" w:color="auto" w:fill="auto"/>
                  <w:noWrap/>
                  <w:vAlign w:val="center"/>
                </w:tcPr>
                <w:p w14:paraId="21F6D18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26F9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1F1ACDF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562B191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15B5C06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05649CA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72A985C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1427FE4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273DA02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05B49AE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1BBFDEA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57C16E0B">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9.85</w:t>
                  </w:r>
                </w:p>
              </w:tc>
              <w:tc>
                <w:tcPr>
                  <w:tcW w:w="835" w:type="dxa"/>
                  <w:shd w:val="clear" w:color="auto" w:fill="auto"/>
                  <w:noWrap/>
                  <w:vAlign w:val="bottom"/>
                </w:tcPr>
                <w:p w14:paraId="7071A2CD">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59.16</w:t>
                  </w:r>
                </w:p>
              </w:tc>
              <w:tc>
                <w:tcPr>
                  <w:tcW w:w="408" w:type="dxa"/>
                  <w:vMerge w:val="continue"/>
                  <w:shd w:val="clear" w:color="auto" w:fill="auto"/>
                  <w:noWrap/>
                  <w:vAlign w:val="center"/>
                </w:tcPr>
                <w:p w14:paraId="653C6B0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12DE46A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359F0B2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38.16</w:t>
                  </w:r>
                </w:p>
              </w:tc>
              <w:tc>
                <w:tcPr>
                  <w:tcW w:w="706" w:type="dxa"/>
                  <w:vMerge w:val="continue"/>
                  <w:shd w:val="clear" w:color="auto" w:fill="auto"/>
                  <w:noWrap/>
                  <w:vAlign w:val="center"/>
                </w:tcPr>
                <w:p w14:paraId="75DA812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42EA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dxa"/>
                  <w:vMerge w:val="continue"/>
                  <w:shd w:val="clear" w:color="auto" w:fill="auto"/>
                  <w:noWrap/>
                  <w:vAlign w:val="center"/>
                </w:tcPr>
                <w:p w14:paraId="2123F13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61" w:type="dxa"/>
                  <w:vMerge w:val="continue"/>
                  <w:shd w:val="clear" w:color="auto" w:fill="auto"/>
                  <w:noWrap/>
                  <w:vAlign w:val="center"/>
                </w:tcPr>
                <w:p w14:paraId="6444848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32" w:type="dxa"/>
                  <w:vMerge w:val="continue"/>
                  <w:shd w:val="clear" w:color="auto" w:fill="auto"/>
                  <w:noWrap/>
                  <w:vAlign w:val="center"/>
                </w:tcPr>
                <w:p w14:paraId="098D7D7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89" w:type="dxa"/>
                  <w:vMerge w:val="continue"/>
                  <w:shd w:val="clear" w:color="auto" w:fill="auto"/>
                  <w:noWrap/>
                  <w:vAlign w:val="center"/>
                </w:tcPr>
                <w:p w14:paraId="75F39DA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74" w:type="dxa"/>
                  <w:vMerge w:val="continue"/>
                  <w:shd w:val="clear" w:color="auto" w:fill="auto"/>
                  <w:noWrap/>
                  <w:vAlign w:val="center"/>
                </w:tcPr>
                <w:p w14:paraId="21F0BAB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411" w:type="dxa"/>
                  <w:vMerge w:val="continue"/>
                  <w:shd w:val="clear" w:color="auto" w:fill="auto"/>
                  <w:vAlign w:val="center"/>
                </w:tcPr>
                <w:p w14:paraId="0EFEE29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shd w:val="clear" w:color="auto" w:fill="auto"/>
                  <w:noWrap/>
                  <w:vAlign w:val="center"/>
                </w:tcPr>
                <w:p w14:paraId="7D704CB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557" w:type="dxa"/>
                  <w:vMerge w:val="continue"/>
                  <w:shd w:val="clear" w:color="auto" w:fill="auto"/>
                  <w:noWrap/>
                  <w:vAlign w:val="center"/>
                </w:tcPr>
                <w:p w14:paraId="4C083C9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321" w:type="dxa"/>
                  <w:vMerge w:val="continue"/>
                  <w:shd w:val="clear" w:color="auto" w:fill="auto"/>
                  <w:noWrap/>
                  <w:vAlign w:val="center"/>
                </w:tcPr>
                <w:p w14:paraId="167DD4D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5" w:type="dxa"/>
                  <w:shd w:val="clear" w:color="auto" w:fill="auto"/>
                  <w:noWrap/>
                  <w:vAlign w:val="bottom"/>
                </w:tcPr>
                <w:p w14:paraId="5E0CCC9E">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12.45</w:t>
                  </w:r>
                </w:p>
              </w:tc>
              <w:tc>
                <w:tcPr>
                  <w:tcW w:w="835" w:type="dxa"/>
                  <w:shd w:val="clear" w:color="auto" w:fill="auto"/>
                  <w:noWrap/>
                  <w:vAlign w:val="bottom"/>
                </w:tcPr>
                <w:p w14:paraId="075A11F5">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59.15</w:t>
                  </w:r>
                </w:p>
              </w:tc>
              <w:tc>
                <w:tcPr>
                  <w:tcW w:w="408" w:type="dxa"/>
                  <w:vMerge w:val="continue"/>
                  <w:shd w:val="clear" w:color="auto" w:fill="auto"/>
                  <w:noWrap/>
                  <w:vAlign w:val="center"/>
                </w:tcPr>
                <w:p w14:paraId="1FFE64F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1" w:type="dxa"/>
                  <w:vMerge w:val="continue"/>
                  <w:shd w:val="clear" w:color="auto" w:fill="auto"/>
                  <w:noWrap/>
                  <w:vAlign w:val="center"/>
                </w:tcPr>
                <w:p w14:paraId="4619430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29" w:type="dxa"/>
                  <w:shd w:val="clear" w:color="auto" w:fill="auto"/>
                  <w:noWrap/>
                  <w:vAlign w:val="bottom"/>
                </w:tcPr>
                <w:p w14:paraId="3DCA4C96">
                  <w:pPr>
                    <w:keepNext w:val="0"/>
                    <w:keepLines w:val="0"/>
                    <w:widowControl/>
                    <w:suppressLineNumbers w:val="0"/>
                    <w:spacing w:before="0" w:beforeAutospacing="0" w:after="0" w:afterAutospacing="0"/>
                    <w:ind w:left="0" w:right="0"/>
                    <w:jc w:val="right"/>
                    <w:textAlignment w:val="bottom"/>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38.15</w:t>
                  </w:r>
                </w:p>
              </w:tc>
              <w:tc>
                <w:tcPr>
                  <w:tcW w:w="706" w:type="dxa"/>
                  <w:vMerge w:val="continue"/>
                  <w:shd w:val="clear" w:color="auto" w:fill="auto"/>
                  <w:noWrap/>
                  <w:vAlign w:val="center"/>
                </w:tcPr>
                <w:p w14:paraId="20EF10F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bl>
          <w:p w14:paraId="06F70F3B">
            <w:pPr>
              <w:keepNext w:val="0"/>
              <w:keepLines w:val="0"/>
              <w:suppressLineNumbers w:val="0"/>
              <w:spacing w:before="0" w:beforeAutospacing="0" w:after="0" w:afterAutospacing="0"/>
              <w:ind w:left="0" w:right="0"/>
              <w:jc w:val="center"/>
              <w:rPr>
                <w:rFonts w:hint="eastAsia"/>
                <w:b/>
                <w:color w:val="000000" w:themeColor="text1"/>
                <w:kern w:val="0"/>
                <w:sz w:val="18"/>
                <w:szCs w:val="18"/>
                <w:highlight w:val="none"/>
                <w14:textFill>
                  <w14:solidFill>
                    <w14:schemeClr w14:val="tx1"/>
                  </w14:solidFill>
                </w14:textFill>
              </w:rPr>
            </w:pPr>
          </w:p>
          <w:p w14:paraId="79F5B65E">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2）预测模式</w:t>
            </w:r>
          </w:p>
          <w:p w14:paraId="5FF91DEA">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根据《环境影响评价技术导则</w:t>
            </w:r>
            <w:r>
              <w:rPr>
                <w:rFonts w:hint="eastAsia"/>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-声环境》（HJ2.4-2021）推荐的工业噪声预测计算模式。</w:t>
            </w:r>
          </w:p>
          <w:p w14:paraId="545ADB68">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①室内声源</w:t>
            </w:r>
            <w:r>
              <w:rPr>
                <w:rFonts w:hint="eastAsia"/>
                <w:color w:val="000000" w:themeColor="text1"/>
                <w:sz w:val="24"/>
                <w:szCs w:val="20"/>
                <w:highlight w:val="none"/>
                <w14:textFill>
                  <w14:solidFill>
                    <w14:schemeClr w14:val="tx1"/>
                  </w14:solidFill>
                </w14:textFill>
              </w:rPr>
              <w:t>等效室外声源声功率级计算方法</w:t>
            </w:r>
          </w:p>
          <w:p w14:paraId="4AD557A1">
            <w:pPr>
              <w:keepNext w:val="0"/>
              <w:keepLines w:val="0"/>
              <w:suppressLineNumbers w:val="0"/>
              <w:spacing w:before="0" w:beforeAutospacing="0" w:after="0" w:afterAutospacing="0" w:line="360" w:lineRule="auto"/>
              <w:ind w:left="602" w:right="0"/>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计算出某个室内声源靠近围护结构处的声压级：</w:t>
            </w:r>
          </w:p>
          <w:p w14:paraId="79F06F20">
            <w:pPr>
              <w:keepNext w:val="0"/>
              <w:keepLines w:val="0"/>
              <w:suppressLineNumbers w:val="0"/>
              <w:spacing w:before="0" w:beforeAutospacing="0" w:after="0" w:afterAutospacing="0" w:line="360" w:lineRule="auto"/>
              <w:ind w:left="607" w:right="0"/>
              <w:jc w:val="center"/>
              <w:rPr>
                <w:rFonts w:hint="default" w:cs="宋体"/>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drawing>
                <wp:inline distT="0" distB="0" distL="114300" distR="114300">
                  <wp:extent cx="2099945" cy="535940"/>
                  <wp:effectExtent l="0" t="0" r="14605" b="16510"/>
                  <wp:docPr id="4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2"/>
                          <pic:cNvPicPr>
                            <a:picLocks noChangeAspect="1"/>
                          </pic:cNvPicPr>
                        </pic:nvPicPr>
                        <pic:blipFill>
                          <a:blip r:embed="rId23"/>
                          <a:stretch>
                            <a:fillRect/>
                          </a:stretch>
                        </pic:blipFill>
                        <pic:spPr>
                          <a:xfrm>
                            <a:off x="0" y="0"/>
                            <a:ext cx="2099945" cy="535940"/>
                          </a:xfrm>
                          <a:prstGeom prst="rect">
                            <a:avLst/>
                          </a:prstGeom>
                          <a:noFill/>
                          <a:ln>
                            <a:noFill/>
                          </a:ln>
                        </pic:spPr>
                      </pic:pic>
                    </a:graphicData>
                  </a:graphic>
                </wp:inline>
              </w:drawing>
            </w:r>
          </w:p>
          <w:p w14:paraId="0C83E101">
            <w:pPr>
              <w:keepNext w:val="0"/>
              <w:keepLines w:val="0"/>
              <w:suppressLineNumbers w:val="0"/>
              <w:spacing w:before="0" w:beforeAutospacing="0" w:after="0" w:afterAutospacing="0" w:line="360" w:lineRule="auto"/>
              <w:ind w:left="607" w:right="0"/>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式中：</w:t>
            </w:r>
            <w:r>
              <w:rPr>
                <w:rFonts w:hint="default"/>
                <w:i/>
                <w:iCs/>
                <w:color w:val="000000" w:themeColor="text1"/>
                <w:sz w:val="24"/>
                <w:szCs w:val="20"/>
                <w:highlight w:val="none"/>
                <w14:textFill>
                  <w14:solidFill>
                    <w14:schemeClr w14:val="tx1"/>
                  </w14:solidFill>
                </w14:textFill>
              </w:rPr>
              <w:t>L</w:t>
            </w:r>
            <w:r>
              <w:rPr>
                <w:rFonts w:hint="default"/>
                <w:i/>
                <w:iCs/>
                <w:color w:val="000000" w:themeColor="text1"/>
                <w:sz w:val="24"/>
                <w:szCs w:val="20"/>
                <w:highlight w:val="none"/>
                <w:vertAlign w:val="subscript"/>
                <w14:textFill>
                  <w14:solidFill>
                    <w14:schemeClr w14:val="tx1"/>
                  </w14:solidFill>
                </w14:textFill>
              </w:rPr>
              <w:t>p1</w:t>
            </w:r>
            <w:r>
              <w:rPr>
                <w:rFonts w:hint="default"/>
                <w:color w:val="000000" w:themeColor="text1"/>
                <w:sz w:val="24"/>
                <w:szCs w:val="20"/>
                <w:highlight w:val="none"/>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某个室内声源靠近</w:t>
            </w:r>
            <w:r>
              <w:rPr>
                <w:rFonts w:hint="eastAsia" w:cs="宋体"/>
                <w:color w:val="000000" w:themeColor="text1"/>
                <w:sz w:val="24"/>
                <w:szCs w:val="20"/>
                <w:highlight w:val="none"/>
                <w:lang w:eastAsia="zh-CN"/>
                <w14:textFill>
                  <w14:solidFill>
                    <w14:schemeClr w14:val="tx1"/>
                  </w14:solidFill>
                </w14:textFill>
              </w:rPr>
              <w:t>围护结构</w:t>
            </w:r>
            <w:r>
              <w:rPr>
                <w:rFonts w:hint="default" w:cs="宋体"/>
                <w:color w:val="000000" w:themeColor="text1"/>
                <w:sz w:val="24"/>
                <w:szCs w:val="20"/>
                <w:highlight w:val="none"/>
                <w14:textFill>
                  <w14:solidFill>
                    <w14:schemeClr w14:val="tx1"/>
                  </w14:solidFill>
                </w14:textFill>
              </w:rPr>
              <w:t>处的声压级。</w:t>
            </w:r>
          </w:p>
          <w:p w14:paraId="24E4BEB5">
            <w:pPr>
              <w:keepNext w:val="0"/>
              <w:keepLines w:val="0"/>
              <w:suppressLineNumbers w:val="0"/>
              <w:spacing w:before="0" w:beforeAutospacing="0" w:after="0" w:afterAutospacing="0" w:line="360" w:lineRule="auto"/>
              <w:ind w:left="1318" w:right="0"/>
              <w:rPr>
                <w:rFonts w:hint="default" w:cs="宋体"/>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L</w:t>
            </w:r>
            <w:r>
              <w:rPr>
                <w:rFonts w:hint="default"/>
                <w:color w:val="000000" w:themeColor="text1"/>
                <w:sz w:val="24"/>
                <w:szCs w:val="20"/>
                <w:highlight w:val="none"/>
                <w:vertAlign w:val="subscript"/>
                <w14:textFill>
                  <w14:solidFill>
                    <w14:schemeClr w14:val="tx1"/>
                  </w14:solidFill>
                </w14:textFill>
              </w:rPr>
              <w:t>w</w:t>
            </w:r>
            <w:r>
              <w:rPr>
                <w:rFonts w:hint="default"/>
                <w:color w:val="000000" w:themeColor="text1"/>
                <w:sz w:val="24"/>
                <w:szCs w:val="20"/>
                <w:highlight w:val="none"/>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某个室内声源靠近</w:t>
            </w:r>
            <w:r>
              <w:rPr>
                <w:rFonts w:hint="eastAsia" w:cs="宋体"/>
                <w:color w:val="000000" w:themeColor="text1"/>
                <w:sz w:val="24"/>
                <w:szCs w:val="20"/>
                <w:highlight w:val="none"/>
                <w:lang w:eastAsia="zh-CN"/>
                <w14:textFill>
                  <w14:solidFill>
                    <w14:schemeClr w14:val="tx1"/>
                  </w14:solidFill>
                </w14:textFill>
              </w:rPr>
              <w:t>围护结构</w:t>
            </w:r>
            <w:r>
              <w:rPr>
                <w:rFonts w:hint="default" w:cs="宋体"/>
                <w:color w:val="000000" w:themeColor="text1"/>
                <w:sz w:val="24"/>
                <w:szCs w:val="20"/>
                <w:highlight w:val="none"/>
                <w14:textFill>
                  <w14:solidFill>
                    <w14:schemeClr w14:val="tx1"/>
                  </w14:solidFill>
                </w14:textFill>
              </w:rPr>
              <w:t>处产生的声功率级。</w:t>
            </w:r>
          </w:p>
          <w:p w14:paraId="46B5F8A6">
            <w:pPr>
              <w:keepNext w:val="0"/>
              <w:keepLines w:val="0"/>
              <w:suppressLineNumbers w:val="0"/>
              <w:spacing w:before="0" w:beforeAutospacing="0" w:after="0" w:afterAutospacing="0" w:line="360" w:lineRule="auto"/>
              <w:ind w:left="134" w:right="45" w:firstLine="1187"/>
              <w:rPr>
                <w:rFonts w:hint="eastAsia"/>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Q—</w:t>
            </w:r>
            <w:r>
              <w:rPr>
                <w:rFonts w:hint="default" w:cs="宋体"/>
                <w:color w:val="000000" w:themeColor="text1"/>
                <w:sz w:val="24"/>
                <w:szCs w:val="20"/>
                <w:highlight w:val="none"/>
                <w14:textFill>
                  <w14:solidFill>
                    <w14:schemeClr w14:val="tx1"/>
                  </w14:solidFill>
                </w14:textFill>
              </w:rPr>
              <w:t>指向性因数；通常对无指向性声源，当声源放在房间中心时，</w:t>
            </w:r>
            <w:r>
              <w:rPr>
                <w:rFonts w:hint="default"/>
                <w:color w:val="000000" w:themeColor="text1"/>
                <w:sz w:val="24"/>
                <w:szCs w:val="20"/>
                <w:highlight w:val="none"/>
                <w14:textFill>
                  <w14:solidFill>
                    <w14:schemeClr w14:val="tx1"/>
                  </w14:solidFill>
                </w14:textFill>
              </w:rPr>
              <w:t>Q=1</w:t>
            </w:r>
            <w:r>
              <w:rPr>
                <w:rFonts w:hint="default" w:cs="宋体"/>
                <w:color w:val="000000" w:themeColor="text1"/>
                <w:sz w:val="24"/>
                <w:szCs w:val="20"/>
                <w:highlight w:val="none"/>
                <w14:textFill>
                  <w14:solidFill>
                    <w14:schemeClr w14:val="tx1"/>
                  </w14:solidFill>
                </w14:textFill>
              </w:rPr>
              <w:t>；当放在一面墙的中心时，</w:t>
            </w:r>
            <w:r>
              <w:rPr>
                <w:rFonts w:hint="default"/>
                <w:color w:val="000000" w:themeColor="text1"/>
                <w:sz w:val="24"/>
                <w:szCs w:val="20"/>
                <w:highlight w:val="none"/>
                <w14:textFill>
                  <w14:solidFill>
                    <w14:schemeClr w14:val="tx1"/>
                  </w14:solidFill>
                </w14:textFill>
              </w:rPr>
              <w:t>Q=2</w:t>
            </w:r>
            <w:r>
              <w:rPr>
                <w:rFonts w:hint="default" w:cs="宋体"/>
                <w:color w:val="000000" w:themeColor="text1"/>
                <w:sz w:val="24"/>
                <w:szCs w:val="20"/>
                <w:highlight w:val="none"/>
                <w14:textFill>
                  <w14:solidFill>
                    <w14:schemeClr w14:val="tx1"/>
                  </w14:solidFill>
                </w14:textFill>
              </w:rPr>
              <w:t>；当放在两面墙夹角处时，</w:t>
            </w:r>
            <w:r>
              <w:rPr>
                <w:rFonts w:hint="default"/>
                <w:color w:val="000000" w:themeColor="text1"/>
                <w:sz w:val="24"/>
                <w:szCs w:val="20"/>
                <w:highlight w:val="none"/>
                <w14:textFill>
                  <w14:solidFill>
                    <w14:schemeClr w14:val="tx1"/>
                  </w14:solidFill>
                </w14:textFill>
              </w:rPr>
              <w:t>Q=4</w:t>
            </w:r>
            <w:r>
              <w:rPr>
                <w:rFonts w:hint="default" w:cs="宋体"/>
                <w:color w:val="000000" w:themeColor="text1"/>
                <w:sz w:val="24"/>
                <w:szCs w:val="20"/>
                <w:highlight w:val="none"/>
                <w14:textFill>
                  <w14:solidFill>
                    <w14:schemeClr w14:val="tx1"/>
                  </w14:solidFill>
                </w14:textFill>
              </w:rPr>
              <w:t>；当放在三面墙夹角处时，</w:t>
            </w:r>
            <w:r>
              <w:rPr>
                <w:rFonts w:hint="default"/>
                <w:color w:val="000000" w:themeColor="text1"/>
                <w:sz w:val="24"/>
                <w:szCs w:val="20"/>
                <w:highlight w:val="none"/>
                <w14:textFill>
                  <w14:solidFill>
                    <w14:schemeClr w14:val="tx1"/>
                  </w14:solidFill>
                </w14:textFill>
              </w:rPr>
              <w:t>Q=8</w:t>
            </w:r>
            <w:r>
              <w:rPr>
                <w:rFonts w:hint="default" w:cs="宋体"/>
                <w:color w:val="000000" w:themeColor="text1"/>
                <w:sz w:val="24"/>
                <w:szCs w:val="20"/>
                <w:highlight w:val="none"/>
                <w14:textFill>
                  <w14:solidFill>
                    <w14:schemeClr w14:val="tx1"/>
                  </w14:solidFill>
                </w14:textFill>
              </w:rPr>
              <w:t>。</w:t>
            </w:r>
          </w:p>
          <w:p w14:paraId="458244E8">
            <w:pPr>
              <w:keepNext w:val="0"/>
              <w:keepLines w:val="0"/>
              <w:suppressLineNumbers w:val="0"/>
              <w:spacing w:before="0" w:beforeAutospacing="0" w:after="0" w:afterAutospacing="0" w:line="360" w:lineRule="auto"/>
              <w:ind w:left="0" w:right="99"/>
              <w:jc w:val="right"/>
              <w:rPr>
                <w:rFonts w:hint="eastAsia"/>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R—</w:t>
            </w:r>
            <w:r>
              <w:rPr>
                <w:rFonts w:hint="default" w:cs="宋体"/>
                <w:color w:val="000000" w:themeColor="text1"/>
                <w:sz w:val="24"/>
                <w:szCs w:val="20"/>
                <w:highlight w:val="none"/>
                <w14:textFill>
                  <w14:solidFill>
                    <w14:schemeClr w14:val="tx1"/>
                  </w14:solidFill>
                </w14:textFill>
              </w:rPr>
              <w:t>房间常数；</w:t>
            </w:r>
            <w:r>
              <w:rPr>
                <w:rFonts w:hint="default"/>
                <w:color w:val="000000" w:themeColor="text1"/>
                <w:sz w:val="24"/>
                <w:szCs w:val="20"/>
                <w:highlight w:val="none"/>
                <w14:textFill>
                  <w14:solidFill>
                    <w14:schemeClr w14:val="tx1"/>
                  </w14:solidFill>
                </w14:textFill>
              </w:rPr>
              <w:t>R=Sa/</w:t>
            </w:r>
            <w:r>
              <w:rPr>
                <w:rFonts w:hint="eastAsia" w:cs="宋体"/>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1-a</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S</w:t>
            </w:r>
            <w:r>
              <w:rPr>
                <w:rFonts w:hint="default" w:cs="宋体"/>
                <w:color w:val="000000" w:themeColor="text1"/>
                <w:sz w:val="24"/>
                <w:szCs w:val="20"/>
                <w:highlight w:val="none"/>
                <w14:textFill>
                  <w14:solidFill>
                    <w14:schemeClr w14:val="tx1"/>
                  </w14:solidFill>
                </w14:textFill>
              </w:rPr>
              <w:t>为房间内表面面积，</w:t>
            </w:r>
            <w:r>
              <w:rPr>
                <w:rFonts w:hint="eastAsia"/>
                <w:color w:val="000000" w:themeColor="text1"/>
                <w:sz w:val="24"/>
                <w:szCs w:val="20"/>
                <w:highlight w:val="none"/>
                <w14:textFill>
                  <w14:solidFill>
                    <w14:schemeClr w14:val="tx1"/>
                  </w14:solidFill>
                </w14:textFill>
              </w:rPr>
              <w:t>m</w:t>
            </w:r>
            <w:r>
              <w:rPr>
                <w:rFonts w:hint="eastAsia"/>
                <w:color w:val="000000" w:themeColor="text1"/>
                <w:sz w:val="24"/>
                <w:szCs w:val="20"/>
                <w:highlight w:val="none"/>
                <w:vertAlign w:val="superscript"/>
                <w14:textFill>
                  <w14:solidFill>
                    <w14:schemeClr w14:val="tx1"/>
                  </w14:solidFill>
                </w14:textFill>
              </w:rPr>
              <w:t>2</w:t>
            </w:r>
            <w:r>
              <w:rPr>
                <w:rFonts w:hint="default" w:cs="宋体"/>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a</w:t>
            </w:r>
            <w:r>
              <w:rPr>
                <w:rFonts w:hint="default" w:cs="宋体"/>
                <w:color w:val="000000" w:themeColor="text1"/>
                <w:sz w:val="24"/>
                <w:szCs w:val="20"/>
                <w:highlight w:val="none"/>
                <w14:textFill>
                  <w14:solidFill>
                    <w14:schemeClr w14:val="tx1"/>
                  </w14:solidFill>
                </w14:textFill>
              </w:rPr>
              <w:t>为平均吸</w:t>
            </w:r>
          </w:p>
          <w:p w14:paraId="4340B266">
            <w:pPr>
              <w:keepNext w:val="0"/>
              <w:keepLines w:val="0"/>
              <w:suppressLineNumbers w:val="0"/>
              <w:spacing w:before="0" w:beforeAutospacing="0" w:after="0" w:afterAutospacing="0" w:line="360" w:lineRule="auto"/>
              <w:ind w:left="0" w:right="0"/>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声系数，本评价</w:t>
            </w:r>
            <w:r>
              <w:rPr>
                <w:rFonts w:hint="default"/>
                <w:color w:val="000000" w:themeColor="text1"/>
                <w:sz w:val="24"/>
                <w:szCs w:val="20"/>
                <w:highlight w:val="none"/>
                <w14:textFill>
                  <w14:solidFill>
                    <w14:schemeClr w14:val="tx1"/>
                  </w14:solidFill>
                </w14:textFill>
              </w:rPr>
              <w:t>a</w:t>
            </w:r>
            <w:r>
              <w:rPr>
                <w:rFonts w:hint="default" w:cs="宋体"/>
                <w:color w:val="000000" w:themeColor="text1"/>
                <w:sz w:val="24"/>
                <w:szCs w:val="20"/>
                <w:highlight w:val="none"/>
                <w14:textFill>
                  <w14:solidFill>
                    <w14:schemeClr w14:val="tx1"/>
                  </w14:solidFill>
                </w14:textFill>
              </w:rPr>
              <w:t>取</w:t>
            </w:r>
            <w:r>
              <w:rPr>
                <w:rFonts w:hint="default"/>
                <w:color w:val="000000" w:themeColor="text1"/>
                <w:sz w:val="24"/>
                <w:szCs w:val="20"/>
                <w:highlight w:val="none"/>
                <w14:textFill>
                  <w14:solidFill>
                    <w14:schemeClr w14:val="tx1"/>
                  </w14:solidFill>
                </w14:textFill>
              </w:rPr>
              <w:t>0.15</w:t>
            </w:r>
            <w:r>
              <w:rPr>
                <w:rFonts w:hint="default" w:cs="宋体"/>
                <w:color w:val="000000" w:themeColor="text1"/>
                <w:sz w:val="24"/>
                <w:szCs w:val="20"/>
                <w:highlight w:val="none"/>
                <w14:textFill>
                  <w14:solidFill>
                    <w14:schemeClr w14:val="tx1"/>
                  </w14:solidFill>
                </w14:textFill>
              </w:rPr>
              <w:t>。</w:t>
            </w:r>
          </w:p>
          <w:p w14:paraId="3EAFAD26">
            <w:pPr>
              <w:keepNext w:val="0"/>
              <w:keepLines w:val="0"/>
              <w:suppressLineNumbers w:val="0"/>
              <w:spacing w:before="0" w:beforeAutospacing="0" w:after="0" w:afterAutospacing="0" w:line="360" w:lineRule="auto"/>
              <w:ind w:left="1193" w:right="0"/>
              <w:rPr>
                <w:rFonts w:hint="default" w:cs="宋体"/>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R—</w:t>
            </w:r>
            <w:r>
              <w:rPr>
                <w:rFonts w:hint="default" w:cs="宋体"/>
                <w:color w:val="000000" w:themeColor="text1"/>
                <w:sz w:val="24"/>
                <w:szCs w:val="20"/>
                <w:highlight w:val="none"/>
                <w14:textFill>
                  <w14:solidFill>
                    <w14:schemeClr w14:val="tx1"/>
                  </w14:solidFill>
                </w14:textFill>
              </w:rPr>
              <w:t>声源到靠近围护结构某点处的距离，</w:t>
            </w:r>
            <w:r>
              <w:rPr>
                <w:rFonts w:hint="default"/>
                <w:color w:val="000000" w:themeColor="text1"/>
                <w:sz w:val="24"/>
                <w:szCs w:val="20"/>
                <w:highlight w:val="none"/>
                <w14:textFill>
                  <w14:solidFill>
                    <w14:schemeClr w14:val="tx1"/>
                  </w14:solidFill>
                </w14:textFill>
              </w:rPr>
              <w:t>m</w:t>
            </w:r>
            <w:r>
              <w:rPr>
                <w:rFonts w:hint="default" w:cs="宋体"/>
                <w:color w:val="000000" w:themeColor="text1"/>
                <w:sz w:val="24"/>
                <w:szCs w:val="20"/>
                <w:highlight w:val="none"/>
                <w14:textFill>
                  <w14:solidFill>
                    <w14:schemeClr w14:val="tx1"/>
                  </w14:solidFill>
                </w14:textFill>
              </w:rPr>
              <w:t>。</w:t>
            </w:r>
          </w:p>
          <w:p w14:paraId="04678F5B">
            <w:pPr>
              <w:keepNext w:val="0"/>
              <w:keepLines w:val="0"/>
              <w:suppressLineNumbers w:val="0"/>
              <w:spacing w:before="0" w:beforeAutospacing="0" w:after="0" w:afterAutospacing="0" w:line="360" w:lineRule="auto"/>
              <w:ind w:left="479" w:right="0"/>
              <w:rPr>
                <w:rFonts w:hint="default"/>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计算出所有室内声源在靠近围护结构处产生的总声压级：</w:t>
            </w:r>
          </w:p>
          <w:p w14:paraId="7D9DF0E3">
            <w:pPr>
              <w:keepNext w:val="0"/>
              <w:keepLines w:val="0"/>
              <w:suppressLineNumbers w:val="0"/>
              <w:spacing w:before="0" w:beforeAutospacing="0" w:after="0" w:afterAutospacing="0" w:line="360" w:lineRule="auto"/>
              <w:ind w:left="483" w:right="0"/>
              <w:jc w:val="center"/>
              <w:rPr>
                <w:rFonts w:hint="default" w:cs="宋体"/>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drawing>
                <wp:inline distT="0" distB="0" distL="114300" distR="114300">
                  <wp:extent cx="1943100" cy="481965"/>
                  <wp:effectExtent l="0" t="0" r="0" b="13335"/>
                  <wp:docPr id="4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3"/>
                          <pic:cNvPicPr>
                            <a:picLocks noChangeAspect="1"/>
                          </pic:cNvPicPr>
                        </pic:nvPicPr>
                        <pic:blipFill>
                          <a:blip r:embed="rId24"/>
                          <a:stretch>
                            <a:fillRect/>
                          </a:stretch>
                        </pic:blipFill>
                        <pic:spPr>
                          <a:xfrm>
                            <a:off x="0" y="0"/>
                            <a:ext cx="1943100" cy="481965"/>
                          </a:xfrm>
                          <a:prstGeom prst="rect">
                            <a:avLst/>
                          </a:prstGeom>
                          <a:noFill/>
                          <a:ln>
                            <a:noFill/>
                          </a:ln>
                        </pic:spPr>
                      </pic:pic>
                    </a:graphicData>
                  </a:graphic>
                </wp:inline>
              </w:drawing>
            </w:r>
          </w:p>
          <w:p w14:paraId="499078A5">
            <w:pPr>
              <w:keepNext w:val="0"/>
              <w:keepLines w:val="0"/>
              <w:suppressLineNumbers w:val="0"/>
              <w:spacing w:before="0" w:beforeAutospacing="0" w:after="0" w:afterAutospacing="0" w:line="360" w:lineRule="auto"/>
              <w:ind w:left="483" w:right="0"/>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式中：</w:t>
            </w:r>
            <w:r>
              <w:rPr>
                <w:rFonts w:hint="default"/>
                <w:color w:val="000000" w:themeColor="text1"/>
                <w:sz w:val="24"/>
                <w:szCs w:val="20"/>
                <w:highlight w:val="none"/>
                <w14:textFill>
                  <w14:solidFill>
                    <w14:schemeClr w14:val="tx1"/>
                  </w14:solidFill>
                </w14:textFill>
              </w:rPr>
              <w:t>L</w:t>
            </w:r>
            <w:r>
              <w:rPr>
                <w:rFonts w:hint="default"/>
                <w:color w:val="000000" w:themeColor="text1"/>
                <w:sz w:val="24"/>
                <w:szCs w:val="20"/>
                <w:highlight w:val="none"/>
                <w:vertAlign w:val="subscript"/>
                <w14:textFill>
                  <w14:solidFill>
                    <w14:schemeClr w14:val="tx1"/>
                  </w14:solidFill>
                </w14:textFill>
              </w:rPr>
              <w:t>p1j</w:t>
            </w:r>
            <w:r>
              <w:rPr>
                <w:rFonts w:hint="default"/>
                <w:color w:val="000000" w:themeColor="text1"/>
                <w:sz w:val="24"/>
                <w:szCs w:val="20"/>
                <w:highlight w:val="none"/>
                <w14:textFill>
                  <w14:solidFill>
                    <w14:schemeClr w14:val="tx1"/>
                  </w14:solidFill>
                </w14:textFill>
              </w:rPr>
              <w:t>—j</w:t>
            </w:r>
            <w:r>
              <w:rPr>
                <w:rFonts w:hint="default" w:cs="宋体"/>
                <w:color w:val="000000" w:themeColor="text1"/>
                <w:sz w:val="24"/>
                <w:szCs w:val="20"/>
                <w:highlight w:val="none"/>
                <w14:textFill>
                  <w14:solidFill>
                    <w14:schemeClr w14:val="tx1"/>
                  </w14:solidFill>
                </w14:textFill>
              </w:rPr>
              <w:t>声源的声压级，</w:t>
            </w:r>
            <w:r>
              <w:rPr>
                <w:rFonts w:hint="default"/>
                <w:color w:val="000000" w:themeColor="text1"/>
                <w:sz w:val="24"/>
                <w:szCs w:val="20"/>
                <w:highlight w:val="none"/>
                <w14:textFill>
                  <w14:solidFill>
                    <w14:schemeClr w14:val="tx1"/>
                  </w14:solidFill>
                </w14:textFill>
              </w:rPr>
              <w:t>dB</w:t>
            </w:r>
            <w:r>
              <w:rPr>
                <w:rFonts w:hint="eastAsia" w:cs="宋体"/>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A</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w:t>
            </w:r>
            <w:r>
              <w:rPr>
                <w:rFonts w:hint="default"/>
                <w:color w:val="000000" w:themeColor="text1"/>
                <w:sz w:val="24"/>
                <w:szCs w:val="20"/>
                <w:highlight w:val="none"/>
                <w14:textFill>
                  <w14:solidFill>
                    <w14:schemeClr w14:val="tx1"/>
                  </w14:solidFill>
                </w14:textFill>
              </w:rPr>
              <w:t>N—</w:t>
            </w:r>
            <w:r>
              <w:rPr>
                <w:rFonts w:hint="default" w:cs="宋体"/>
                <w:color w:val="000000" w:themeColor="text1"/>
                <w:sz w:val="24"/>
                <w:szCs w:val="20"/>
                <w:highlight w:val="none"/>
                <w14:textFill>
                  <w14:solidFill>
                    <w14:schemeClr w14:val="tx1"/>
                  </w14:solidFill>
                </w14:textFill>
              </w:rPr>
              <w:t>室内声源总数。</w:t>
            </w:r>
          </w:p>
          <w:p w14:paraId="15782476">
            <w:pPr>
              <w:keepNext w:val="0"/>
              <w:keepLines w:val="0"/>
              <w:suppressLineNumbers w:val="0"/>
              <w:spacing w:before="0" w:beforeAutospacing="0" w:after="0" w:afterAutospacing="0" w:line="360" w:lineRule="auto"/>
              <w:ind w:left="479" w:right="411" w:firstLine="715"/>
              <w:rPr>
                <w:rFonts w:hint="default" w:cs="宋体"/>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L</w:t>
            </w:r>
            <w:r>
              <w:rPr>
                <w:rFonts w:hint="default"/>
                <w:color w:val="000000" w:themeColor="text1"/>
                <w:sz w:val="24"/>
                <w:szCs w:val="20"/>
                <w:highlight w:val="none"/>
                <w:vertAlign w:val="subscript"/>
                <w14:textFill>
                  <w14:solidFill>
                    <w14:schemeClr w14:val="tx1"/>
                  </w14:solidFill>
                </w14:textFill>
              </w:rPr>
              <w:t>p1</w:t>
            </w:r>
            <w:r>
              <w:rPr>
                <w:rFonts w:hint="eastAsia" w:cs="宋体"/>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T</w:t>
            </w:r>
            <w:r>
              <w:rPr>
                <w:rFonts w:hint="eastAsia" w:cs="宋体"/>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靠近围护结构处室内</w:t>
            </w:r>
            <w:r>
              <w:rPr>
                <w:rFonts w:hint="default"/>
                <w:color w:val="000000" w:themeColor="text1"/>
                <w:sz w:val="24"/>
                <w:szCs w:val="20"/>
                <w:highlight w:val="none"/>
                <w14:textFill>
                  <w14:solidFill>
                    <w14:schemeClr w14:val="tx1"/>
                  </w14:solidFill>
                </w14:textFill>
              </w:rPr>
              <w:t>N</w:t>
            </w:r>
            <w:r>
              <w:rPr>
                <w:rFonts w:hint="default" w:cs="宋体"/>
                <w:color w:val="000000" w:themeColor="text1"/>
                <w:sz w:val="24"/>
                <w:szCs w:val="20"/>
                <w:highlight w:val="none"/>
                <w14:textFill>
                  <w14:solidFill>
                    <w14:schemeClr w14:val="tx1"/>
                  </w14:solidFill>
                </w14:textFill>
              </w:rPr>
              <w:t>个声源的叠加声压级，</w:t>
            </w:r>
            <w:r>
              <w:rPr>
                <w:rFonts w:hint="default"/>
                <w:color w:val="000000" w:themeColor="text1"/>
                <w:sz w:val="24"/>
                <w:szCs w:val="20"/>
                <w:highlight w:val="none"/>
                <w14:textFill>
                  <w14:solidFill>
                    <w14:schemeClr w14:val="tx1"/>
                  </w14:solidFill>
                </w14:textFill>
              </w:rPr>
              <w:t>dB</w:t>
            </w:r>
            <w:r>
              <w:rPr>
                <w:rFonts w:hint="eastAsia" w:cs="宋体"/>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A</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；计算出室外靠近围护结构处的声压级：</w:t>
            </w:r>
          </w:p>
          <w:p w14:paraId="33B68202">
            <w:pPr>
              <w:keepNext w:val="0"/>
              <w:keepLines w:val="0"/>
              <w:suppressLineNumbers w:val="0"/>
              <w:spacing w:before="0" w:beforeAutospacing="0" w:after="0" w:afterAutospacing="0" w:line="360" w:lineRule="auto"/>
              <w:ind w:left="0" w:right="0"/>
              <w:jc w:val="center"/>
              <w:rPr>
                <w:rFonts w:hint="default" w:cs="宋体"/>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drawing>
                <wp:inline distT="0" distB="0" distL="114300" distR="114300">
                  <wp:extent cx="1697355" cy="421005"/>
                  <wp:effectExtent l="0" t="0" r="17145" b="17145"/>
                  <wp:docPr id="3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4"/>
                          <pic:cNvPicPr>
                            <a:picLocks noChangeAspect="1"/>
                          </pic:cNvPicPr>
                        </pic:nvPicPr>
                        <pic:blipFill>
                          <a:blip r:embed="rId25"/>
                          <a:stretch>
                            <a:fillRect/>
                          </a:stretch>
                        </pic:blipFill>
                        <pic:spPr>
                          <a:xfrm>
                            <a:off x="0" y="0"/>
                            <a:ext cx="1697355" cy="421005"/>
                          </a:xfrm>
                          <a:prstGeom prst="rect">
                            <a:avLst/>
                          </a:prstGeom>
                          <a:noFill/>
                          <a:ln>
                            <a:noFill/>
                          </a:ln>
                        </pic:spPr>
                      </pic:pic>
                    </a:graphicData>
                  </a:graphic>
                </wp:inline>
              </w:drawing>
            </w:r>
          </w:p>
          <w:p w14:paraId="3DDA2BDC">
            <w:pPr>
              <w:keepNext w:val="0"/>
              <w:keepLines w:val="0"/>
              <w:suppressLineNumbers w:val="0"/>
              <w:spacing w:before="0" w:beforeAutospacing="0" w:after="0" w:afterAutospacing="0" w:line="360" w:lineRule="auto"/>
              <w:ind w:left="483" w:right="0"/>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式中：</w:t>
            </w:r>
            <w:r>
              <w:rPr>
                <w:rFonts w:hint="default"/>
                <w:color w:val="000000" w:themeColor="text1"/>
                <w:sz w:val="24"/>
                <w:szCs w:val="20"/>
                <w:highlight w:val="none"/>
                <w14:textFill>
                  <w14:solidFill>
                    <w14:schemeClr w14:val="tx1"/>
                  </w14:solidFill>
                </w14:textFill>
              </w:rPr>
              <w:t>L</w:t>
            </w:r>
            <w:r>
              <w:rPr>
                <w:rFonts w:hint="default"/>
                <w:color w:val="000000" w:themeColor="text1"/>
                <w:sz w:val="24"/>
                <w:szCs w:val="20"/>
                <w:highlight w:val="none"/>
                <w:vertAlign w:val="subscript"/>
                <w14:textFill>
                  <w14:solidFill>
                    <w14:schemeClr w14:val="tx1"/>
                  </w14:solidFill>
                </w14:textFill>
              </w:rPr>
              <w:t>p2</w:t>
            </w:r>
            <w:r>
              <w:rPr>
                <w:rFonts w:hint="eastAsia" w:cs="宋体"/>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T</w:t>
            </w:r>
            <w:r>
              <w:rPr>
                <w:rFonts w:hint="eastAsia" w:cs="宋体"/>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靠近围护结构处室外</w:t>
            </w:r>
            <w:r>
              <w:rPr>
                <w:rFonts w:hint="default"/>
                <w:color w:val="000000" w:themeColor="text1"/>
                <w:sz w:val="24"/>
                <w:szCs w:val="20"/>
                <w:highlight w:val="none"/>
                <w14:textFill>
                  <w14:solidFill>
                    <w14:schemeClr w14:val="tx1"/>
                  </w14:solidFill>
                </w14:textFill>
              </w:rPr>
              <w:t>N</w:t>
            </w:r>
            <w:r>
              <w:rPr>
                <w:rFonts w:hint="default" w:cs="宋体"/>
                <w:color w:val="000000" w:themeColor="text1"/>
                <w:sz w:val="24"/>
                <w:szCs w:val="20"/>
                <w:highlight w:val="none"/>
                <w14:textFill>
                  <w14:solidFill>
                    <w14:schemeClr w14:val="tx1"/>
                  </w14:solidFill>
                </w14:textFill>
              </w:rPr>
              <w:t>个声源的叠加声压级，</w:t>
            </w:r>
            <w:r>
              <w:rPr>
                <w:rFonts w:hint="default"/>
                <w:color w:val="000000" w:themeColor="text1"/>
                <w:sz w:val="24"/>
                <w:szCs w:val="20"/>
                <w:highlight w:val="none"/>
                <w14:textFill>
                  <w14:solidFill>
                    <w14:schemeClr w14:val="tx1"/>
                  </w14:solidFill>
                </w14:textFill>
              </w:rPr>
              <w:t>dB</w:t>
            </w:r>
            <w:r>
              <w:rPr>
                <w:rFonts w:hint="eastAsia" w:cs="宋体"/>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A</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w:t>
            </w:r>
          </w:p>
          <w:p w14:paraId="3555C172">
            <w:pPr>
              <w:keepNext w:val="0"/>
              <w:keepLines w:val="0"/>
              <w:suppressLineNumbers w:val="0"/>
              <w:spacing w:before="0" w:beforeAutospacing="0" w:after="0" w:afterAutospacing="0" w:line="360" w:lineRule="auto"/>
              <w:ind w:left="1196" w:right="0"/>
              <w:rPr>
                <w:rFonts w:hint="default" w:cs="宋体"/>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TL—</w:t>
            </w:r>
            <w:r>
              <w:rPr>
                <w:rFonts w:hint="default" w:cs="宋体"/>
                <w:color w:val="000000" w:themeColor="text1"/>
                <w:sz w:val="24"/>
                <w:szCs w:val="20"/>
                <w:highlight w:val="none"/>
                <w14:textFill>
                  <w14:solidFill>
                    <w14:schemeClr w14:val="tx1"/>
                  </w14:solidFill>
                </w14:textFill>
              </w:rPr>
              <w:t>围护结构的隔声量，</w:t>
            </w:r>
            <w:r>
              <w:rPr>
                <w:rFonts w:hint="default"/>
                <w:color w:val="000000" w:themeColor="text1"/>
                <w:sz w:val="24"/>
                <w:szCs w:val="20"/>
                <w:highlight w:val="none"/>
                <w14:textFill>
                  <w14:solidFill>
                    <w14:schemeClr w14:val="tx1"/>
                  </w14:solidFill>
                </w14:textFill>
              </w:rPr>
              <w:t>dB</w:t>
            </w:r>
            <w:r>
              <w:rPr>
                <w:rFonts w:hint="eastAsia" w:cs="宋体"/>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A</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w:t>
            </w:r>
          </w:p>
          <w:p w14:paraId="2B3B6668">
            <w:pPr>
              <w:keepNext w:val="0"/>
              <w:keepLines w:val="0"/>
              <w:suppressLineNumbers w:val="0"/>
              <w:spacing w:before="0" w:beforeAutospacing="0" w:after="0" w:afterAutospacing="0" w:line="360" w:lineRule="auto"/>
              <w:ind w:left="2" w:right="0" w:firstLine="474"/>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将室外声级</w:t>
            </w:r>
            <w:r>
              <w:rPr>
                <w:rFonts w:hint="default"/>
                <w:color w:val="000000" w:themeColor="text1"/>
                <w:sz w:val="24"/>
                <w:szCs w:val="20"/>
                <w:highlight w:val="none"/>
                <w14:textFill>
                  <w14:solidFill>
                    <w14:schemeClr w14:val="tx1"/>
                  </w14:solidFill>
                </w14:textFill>
              </w:rPr>
              <w:t>Lp</w:t>
            </w:r>
            <w:r>
              <w:rPr>
                <w:rFonts w:hint="default"/>
                <w:color w:val="000000" w:themeColor="text1"/>
                <w:sz w:val="24"/>
                <w:szCs w:val="20"/>
                <w:highlight w:val="none"/>
                <w:vertAlign w:val="subscript"/>
                <w14:textFill>
                  <w14:solidFill>
                    <w14:schemeClr w14:val="tx1"/>
                  </w14:solidFill>
                </w14:textFill>
              </w:rPr>
              <w:t>2</w:t>
            </w:r>
            <w:r>
              <w:rPr>
                <w:rFonts w:hint="eastAsia" w:cs="宋体"/>
                <w:color w:val="000000" w:themeColor="text1"/>
                <w:sz w:val="24"/>
                <w:szCs w:val="20"/>
                <w:highlight w:val="none"/>
                <w:lang w:eastAsia="zh-CN"/>
                <w14:textFill>
                  <w14:solidFill>
                    <w14:schemeClr w14:val="tx1"/>
                  </w14:solidFill>
                </w14:textFill>
              </w:rPr>
              <w:t>（</w:t>
            </w:r>
            <w:r>
              <w:rPr>
                <w:rFonts w:hint="default"/>
                <w:color w:val="000000" w:themeColor="text1"/>
                <w:sz w:val="24"/>
                <w:szCs w:val="20"/>
                <w:highlight w:val="none"/>
                <w14:textFill>
                  <w14:solidFill>
                    <w14:schemeClr w14:val="tx1"/>
                  </w14:solidFill>
                </w14:textFill>
              </w:rPr>
              <w:t>T</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和透声面积换算成等效的室外声源，计算出等效声源的声功率级</w:t>
            </w:r>
            <w:r>
              <w:rPr>
                <w:rFonts w:hint="default"/>
                <w:color w:val="000000" w:themeColor="text1"/>
                <w:sz w:val="24"/>
                <w:szCs w:val="20"/>
                <w:highlight w:val="none"/>
                <w14:textFill>
                  <w14:solidFill>
                    <w14:schemeClr w14:val="tx1"/>
                  </w14:solidFill>
                </w14:textFill>
              </w:rPr>
              <w:t>L</w:t>
            </w:r>
            <w:r>
              <w:rPr>
                <w:rFonts w:hint="default"/>
                <w:color w:val="000000" w:themeColor="text1"/>
                <w:sz w:val="24"/>
                <w:szCs w:val="20"/>
                <w:highlight w:val="none"/>
                <w:vertAlign w:val="subscript"/>
                <w14:textFill>
                  <w14:solidFill>
                    <w14:schemeClr w14:val="tx1"/>
                  </w14:solidFill>
                </w14:textFill>
              </w:rPr>
              <w:t>W</w:t>
            </w:r>
            <w:r>
              <w:rPr>
                <w:rFonts w:hint="default" w:cs="宋体"/>
                <w:color w:val="000000" w:themeColor="text1"/>
                <w:sz w:val="24"/>
                <w:szCs w:val="20"/>
                <w:highlight w:val="none"/>
                <w14:textFill>
                  <w14:solidFill>
                    <w14:schemeClr w14:val="tx1"/>
                  </w14:solidFill>
                </w14:textFill>
              </w:rPr>
              <w:t>。</w:t>
            </w:r>
          </w:p>
          <w:p w14:paraId="1DDAF145">
            <w:pPr>
              <w:keepNext w:val="0"/>
              <w:keepLines w:val="0"/>
              <w:suppressLineNumbers w:val="0"/>
              <w:spacing w:before="0" w:beforeAutospacing="0" w:after="0" w:afterAutospacing="0" w:line="360" w:lineRule="auto"/>
              <w:ind w:left="0" w:right="4" w:firstLine="480"/>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等效室外声源的位置为围护结构的位置，其声功率级为</w:t>
            </w:r>
            <w:r>
              <w:rPr>
                <w:rFonts w:hint="default"/>
                <w:color w:val="000000" w:themeColor="text1"/>
                <w:sz w:val="24"/>
                <w:szCs w:val="20"/>
                <w:highlight w:val="none"/>
                <w14:textFill>
                  <w14:solidFill>
                    <w14:schemeClr w14:val="tx1"/>
                  </w14:solidFill>
                </w14:textFill>
              </w:rPr>
              <w:t>Lw</w:t>
            </w:r>
            <w:r>
              <w:rPr>
                <w:rFonts w:hint="default" w:cs="宋体"/>
                <w:color w:val="000000" w:themeColor="text1"/>
                <w:sz w:val="24"/>
                <w:szCs w:val="20"/>
                <w:highlight w:val="none"/>
                <w14:textFill>
                  <w14:solidFill>
                    <w14:schemeClr w14:val="tx1"/>
                  </w14:solidFill>
                </w14:textFill>
              </w:rPr>
              <w:t>，由此按室外声源方法计算等效室外声源在预测点产生的</w:t>
            </w:r>
            <w:r>
              <w:rPr>
                <w:rFonts w:hint="default"/>
                <w:color w:val="000000" w:themeColor="text1"/>
                <w:sz w:val="24"/>
                <w:szCs w:val="20"/>
                <w:highlight w:val="none"/>
                <w14:textFill>
                  <w14:solidFill>
                    <w14:schemeClr w14:val="tx1"/>
                  </w14:solidFill>
                </w14:textFill>
              </w:rPr>
              <w:t>A</w:t>
            </w:r>
            <w:r>
              <w:rPr>
                <w:rFonts w:hint="default" w:cs="宋体"/>
                <w:color w:val="000000" w:themeColor="text1"/>
                <w:sz w:val="24"/>
                <w:szCs w:val="20"/>
                <w:highlight w:val="none"/>
                <w14:textFill>
                  <w14:solidFill>
                    <w14:schemeClr w14:val="tx1"/>
                  </w14:solidFill>
                </w14:textFill>
              </w:rPr>
              <w:t>声级。</w:t>
            </w:r>
          </w:p>
          <w:p w14:paraId="6F4DE2B0">
            <w:pPr>
              <w:keepNext w:val="0"/>
              <w:keepLines w:val="0"/>
              <w:suppressLineNumbers w:val="0"/>
              <w:spacing w:before="0" w:beforeAutospacing="0" w:after="0" w:afterAutospacing="0" w:line="360" w:lineRule="auto"/>
              <w:ind w:left="477" w:right="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②室外声源在预测点产生的声级计算模型</w:t>
            </w:r>
          </w:p>
          <w:p w14:paraId="5DEEAF6B">
            <w:pPr>
              <w:keepNext w:val="0"/>
              <w:keepLines w:val="0"/>
              <w:suppressLineNumbers w:val="0"/>
              <w:spacing w:before="0" w:beforeAutospacing="0" w:after="0" w:afterAutospacing="0" w:line="360" w:lineRule="auto"/>
              <w:ind w:left="0" w:right="4" w:firstLine="480"/>
              <w:rPr>
                <w:rFonts w:hint="default" w:cs="宋体"/>
                <w:color w:val="000000" w:themeColor="text1"/>
                <w:sz w:val="24"/>
                <w:szCs w:val="20"/>
                <w:highlight w:val="none"/>
                <w14:textFill>
                  <w14:solidFill>
                    <w14:schemeClr w14:val="tx1"/>
                  </w14:solidFill>
                </w14:textFill>
              </w:rPr>
            </w:pPr>
            <w:r>
              <w:rPr>
                <w:rFonts w:hint="eastAsia" w:cs="宋体"/>
                <w:color w:val="000000" w:themeColor="text1"/>
                <w:sz w:val="24"/>
                <w:szCs w:val="20"/>
                <w:highlight w:val="none"/>
                <w14:textFill>
                  <w14:solidFill>
                    <w14:schemeClr w14:val="tx1"/>
                  </w14:solidFill>
                </w14:textFill>
              </w:rPr>
              <w:t>项目在只考虑几何发散衰减时，</w:t>
            </w:r>
            <w:r>
              <w:rPr>
                <w:rFonts w:hint="default"/>
                <w:color w:val="000000" w:themeColor="text1"/>
                <w:sz w:val="24"/>
                <w:szCs w:val="20"/>
                <w:highlight w:val="none"/>
                <w14:textFill>
                  <w14:solidFill>
                    <w14:schemeClr w14:val="tx1"/>
                  </w14:solidFill>
                </w14:textFill>
              </w:rPr>
              <w:t>室外声源在预测点产生的声级</w:t>
            </w:r>
            <w:r>
              <w:rPr>
                <w:rFonts w:hint="eastAsia" w:cs="宋体"/>
                <w:color w:val="000000" w:themeColor="text1"/>
                <w:sz w:val="24"/>
                <w:szCs w:val="20"/>
                <w:highlight w:val="none"/>
                <w14:textFill>
                  <w14:solidFill>
                    <w14:schemeClr w14:val="tx1"/>
                  </w14:solidFill>
                </w14:textFill>
              </w:rPr>
              <w:t>可按计算。</w:t>
            </w:r>
          </w:p>
          <w:p w14:paraId="3E3C2F15">
            <w:pPr>
              <w:keepNext w:val="0"/>
              <w:keepLines w:val="0"/>
              <w:suppressLineNumbers w:val="0"/>
              <w:spacing w:before="0" w:beforeAutospacing="0" w:after="0" w:afterAutospacing="0" w:line="360" w:lineRule="auto"/>
              <w:ind w:left="0" w:right="4"/>
              <w:jc w:val="center"/>
              <w:rPr>
                <w:rFonts w:hint="eastAsia" w:cs="宋体"/>
                <w:color w:val="000000" w:themeColor="text1"/>
                <w:sz w:val="24"/>
                <w:szCs w:val="20"/>
                <w:highlight w:val="none"/>
                <w14:textFill>
                  <w14:solidFill>
                    <w14:schemeClr w14:val="tx1"/>
                  </w14:solidFill>
                </w14:textFill>
              </w:rPr>
            </w:pPr>
            <w:r>
              <w:rPr>
                <w:rFonts w:hint="default"/>
                <w:color w:val="000000" w:themeColor="text1"/>
                <w:sz w:val="20"/>
                <w:szCs w:val="20"/>
                <w:highlight w:val="none"/>
                <w14:textFill>
                  <w14:solidFill>
                    <w14:schemeClr w14:val="tx1"/>
                  </w14:solidFill>
                </w14:textFill>
              </w:rPr>
              <w:drawing>
                <wp:inline distT="0" distB="0" distL="114300" distR="114300">
                  <wp:extent cx="1226820" cy="274320"/>
                  <wp:effectExtent l="0" t="0" r="11430" b="11430"/>
                  <wp:docPr id="4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5"/>
                          <pic:cNvPicPr>
                            <a:picLocks noChangeAspect="1"/>
                          </pic:cNvPicPr>
                        </pic:nvPicPr>
                        <pic:blipFill>
                          <a:blip r:embed="rId26"/>
                          <a:stretch>
                            <a:fillRect/>
                          </a:stretch>
                        </pic:blipFill>
                        <pic:spPr>
                          <a:xfrm>
                            <a:off x="0" y="0"/>
                            <a:ext cx="1226820" cy="274320"/>
                          </a:xfrm>
                          <a:prstGeom prst="rect">
                            <a:avLst/>
                          </a:prstGeom>
                          <a:noFill/>
                          <a:ln>
                            <a:noFill/>
                          </a:ln>
                        </pic:spPr>
                      </pic:pic>
                    </a:graphicData>
                  </a:graphic>
                </wp:inline>
              </w:drawing>
            </w:r>
          </w:p>
          <w:p w14:paraId="712E24C5">
            <w:pPr>
              <w:keepNext w:val="0"/>
              <w:keepLines w:val="0"/>
              <w:suppressLineNumbers w:val="0"/>
              <w:spacing w:before="0" w:beforeAutospacing="0" w:after="0" w:afterAutospacing="0" w:line="360" w:lineRule="auto"/>
              <w:ind w:left="0" w:right="4" w:firstLine="480"/>
              <w:rPr>
                <w:rFonts w:hint="default" w:cs="宋体"/>
                <w:color w:val="000000" w:themeColor="text1"/>
                <w:sz w:val="24"/>
                <w:szCs w:val="20"/>
                <w:highlight w:val="none"/>
                <w14:textFill>
                  <w14:solidFill>
                    <w14:schemeClr w14:val="tx1"/>
                  </w14:solidFill>
                </w14:textFill>
              </w:rPr>
            </w:pPr>
            <w:r>
              <w:rPr>
                <w:rFonts w:hint="eastAsia" w:cs="宋体"/>
                <w:color w:val="000000" w:themeColor="text1"/>
                <w:sz w:val="24"/>
                <w:szCs w:val="20"/>
                <w:highlight w:val="none"/>
                <w14:textFill>
                  <w14:solidFill>
                    <w14:schemeClr w14:val="tx1"/>
                  </w14:solidFill>
                </w14:textFill>
              </w:rPr>
              <w:t>式中：</w:t>
            </w:r>
            <w:r>
              <w:rPr>
                <w:rFonts w:hint="default" w:cs="宋体"/>
                <w:color w:val="000000" w:themeColor="text1"/>
                <w:sz w:val="24"/>
                <w:szCs w:val="20"/>
                <w:highlight w:val="none"/>
                <w14:textFill>
                  <w14:solidFill>
                    <w14:schemeClr w14:val="tx1"/>
                  </w14:solidFill>
                </w14:textFill>
              </w:rPr>
              <w:t>L</w:t>
            </w:r>
            <w:r>
              <w:rPr>
                <w:rFonts w:hint="default" w:cs="宋体"/>
                <w:color w:val="000000" w:themeColor="text1"/>
                <w:sz w:val="24"/>
                <w:szCs w:val="20"/>
                <w:highlight w:val="none"/>
                <w:vertAlign w:val="subscript"/>
                <w14:textFill>
                  <w14:solidFill>
                    <w14:schemeClr w14:val="tx1"/>
                  </w14:solidFill>
                </w14:textFill>
              </w:rPr>
              <w:t>A</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r</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w:t>
            </w:r>
            <w:r>
              <w:rPr>
                <w:rFonts w:hint="eastAsia" w:cs="宋体"/>
                <w:color w:val="000000" w:themeColor="text1"/>
                <w:sz w:val="24"/>
                <w:szCs w:val="20"/>
                <w:highlight w:val="none"/>
                <w14:textFill>
                  <w14:solidFill>
                    <w14:schemeClr w14:val="tx1"/>
                  </w14:solidFill>
                </w14:textFill>
              </w:rPr>
              <w:t>距声源</w:t>
            </w:r>
            <w:r>
              <w:rPr>
                <w:rFonts w:hint="default" w:cs="宋体"/>
                <w:color w:val="000000" w:themeColor="text1"/>
                <w:sz w:val="24"/>
                <w:szCs w:val="20"/>
                <w:highlight w:val="none"/>
                <w14:textFill>
                  <w14:solidFill>
                    <w14:schemeClr w14:val="tx1"/>
                  </w14:solidFill>
                </w14:textFill>
              </w:rPr>
              <w:t>r</w:t>
            </w:r>
            <w:r>
              <w:rPr>
                <w:rFonts w:hint="eastAsia" w:cs="宋体"/>
                <w:color w:val="000000" w:themeColor="text1"/>
                <w:sz w:val="24"/>
                <w:szCs w:val="20"/>
                <w:highlight w:val="none"/>
                <w14:textFill>
                  <w14:solidFill>
                    <w14:schemeClr w14:val="tx1"/>
                  </w14:solidFill>
                </w14:textFill>
              </w:rPr>
              <w:t>处的</w:t>
            </w:r>
            <w:r>
              <w:rPr>
                <w:rFonts w:hint="default" w:cs="宋体"/>
                <w:color w:val="000000" w:themeColor="text1"/>
                <w:sz w:val="24"/>
                <w:szCs w:val="20"/>
                <w:highlight w:val="none"/>
                <w14:textFill>
                  <w14:solidFill>
                    <w14:schemeClr w14:val="tx1"/>
                  </w14:solidFill>
                </w14:textFill>
              </w:rPr>
              <w:t>A</w:t>
            </w:r>
            <w:r>
              <w:rPr>
                <w:rFonts w:hint="eastAsia" w:cs="宋体"/>
                <w:color w:val="000000" w:themeColor="text1"/>
                <w:sz w:val="24"/>
                <w:szCs w:val="20"/>
                <w:highlight w:val="none"/>
                <w14:textFill>
                  <w14:solidFill>
                    <w14:schemeClr w14:val="tx1"/>
                  </w14:solidFill>
                </w14:textFill>
              </w:rPr>
              <w:t>声级，</w:t>
            </w:r>
            <w:r>
              <w:rPr>
                <w:rFonts w:hint="default" w:cs="宋体"/>
                <w:color w:val="000000" w:themeColor="text1"/>
                <w:sz w:val="24"/>
                <w:szCs w:val="20"/>
                <w:highlight w:val="none"/>
                <w14:textFill>
                  <w14:solidFill>
                    <w14:schemeClr w14:val="tx1"/>
                  </w14:solidFill>
                </w14:textFill>
              </w:rPr>
              <w:t>dB</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A</w:t>
            </w:r>
            <w:r>
              <w:rPr>
                <w:rFonts w:hint="eastAsia" w:cs="宋体"/>
                <w:color w:val="000000" w:themeColor="text1"/>
                <w:sz w:val="24"/>
                <w:szCs w:val="20"/>
                <w:highlight w:val="none"/>
                <w:lang w:eastAsia="zh-CN"/>
                <w14:textFill>
                  <w14:solidFill>
                    <w14:schemeClr w14:val="tx1"/>
                  </w14:solidFill>
                </w14:textFill>
              </w:rPr>
              <w:t>）</w:t>
            </w:r>
            <w:r>
              <w:rPr>
                <w:rFonts w:hint="eastAsia" w:cs="宋体"/>
                <w:color w:val="000000" w:themeColor="text1"/>
                <w:sz w:val="24"/>
                <w:szCs w:val="20"/>
                <w:highlight w:val="none"/>
                <w14:textFill>
                  <w14:solidFill>
                    <w14:schemeClr w14:val="tx1"/>
                  </w14:solidFill>
                </w14:textFill>
              </w:rPr>
              <w:t>；</w:t>
            </w:r>
          </w:p>
          <w:p w14:paraId="3EFD300D">
            <w:pPr>
              <w:keepNext w:val="0"/>
              <w:keepLines w:val="0"/>
              <w:suppressLineNumbers w:val="0"/>
              <w:spacing w:before="0" w:beforeAutospacing="0" w:after="0" w:afterAutospacing="0" w:line="360" w:lineRule="auto"/>
              <w:ind w:left="0" w:right="4" w:firstLine="1262" w:firstLineChars="526"/>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L</w:t>
            </w:r>
            <w:r>
              <w:rPr>
                <w:rFonts w:hint="default" w:cs="宋体"/>
                <w:color w:val="000000" w:themeColor="text1"/>
                <w:sz w:val="24"/>
                <w:szCs w:val="20"/>
                <w:highlight w:val="none"/>
                <w:vertAlign w:val="subscript"/>
                <w14:textFill>
                  <w14:solidFill>
                    <w14:schemeClr w14:val="tx1"/>
                  </w14:solidFill>
                </w14:textFill>
              </w:rPr>
              <w:t>A</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r</w:t>
            </w:r>
            <w:r>
              <w:rPr>
                <w:rFonts w:hint="default" w:cs="宋体"/>
                <w:color w:val="000000" w:themeColor="text1"/>
                <w:sz w:val="24"/>
                <w:szCs w:val="20"/>
                <w:highlight w:val="none"/>
                <w:vertAlign w:val="subscript"/>
                <w14:textFill>
                  <w14:solidFill>
                    <w14:schemeClr w14:val="tx1"/>
                  </w14:solidFill>
                </w14:textFill>
              </w:rPr>
              <w:t>0</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w:t>
            </w:r>
            <w:r>
              <w:rPr>
                <w:rFonts w:hint="eastAsia" w:cs="宋体"/>
                <w:color w:val="000000" w:themeColor="text1"/>
                <w:sz w:val="24"/>
                <w:szCs w:val="20"/>
                <w:highlight w:val="none"/>
                <w14:textFill>
                  <w14:solidFill>
                    <w14:schemeClr w14:val="tx1"/>
                  </w14:solidFill>
                </w14:textFill>
              </w:rPr>
              <w:t>参考位置</w:t>
            </w:r>
            <w:r>
              <w:rPr>
                <w:rFonts w:hint="default" w:cs="宋体"/>
                <w:color w:val="000000" w:themeColor="text1"/>
                <w:sz w:val="24"/>
                <w:szCs w:val="20"/>
                <w:highlight w:val="none"/>
                <w14:textFill>
                  <w14:solidFill>
                    <w14:schemeClr w14:val="tx1"/>
                  </w14:solidFill>
                </w14:textFill>
              </w:rPr>
              <w:t>r0</w:t>
            </w:r>
            <w:r>
              <w:rPr>
                <w:rFonts w:hint="eastAsia" w:cs="宋体"/>
                <w:color w:val="000000" w:themeColor="text1"/>
                <w:sz w:val="24"/>
                <w:szCs w:val="20"/>
                <w:highlight w:val="none"/>
                <w14:textFill>
                  <w14:solidFill>
                    <w14:schemeClr w14:val="tx1"/>
                  </w14:solidFill>
                </w14:textFill>
              </w:rPr>
              <w:t>处的</w:t>
            </w:r>
            <w:r>
              <w:rPr>
                <w:rFonts w:hint="default" w:cs="宋体"/>
                <w:color w:val="000000" w:themeColor="text1"/>
                <w:sz w:val="24"/>
                <w:szCs w:val="20"/>
                <w:highlight w:val="none"/>
                <w14:textFill>
                  <w14:solidFill>
                    <w14:schemeClr w14:val="tx1"/>
                  </w14:solidFill>
                </w14:textFill>
              </w:rPr>
              <w:t>A</w:t>
            </w:r>
            <w:r>
              <w:rPr>
                <w:rFonts w:hint="eastAsia" w:cs="宋体"/>
                <w:color w:val="000000" w:themeColor="text1"/>
                <w:sz w:val="24"/>
                <w:szCs w:val="20"/>
                <w:highlight w:val="none"/>
                <w14:textFill>
                  <w14:solidFill>
                    <w14:schemeClr w14:val="tx1"/>
                  </w14:solidFill>
                </w14:textFill>
              </w:rPr>
              <w:t>声级，</w:t>
            </w:r>
            <w:r>
              <w:rPr>
                <w:rFonts w:hint="default" w:cs="宋体"/>
                <w:color w:val="000000" w:themeColor="text1"/>
                <w:sz w:val="24"/>
                <w:szCs w:val="20"/>
                <w:highlight w:val="none"/>
                <w14:textFill>
                  <w14:solidFill>
                    <w14:schemeClr w14:val="tx1"/>
                  </w14:solidFill>
                </w14:textFill>
              </w:rPr>
              <w:t>dB</w:t>
            </w:r>
            <w:r>
              <w:rPr>
                <w:rFonts w:hint="eastAsia" w:cs="宋体"/>
                <w:color w:val="000000" w:themeColor="text1"/>
                <w:sz w:val="24"/>
                <w:szCs w:val="20"/>
                <w:highlight w:val="none"/>
                <w:lang w:eastAsia="zh-CN"/>
                <w14:textFill>
                  <w14:solidFill>
                    <w14:schemeClr w14:val="tx1"/>
                  </w14:solidFill>
                </w14:textFill>
              </w:rPr>
              <w:t>（</w:t>
            </w:r>
            <w:r>
              <w:rPr>
                <w:rFonts w:hint="default" w:cs="宋体"/>
                <w:color w:val="000000" w:themeColor="text1"/>
                <w:sz w:val="24"/>
                <w:szCs w:val="20"/>
                <w:highlight w:val="none"/>
                <w14:textFill>
                  <w14:solidFill>
                    <w14:schemeClr w14:val="tx1"/>
                  </w14:solidFill>
                </w14:textFill>
              </w:rPr>
              <w:t>A</w:t>
            </w:r>
            <w:r>
              <w:rPr>
                <w:rFonts w:hint="eastAsia" w:cs="宋体"/>
                <w:color w:val="000000" w:themeColor="text1"/>
                <w:sz w:val="24"/>
                <w:szCs w:val="20"/>
                <w:highlight w:val="none"/>
                <w:lang w:eastAsia="zh-CN"/>
                <w14:textFill>
                  <w14:solidFill>
                    <w14:schemeClr w14:val="tx1"/>
                  </w14:solidFill>
                </w14:textFill>
              </w:rPr>
              <w:t>）</w:t>
            </w:r>
            <w:r>
              <w:rPr>
                <w:rFonts w:hint="eastAsia" w:cs="宋体"/>
                <w:color w:val="000000" w:themeColor="text1"/>
                <w:sz w:val="24"/>
                <w:szCs w:val="20"/>
                <w:highlight w:val="none"/>
                <w14:textFill>
                  <w14:solidFill>
                    <w14:schemeClr w14:val="tx1"/>
                  </w14:solidFill>
                </w14:textFill>
              </w:rPr>
              <w:t>；</w:t>
            </w:r>
          </w:p>
          <w:p w14:paraId="32BDE26C">
            <w:pPr>
              <w:keepNext w:val="0"/>
              <w:keepLines w:val="0"/>
              <w:suppressLineNumbers w:val="0"/>
              <w:spacing w:before="0" w:beforeAutospacing="0" w:after="0" w:afterAutospacing="0" w:line="360" w:lineRule="auto"/>
              <w:ind w:left="0" w:right="4" w:firstLine="1262" w:firstLineChars="526"/>
              <w:rPr>
                <w:rFonts w:hint="default"/>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A</w:t>
            </w:r>
            <w:r>
              <w:rPr>
                <w:rFonts w:hint="default" w:cs="宋体"/>
                <w:color w:val="000000" w:themeColor="text1"/>
                <w:sz w:val="24"/>
                <w:szCs w:val="20"/>
                <w:highlight w:val="none"/>
                <w:vertAlign w:val="subscript"/>
                <w14:textFill>
                  <w14:solidFill>
                    <w14:schemeClr w14:val="tx1"/>
                  </w14:solidFill>
                </w14:textFill>
              </w:rPr>
              <w:t>div</w:t>
            </w:r>
            <w:r>
              <w:rPr>
                <w:rFonts w:hint="default" w:cs="宋体"/>
                <w:color w:val="000000" w:themeColor="text1"/>
                <w:sz w:val="24"/>
                <w:szCs w:val="20"/>
                <w:highlight w:val="none"/>
                <w14:textFill>
                  <w14:solidFill>
                    <w14:schemeClr w14:val="tx1"/>
                  </w14:solidFill>
                </w14:textFill>
              </w:rPr>
              <w:t>——</w:t>
            </w:r>
            <w:r>
              <w:rPr>
                <w:rFonts w:hint="eastAsia" w:cs="宋体"/>
                <w:color w:val="000000" w:themeColor="text1"/>
                <w:sz w:val="24"/>
                <w:szCs w:val="20"/>
                <w:highlight w:val="none"/>
                <w14:textFill>
                  <w14:solidFill>
                    <w14:schemeClr w14:val="tx1"/>
                  </w14:solidFill>
                </w14:textFill>
              </w:rPr>
              <w:t>几何发散引起的衰减，</w:t>
            </w:r>
            <w:r>
              <w:rPr>
                <w:rFonts w:hint="default" w:cs="宋体"/>
                <w:color w:val="000000" w:themeColor="text1"/>
                <w:sz w:val="24"/>
                <w:szCs w:val="20"/>
                <w:highlight w:val="none"/>
                <w14:textFill>
                  <w14:solidFill>
                    <w14:schemeClr w14:val="tx1"/>
                  </w14:solidFill>
                </w14:textFill>
              </w:rPr>
              <w:t>dB</w:t>
            </w:r>
            <w:r>
              <w:rPr>
                <w:rFonts w:hint="eastAsia" w:cs="宋体"/>
                <w:color w:val="000000" w:themeColor="text1"/>
                <w:sz w:val="24"/>
                <w:szCs w:val="20"/>
                <w:highlight w:val="none"/>
                <w14:textFill>
                  <w14:solidFill>
                    <w14:schemeClr w14:val="tx1"/>
                  </w14:solidFill>
                </w14:textFill>
              </w:rPr>
              <w:t>。</w:t>
            </w:r>
          </w:p>
          <w:p w14:paraId="0DD22FA3">
            <w:pPr>
              <w:keepNext w:val="0"/>
              <w:keepLines w:val="0"/>
              <w:suppressLineNumbers w:val="0"/>
              <w:spacing w:before="0" w:beforeAutospacing="0" w:after="0" w:afterAutospacing="0" w:line="360" w:lineRule="auto"/>
              <w:ind w:left="477" w:right="0"/>
              <w:rPr>
                <w:rFonts w:hint="default"/>
                <w:color w:val="000000" w:themeColor="text1"/>
                <w:sz w:val="24"/>
                <w:szCs w:val="20"/>
                <w:highlight w:val="none"/>
                <w14:textFill>
                  <w14:solidFill>
                    <w14:schemeClr w14:val="tx1"/>
                  </w14:solidFill>
                </w14:textFill>
              </w:rPr>
            </w:pPr>
            <w:r>
              <w:rPr>
                <w:rFonts w:hint="default"/>
                <w:color w:val="000000" w:themeColor="text1"/>
                <w:sz w:val="24"/>
                <w:szCs w:val="20"/>
                <w:highlight w:val="none"/>
                <w14:textFill>
                  <w14:solidFill>
                    <w14:schemeClr w14:val="tx1"/>
                  </w14:solidFill>
                </w14:textFill>
              </w:rPr>
              <w:t>③</w:t>
            </w:r>
            <w:r>
              <w:rPr>
                <w:rFonts w:hint="eastAsia"/>
                <w:color w:val="000000" w:themeColor="text1"/>
                <w:sz w:val="24"/>
                <w:szCs w:val="20"/>
                <w:highlight w:val="none"/>
                <w14:textFill>
                  <w14:solidFill>
                    <w14:schemeClr w14:val="tx1"/>
                  </w14:solidFill>
                </w14:textFill>
              </w:rPr>
              <w:t>噪声贡献值</w:t>
            </w:r>
          </w:p>
          <w:p w14:paraId="204E9632">
            <w:pPr>
              <w:keepNext w:val="0"/>
              <w:keepLines w:val="0"/>
              <w:suppressLineNumbers w:val="0"/>
              <w:spacing w:before="0" w:beforeAutospacing="0" w:after="0" w:afterAutospacing="0" w:line="360" w:lineRule="auto"/>
              <w:ind w:left="1" w:right="0" w:firstLine="480"/>
              <w:rPr>
                <w:rFonts w:hint="default" w:cs="宋体"/>
                <w:color w:val="000000" w:themeColor="text1"/>
                <w:sz w:val="24"/>
                <w:szCs w:val="20"/>
                <w:highlight w:val="none"/>
                <w14:textFill>
                  <w14:solidFill>
                    <w14:schemeClr w14:val="tx1"/>
                  </w14:solidFill>
                </w14:textFill>
              </w:rPr>
            </w:pPr>
            <w:r>
              <w:rPr>
                <w:rFonts w:hint="eastAsia" w:cs="宋体"/>
                <w:color w:val="000000" w:themeColor="text1"/>
                <w:sz w:val="24"/>
                <w:szCs w:val="20"/>
                <w:highlight w:val="none"/>
                <w14:textFill>
                  <w14:solidFill>
                    <w14:schemeClr w14:val="tx1"/>
                  </w14:solidFill>
                </w14:textFill>
              </w:rPr>
              <w:t>由建设项目自身声源在预测点产生的声级。噪声贡献值（</w:t>
            </w:r>
            <w:r>
              <w:rPr>
                <w:rFonts w:hint="default" w:cs="宋体"/>
                <w:color w:val="000000" w:themeColor="text1"/>
                <w:sz w:val="24"/>
                <w:szCs w:val="20"/>
                <w:highlight w:val="none"/>
                <w14:textFill>
                  <w14:solidFill>
                    <w14:schemeClr w14:val="tx1"/>
                  </w14:solidFill>
                </w14:textFill>
              </w:rPr>
              <w:t>L</w:t>
            </w:r>
            <w:r>
              <w:rPr>
                <w:rFonts w:hint="default" w:cs="宋体"/>
                <w:color w:val="000000" w:themeColor="text1"/>
                <w:sz w:val="24"/>
                <w:szCs w:val="20"/>
                <w:highlight w:val="none"/>
                <w:vertAlign w:val="subscript"/>
                <w14:textFill>
                  <w14:solidFill>
                    <w14:schemeClr w14:val="tx1"/>
                  </w14:solidFill>
                </w14:textFill>
              </w:rPr>
              <w:t>eqg</w:t>
            </w:r>
            <w:r>
              <w:rPr>
                <w:rFonts w:hint="eastAsia" w:cs="宋体"/>
                <w:color w:val="000000" w:themeColor="text1"/>
                <w:sz w:val="24"/>
                <w:szCs w:val="20"/>
                <w:highlight w:val="none"/>
                <w14:textFill>
                  <w14:solidFill>
                    <w14:schemeClr w14:val="tx1"/>
                  </w14:solidFill>
                </w14:textFill>
              </w:rPr>
              <w:t>）计算公式为：</w:t>
            </w:r>
          </w:p>
          <w:p w14:paraId="72E41B79">
            <w:pPr>
              <w:keepNext w:val="0"/>
              <w:keepLines w:val="0"/>
              <w:suppressLineNumbers w:val="0"/>
              <w:spacing w:before="0" w:beforeAutospacing="0" w:after="0" w:afterAutospacing="0" w:line="360" w:lineRule="auto"/>
              <w:ind w:left="0" w:right="0"/>
              <w:jc w:val="center"/>
              <w:rPr>
                <w:rFonts w:hint="default" w:cs="宋体"/>
                <w:color w:val="000000" w:themeColor="text1"/>
                <w:sz w:val="24"/>
                <w:szCs w:val="20"/>
                <w:highlight w:val="none"/>
                <w14:textFill>
                  <w14:solidFill>
                    <w14:schemeClr w14:val="tx1"/>
                  </w14:solidFill>
                </w14:textFill>
              </w:rPr>
            </w:pPr>
            <w:r>
              <w:rPr>
                <w:rFonts w:hint="default"/>
                <w:color w:val="000000" w:themeColor="text1"/>
                <w:sz w:val="20"/>
                <w:szCs w:val="20"/>
                <w:highlight w:val="none"/>
                <w14:textFill>
                  <w14:solidFill>
                    <w14:schemeClr w14:val="tx1"/>
                  </w14:solidFill>
                </w14:textFill>
              </w:rPr>
              <w:drawing>
                <wp:inline distT="0" distB="0" distL="114300" distR="114300">
                  <wp:extent cx="1600200" cy="419100"/>
                  <wp:effectExtent l="0" t="0" r="0" b="0"/>
                  <wp:docPr id="3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6"/>
                          <pic:cNvPicPr>
                            <a:picLocks noChangeAspect="1"/>
                          </pic:cNvPicPr>
                        </pic:nvPicPr>
                        <pic:blipFill>
                          <a:blip r:embed="rId27"/>
                          <a:stretch>
                            <a:fillRect/>
                          </a:stretch>
                        </pic:blipFill>
                        <pic:spPr>
                          <a:xfrm>
                            <a:off x="0" y="0"/>
                            <a:ext cx="1600200" cy="419100"/>
                          </a:xfrm>
                          <a:prstGeom prst="rect">
                            <a:avLst/>
                          </a:prstGeom>
                          <a:noFill/>
                          <a:ln>
                            <a:noFill/>
                          </a:ln>
                        </pic:spPr>
                      </pic:pic>
                    </a:graphicData>
                  </a:graphic>
                </wp:inline>
              </w:drawing>
            </w:r>
          </w:p>
          <w:p w14:paraId="731BBB6E">
            <w:pPr>
              <w:keepNext w:val="0"/>
              <w:keepLines w:val="0"/>
              <w:suppressLineNumbers w:val="0"/>
              <w:spacing w:before="0" w:beforeAutospacing="0" w:after="0" w:afterAutospacing="0" w:line="360" w:lineRule="auto"/>
              <w:ind w:left="1" w:right="0" w:firstLine="480"/>
              <w:rPr>
                <w:rFonts w:hint="default" w:cs="宋体"/>
                <w:color w:val="000000" w:themeColor="text1"/>
                <w:sz w:val="24"/>
                <w:szCs w:val="20"/>
                <w:highlight w:val="none"/>
                <w14:textFill>
                  <w14:solidFill>
                    <w14:schemeClr w14:val="tx1"/>
                  </w14:solidFill>
                </w14:textFill>
              </w:rPr>
            </w:pPr>
            <w:r>
              <w:rPr>
                <w:rFonts w:hint="eastAsia" w:cs="宋体"/>
                <w:color w:val="000000" w:themeColor="text1"/>
                <w:sz w:val="24"/>
                <w:szCs w:val="20"/>
                <w:highlight w:val="none"/>
                <w14:textFill>
                  <w14:solidFill>
                    <w14:schemeClr w14:val="tx1"/>
                  </w14:solidFill>
                </w14:textFill>
              </w:rPr>
              <w:t>式中：</w:t>
            </w:r>
            <w:r>
              <w:rPr>
                <w:rFonts w:hint="default" w:cs="宋体"/>
                <w:color w:val="000000" w:themeColor="text1"/>
                <w:sz w:val="24"/>
                <w:szCs w:val="20"/>
                <w:highlight w:val="none"/>
                <w14:textFill>
                  <w14:solidFill>
                    <w14:schemeClr w14:val="tx1"/>
                  </w14:solidFill>
                </w14:textFill>
              </w:rPr>
              <w:t>L</w:t>
            </w:r>
            <w:r>
              <w:rPr>
                <w:rFonts w:hint="default" w:cs="宋体"/>
                <w:color w:val="000000" w:themeColor="text1"/>
                <w:sz w:val="24"/>
                <w:szCs w:val="20"/>
                <w:highlight w:val="none"/>
                <w:vertAlign w:val="subscript"/>
                <w14:textFill>
                  <w14:solidFill>
                    <w14:schemeClr w14:val="tx1"/>
                  </w14:solidFill>
                </w14:textFill>
              </w:rPr>
              <w:t>eqg</w:t>
            </w:r>
            <w:r>
              <w:rPr>
                <w:rFonts w:hint="default" w:cs="宋体"/>
                <w:color w:val="000000" w:themeColor="text1"/>
                <w:sz w:val="24"/>
                <w:szCs w:val="20"/>
                <w:highlight w:val="none"/>
                <w14:textFill>
                  <w14:solidFill>
                    <w14:schemeClr w14:val="tx1"/>
                  </w14:solidFill>
                </w14:textFill>
              </w:rPr>
              <w:t>——</w:t>
            </w:r>
            <w:r>
              <w:rPr>
                <w:rFonts w:hint="eastAsia" w:cs="宋体"/>
                <w:color w:val="000000" w:themeColor="text1"/>
                <w:sz w:val="24"/>
                <w:szCs w:val="20"/>
                <w:highlight w:val="none"/>
                <w14:textFill>
                  <w14:solidFill>
                    <w14:schemeClr w14:val="tx1"/>
                  </w14:solidFill>
                </w14:textFill>
              </w:rPr>
              <w:t>噪声贡献值，</w:t>
            </w:r>
            <w:r>
              <w:rPr>
                <w:rFonts w:hint="default" w:cs="宋体"/>
                <w:color w:val="000000" w:themeColor="text1"/>
                <w:sz w:val="24"/>
                <w:szCs w:val="20"/>
                <w:highlight w:val="none"/>
                <w14:textFill>
                  <w14:solidFill>
                    <w14:schemeClr w14:val="tx1"/>
                  </w14:solidFill>
                </w14:textFill>
              </w:rPr>
              <w:t>dB</w:t>
            </w:r>
            <w:r>
              <w:rPr>
                <w:rFonts w:hint="eastAsia" w:cs="宋体"/>
                <w:color w:val="000000" w:themeColor="text1"/>
                <w:sz w:val="24"/>
                <w:szCs w:val="20"/>
                <w:highlight w:val="none"/>
                <w14:textFill>
                  <w14:solidFill>
                    <w14:schemeClr w14:val="tx1"/>
                  </w14:solidFill>
                </w14:textFill>
              </w:rPr>
              <w:t>；</w:t>
            </w:r>
          </w:p>
          <w:p w14:paraId="2EED5C94">
            <w:pPr>
              <w:keepNext w:val="0"/>
              <w:keepLines w:val="0"/>
              <w:suppressLineNumbers w:val="0"/>
              <w:spacing w:before="0" w:beforeAutospacing="0" w:after="0" w:afterAutospacing="0" w:line="360" w:lineRule="auto"/>
              <w:ind w:left="1" w:right="0" w:firstLine="1262" w:firstLineChars="526"/>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T——</w:t>
            </w:r>
            <w:r>
              <w:rPr>
                <w:rFonts w:hint="eastAsia" w:cs="宋体"/>
                <w:color w:val="000000" w:themeColor="text1"/>
                <w:sz w:val="24"/>
                <w:szCs w:val="20"/>
                <w:highlight w:val="none"/>
                <w14:textFill>
                  <w14:solidFill>
                    <w14:schemeClr w14:val="tx1"/>
                  </w14:solidFill>
                </w14:textFill>
              </w:rPr>
              <w:t>预测计算的时间段，</w:t>
            </w:r>
            <w:r>
              <w:rPr>
                <w:rFonts w:hint="default" w:cs="宋体"/>
                <w:color w:val="000000" w:themeColor="text1"/>
                <w:sz w:val="24"/>
                <w:szCs w:val="20"/>
                <w:highlight w:val="none"/>
                <w14:textFill>
                  <w14:solidFill>
                    <w14:schemeClr w14:val="tx1"/>
                  </w14:solidFill>
                </w14:textFill>
              </w:rPr>
              <w:t>s</w:t>
            </w:r>
            <w:r>
              <w:rPr>
                <w:rFonts w:hint="eastAsia" w:cs="宋体"/>
                <w:color w:val="000000" w:themeColor="text1"/>
                <w:sz w:val="24"/>
                <w:szCs w:val="20"/>
                <w:highlight w:val="none"/>
                <w14:textFill>
                  <w14:solidFill>
                    <w14:schemeClr w14:val="tx1"/>
                  </w14:solidFill>
                </w14:textFill>
              </w:rPr>
              <w:t>；</w:t>
            </w:r>
          </w:p>
          <w:p w14:paraId="3D0DF544">
            <w:pPr>
              <w:keepNext w:val="0"/>
              <w:keepLines w:val="0"/>
              <w:suppressLineNumbers w:val="0"/>
              <w:spacing w:before="0" w:beforeAutospacing="0" w:after="0" w:afterAutospacing="0" w:line="360" w:lineRule="auto"/>
              <w:ind w:left="1" w:right="0" w:firstLine="1262" w:firstLineChars="526"/>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t</w:t>
            </w:r>
            <w:r>
              <w:rPr>
                <w:rFonts w:hint="default" w:cs="宋体"/>
                <w:color w:val="000000" w:themeColor="text1"/>
                <w:sz w:val="24"/>
                <w:szCs w:val="20"/>
                <w:highlight w:val="none"/>
                <w:vertAlign w:val="subscript"/>
                <w14:textFill>
                  <w14:solidFill>
                    <w14:schemeClr w14:val="tx1"/>
                  </w14:solidFill>
                </w14:textFill>
              </w:rPr>
              <w:t>i</w:t>
            </w:r>
            <w:r>
              <w:rPr>
                <w:rFonts w:hint="default" w:cs="宋体"/>
                <w:color w:val="000000" w:themeColor="text1"/>
                <w:sz w:val="24"/>
                <w:szCs w:val="20"/>
                <w:highlight w:val="none"/>
                <w14:textFill>
                  <w14:solidFill>
                    <w14:schemeClr w14:val="tx1"/>
                  </w14:solidFill>
                </w14:textFill>
              </w:rPr>
              <w:t>——i</w:t>
            </w:r>
            <w:r>
              <w:rPr>
                <w:rFonts w:hint="eastAsia" w:cs="宋体"/>
                <w:color w:val="000000" w:themeColor="text1"/>
                <w:sz w:val="24"/>
                <w:szCs w:val="20"/>
                <w:highlight w:val="none"/>
                <w14:textFill>
                  <w14:solidFill>
                    <w14:schemeClr w14:val="tx1"/>
                  </w14:solidFill>
                </w14:textFill>
              </w:rPr>
              <w:t>声源在</w:t>
            </w:r>
            <w:r>
              <w:rPr>
                <w:rFonts w:hint="default" w:cs="宋体"/>
                <w:color w:val="000000" w:themeColor="text1"/>
                <w:sz w:val="24"/>
                <w:szCs w:val="20"/>
                <w:highlight w:val="none"/>
                <w14:textFill>
                  <w14:solidFill>
                    <w14:schemeClr w14:val="tx1"/>
                  </w14:solidFill>
                </w14:textFill>
              </w:rPr>
              <w:t>T</w:t>
            </w:r>
            <w:r>
              <w:rPr>
                <w:rFonts w:hint="eastAsia" w:cs="宋体"/>
                <w:color w:val="000000" w:themeColor="text1"/>
                <w:sz w:val="24"/>
                <w:szCs w:val="20"/>
                <w:highlight w:val="none"/>
                <w14:textFill>
                  <w14:solidFill>
                    <w14:schemeClr w14:val="tx1"/>
                  </w14:solidFill>
                </w14:textFill>
              </w:rPr>
              <w:t>时段内的运行时间，</w:t>
            </w:r>
            <w:r>
              <w:rPr>
                <w:rFonts w:hint="default" w:cs="宋体"/>
                <w:color w:val="000000" w:themeColor="text1"/>
                <w:sz w:val="24"/>
                <w:szCs w:val="20"/>
                <w:highlight w:val="none"/>
                <w14:textFill>
                  <w14:solidFill>
                    <w14:schemeClr w14:val="tx1"/>
                  </w14:solidFill>
                </w14:textFill>
              </w:rPr>
              <w:t>s</w:t>
            </w:r>
            <w:r>
              <w:rPr>
                <w:rFonts w:hint="eastAsia" w:cs="宋体"/>
                <w:color w:val="000000" w:themeColor="text1"/>
                <w:sz w:val="24"/>
                <w:szCs w:val="20"/>
                <w:highlight w:val="none"/>
                <w14:textFill>
                  <w14:solidFill>
                    <w14:schemeClr w14:val="tx1"/>
                  </w14:solidFill>
                </w14:textFill>
              </w:rPr>
              <w:t>；</w:t>
            </w:r>
          </w:p>
          <w:p w14:paraId="6D4BE642">
            <w:pPr>
              <w:keepNext w:val="0"/>
              <w:keepLines w:val="0"/>
              <w:suppressLineNumbers w:val="0"/>
              <w:spacing w:before="0" w:beforeAutospacing="0" w:after="0" w:afterAutospacing="0" w:line="360" w:lineRule="auto"/>
              <w:ind w:left="1" w:right="0" w:firstLine="1262" w:firstLineChars="526"/>
              <w:rPr>
                <w:rFonts w:hint="default" w:cs="宋体"/>
                <w:color w:val="000000" w:themeColor="text1"/>
                <w:sz w:val="24"/>
                <w:szCs w:val="20"/>
                <w:highlight w:val="none"/>
                <w14:textFill>
                  <w14:solidFill>
                    <w14:schemeClr w14:val="tx1"/>
                  </w14:solidFill>
                </w14:textFill>
              </w:rPr>
            </w:pPr>
            <w:r>
              <w:rPr>
                <w:rFonts w:hint="default" w:cs="宋体"/>
                <w:color w:val="000000" w:themeColor="text1"/>
                <w:sz w:val="24"/>
                <w:szCs w:val="20"/>
                <w:highlight w:val="none"/>
                <w14:textFill>
                  <w14:solidFill>
                    <w14:schemeClr w14:val="tx1"/>
                  </w14:solidFill>
                </w14:textFill>
              </w:rPr>
              <w:t>L</w:t>
            </w:r>
            <w:r>
              <w:rPr>
                <w:rFonts w:hint="default" w:cs="宋体"/>
                <w:color w:val="000000" w:themeColor="text1"/>
                <w:sz w:val="24"/>
                <w:szCs w:val="20"/>
                <w:highlight w:val="none"/>
                <w:vertAlign w:val="subscript"/>
                <w14:textFill>
                  <w14:solidFill>
                    <w14:schemeClr w14:val="tx1"/>
                  </w14:solidFill>
                </w14:textFill>
              </w:rPr>
              <w:t>Ai</w:t>
            </w:r>
            <w:r>
              <w:rPr>
                <w:rFonts w:hint="default" w:cs="宋体"/>
                <w:color w:val="000000" w:themeColor="text1"/>
                <w:sz w:val="24"/>
                <w:szCs w:val="20"/>
                <w:highlight w:val="none"/>
                <w14:textFill>
                  <w14:solidFill>
                    <w14:schemeClr w14:val="tx1"/>
                  </w14:solidFill>
                </w14:textFill>
              </w:rPr>
              <w:t>——i</w:t>
            </w:r>
            <w:r>
              <w:rPr>
                <w:rFonts w:hint="eastAsia" w:cs="宋体"/>
                <w:color w:val="000000" w:themeColor="text1"/>
                <w:sz w:val="24"/>
                <w:szCs w:val="20"/>
                <w:highlight w:val="none"/>
                <w14:textFill>
                  <w14:solidFill>
                    <w14:schemeClr w14:val="tx1"/>
                  </w14:solidFill>
                </w14:textFill>
              </w:rPr>
              <w:t>声源在预测点产生的等效连续</w:t>
            </w:r>
            <w:r>
              <w:rPr>
                <w:rFonts w:hint="default" w:cs="宋体"/>
                <w:color w:val="000000" w:themeColor="text1"/>
                <w:sz w:val="24"/>
                <w:szCs w:val="20"/>
                <w:highlight w:val="none"/>
                <w14:textFill>
                  <w14:solidFill>
                    <w14:schemeClr w14:val="tx1"/>
                  </w14:solidFill>
                </w14:textFill>
              </w:rPr>
              <w:t>A</w:t>
            </w:r>
            <w:r>
              <w:rPr>
                <w:rFonts w:hint="eastAsia" w:cs="宋体"/>
                <w:color w:val="000000" w:themeColor="text1"/>
                <w:sz w:val="24"/>
                <w:szCs w:val="20"/>
                <w:highlight w:val="none"/>
                <w14:textFill>
                  <w14:solidFill>
                    <w14:schemeClr w14:val="tx1"/>
                  </w14:solidFill>
                </w14:textFill>
              </w:rPr>
              <w:t>声级，</w:t>
            </w:r>
            <w:r>
              <w:rPr>
                <w:rFonts w:hint="default" w:cs="宋体"/>
                <w:color w:val="000000" w:themeColor="text1"/>
                <w:sz w:val="24"/>
                <w:szCs w:val="20"/>
                <w:highlight w:val="none"/>
                <w14:textFill>
                  <w14:solidFill>
                    <w14:schemeClr w14:val="tx1"/>
                  </w14:solidFill>
                </w14:textFill>
              </w:rPr>
              <w:t>dB</w:t>
            </w:r>
            <w:r>
              <w:rPr>
                <w:rFonts w:hint="eastAsia" w:cs="宋体"/>
                <w:color w:val="000000" w:themeColor="text1"/>
                <w:sz w:val="24"/>
                <w:szCs w:val="20"/>
                <w:highlight w:val="none"/>
                <w14:textFill>
                  <w14:solidFill>
                    <w14:schemeClr w14:val="tx1"/>
                  </w14:solidFill>
                </w14:textFill>
              </w:rPr>
              <w:t>。</w:t>
            </w:r>
          </w:p>
          <w:p w14:paraId="0A800C57">
            <w:pPr>
              <w:keepNext w:val="0"/>
              <w:keepLines w:val="0"/>
              <w:suppressLineNumbers w:val="0"/>
              <w:spacing w:before="0" w:beforeAutospacing="0" w:after="0" w:afterAutospacing="0" w:line="360" w:lineRule="auto"/>
              <w:ind w:left="0" w:right="0" w:firstLine="480" w:firstLineChars="200"/>
              <w:rPr>
                <w:rFonts w:hint="default"/>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本次环评在</w:t>
            </w:r>
            <w:r>
              <w:rPr>
                <w:rFonts w:hint="eastAsia"/>
                <w:color w:val="000000" w:themeColor="text1"/>
                <w:kern w:val="0"/>
                <w:sz w:val="24"/>
                <w:szCs w:val="20"/>
                <w:highlight w:val="none"/>
                <w:lang w:val="en-US" w:eastAsia="zh-CN"/>
                <w14:textFill>
                  <w14:solidFill>
                    <w14:schemeClr w14:val="tx1"/>
                  </w14:solidFill>
                </w14:textFill>
              </w:rPr>
              <w:t>项目边界外</w:t>
            </w:r>
            <w:r>
              <w:rPr>
                <w:rFonts w:hint="eastAsia"/>
                <w:color w:val="000000" w:themeColor="text1"/>
                <w:kern w:val="0"/>
                <w:sz w:val="24"/>
                <w:szCs w:val="20"/>
                <w:highlight w:val="none"/>
                <w14:textFill>
                  <w14:solidFill>
                    <w14:schemeClr w14:val="tx1"/>
                  </w14:solidFill>
                </w14:textFill>
              </w:rPr>
              <w:t>四周1m外距离设置4个噪声预测点，</w:t>
            </w:r>
            <w:r>
              <w:rPr>
                <w:rFonts w:hint="eastAsia"/>
                <w:color w:val="000000" w:themeColor="text1"/>
                <w:kern w:val="0"/>
                <w:sz w:val="24"/>
                <w:szCs w:val="20"/>
                <w:highlight w:val="none"/>
                <w:lang w:val="en-US" w:eastAsia="zh-CN"/>
                <w14:textFill>
                  <w14:solidFill>
                    <w14:schemeClr w14:val="tx1"/>
                  </w14:solidFill>
                </w14:textFill>
              </w:rPr>
              <w:t>预测时将</w:t>
            </w:r>
            <w:r>
              <w:rPr>
                <w:rFonts w:hint="eastAsia"/>
                <w:color w:val="000000" w:themeColor="text1"/>
                <w:kern w:val="0"/>
                <w:sz w:val="24"/>
                <w:szCs w:val="20"/>
                <w:highlight w:val="none"/>
                <w14:textFill>
                  <w14:solidFill>
                    <w14:schemeClr w14:val="tx1"/>
                  </w14:solidFill>
                </w14:textFill>
              </w:rPr>
              <w:t>预测</w:t>
            </w:r>
            <w:r>
              <w:rPr>
                <w:rFonts w:hint="eastAsia"/>
                <w:color w:val="000000" w:themeColor="text1"/>
                <w:kern w:val="0"/>
                <w:sz w:val="24"/>
                <w:szCs w:val="20"/>
                <w:highlight w:val="none"/>
                <w:lang w:val="en-US" w:eastAsia="zh-CN"/>
                <w14:textFill>
                  <w14:solidFill>
                    <w14:schemeClr w14:val="tx1"/>
                  </w14:solidFill>
                </w14:textFill>
              </w:rPr>
              <w:t>边界</w:t>
            </w:r>
            <w:r>
              <w:rPr>
                <w:rFonts w:hint="eastAsia"/>
                <w:color w:val="000000" w:themeColor="text1"/>
                <w:kern w:val="0"/>
                <w:sz w:val="24"/>
                <w:szCs w:val="20"/>
                <w:highlight w:val="none"/>
                <w14:textFill>
                  <w14:solidFill>
                    <w14:schemeClr w14:val="tx1"/>
                  </w14:solidFill>
                </w14:textFill>
              </w:rPr>
              <w:t>噪声贡献的最大值见表4-</w:t>
            </w:r>
            <w:r>
              <w:rPr>
                <w:rFonts w:hint="eastAsia"/>
                <w:color w:val="000000" w:themeColor="text1"/>
                <w:kern w:val="0"/>
                <w:sz w:val="24"/>
                <w:szCs w:val="20"/>
                <w:highlight w:val="none"/>
                <w:lang w:val="en-US" w:eastAsia="zh-CN"/>
                <w14:textFill>
                  <w14:solidFill>
                    <w14:schemeClr w14:val="tx1"/>
                  </w14:solidFill>
                </w14:textFill>
              </w:rPr>
              <w:t>4</w:t>
            </w:r>
            <w:r>
              <w:rPr>
                <w:rFonts w:hint="eastAsia"/>
                <w:color w:val="000000" w:themeColor="text1"/>
                <w:kern w:val="0"/>
                <w:sz w:val="24"/>
                <w:szCs w:val="20"/>
                <w:highlight w:val="none"/>
                <w14:textFill>
                  <w14:solidFill>
                    <w14:schemeClr w14:val="tx1"/>
                  </w14:solidFill>
                </w14:textFill>
              </w:rPr>
              <w:t>。</w:t>
            </w:r>
          </w:p>
          <w:p w14:paraId="633E09D8">
            <w:pPr>
              <w:keepNext w:val="0"/>
              <w:keepLines w:val="0"/>
              <w:suppressLineNumbers w:val="0"/>
              <w:spacing w:before="0" w:beforeAutospacing="0" w:after="0" w:afterAutospacing="0"/>
              <w:ind w:left="0" w:right="0"/>
              <w:jc w:val="center"/>
              <w:rPr>
                <w:rFonts w:hint="eastAsia"/>
                <w:b/>
                <w:color w:val="000000" w:themeColor="text1"/>
                <w:kern w:val="0"/>
                <w:sz w:val="24"/>
                <w:szCs w:val="24"/>
                <w:highlight w:val="none"/>
                <w14:textFill>
                  <w14:solidFill>
                    <w14:schemeClr w14:val="tx1"/>
                  </w14:solidFill>
                </w14:textFill>
              </w:rPr>
            </w:pPr>
            <w:r>
              <w:rPr>
                <w:rFonts w:hint="eastAsia"/>
                <w:b/>
                <w:color w:val="000000" w:themeColor="text1"/>
                <w:kern w:val="0"/>
                <w:sz w:val="24"/>
                <w:szCs w:val="24"/>
                <w:highlight w:val="none"/>
                <w14:textFill>
                  <w14:solidFill>
                    <w14:schemeClr w14:val="tx1"/>
                  </w14:solidFill>
                </w14:textFill>
              </w:rPr>
              <w:t>表4-</w:t>
            </w:r>
            <w:r>
              <w:rPr>
                <w:rFonts w:hint="eastAsia"/>
                <w:b/>
                <w:color w:val="000000" w:themeColor="text1"/>
                <w:kern w:val="0"/>
                <w:sz w:val="24"/>
                <w:szCs w:val="24"/>
                <w:highlight w:val="none"/>
                <w:lang w:val="en-US" w:eastAsia="zh-CN"/>
                <w14:textFill>
                  <w14:solidFill>
                    <w14:schemeClr w14:val="tx1"/>
                  </w14:solidFill>
                </w14:textFill>
              </w:rPr>
              <w:t>4</w:t>
            </w:r>
            <w:r>
              <w:rPr>
                <w:rFonts w:hint="eastAsia"/>
                <w:b/>
                <w:color w:val="000000" w:themeColor="text1"/>
                <w:kern w:val="0"/>
                <w:sz w:val="24"/>
                <w:szCs w:val="24"/>
                <w:highlight w:val="none"/>
                <w14:textFill>
                  <w14:solidFill>
                    <w14:schemeClr w14:val="tx1"/>
                  </w14:solidFill>
                </w14:textFill>
              </w:rPr>
              <w:t xml:space="preserve">  厂界噪声预测结果</w:t>
            </w:r>
          </w:p>
          <w:tbl>
            <w:tblPr>
              <w:tblStyle w:val="44"/>
              <w:tblW w:w="4948" w:type="pct"/>
              <w:tblInd w:w="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2061"/>
              <w:gridCol w:w="808"/>
              <w:gridCol w:w="894"/>
              <w:gridCol w:w="1031"/>
              <w:gridCol w:w="569"/>
              <w:gridCol w:w="982"/>
              <w:gridCol w:w="716"/>
              <w:gridCol w:w="716"/>
            </w:tblGrid>
            <w:tr w14:paraId="5668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 w:type="pct"/>
                  <w:vMerge w:val="restart"/>
                  <w:tcBorders>
                    <w:top w:val="single" w:color="auto" w:sz="4" w:space="0"/>
                    <w:left w:val="single" w:color="auto" w:sz="4" w:space="0"/>
                    <w:right w:val="single" w:color="auto" w:sz="4" w:space="0"/>
                  </w:tcBorders>
                  <w:shd w:val="clear" w:color="auto" w:fill="auto"/>
                  <w:vAlign w:val="center"/>
                </w:tcPr>
                <w:p w14:paraId="1FF8A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247" w:type="pct"/>
                  <w:vMerge w:val="restart"/>
                  <w:tcBorders>
                    <w:top w:val="single" w:color="000000" w:sz="4" w:space="0"/>
                    <w:left w:val="single" w:color="auto" w:sz="4" w:space="0"/>
                    <w:right w:val="single" w:color="000000" w:sz="4" w:space="0"/>
                  </w:tcBorders>
                  <w:shd w:val="clear" w:color="auto" w:fill="auto"/>
                  <w:vAlign w:val="center"/>
                </w:tcPr>
                <w:p w14:paraId="223FF2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488" w:type="pct"/>
                  <w:vMerge w:val="restart"/>
                  <w:tcBorders>
                    <w:top w:val="single" w:color="000000" w:sz="4" w:space="0"/>
                    <w:left w:val="single" w:color="000000" w:sz="4" w:space="0"/>
                    <w:right w:val="single" w:color="000000" w:sz="4" w:space="0"/>
                  </w:tcBorders>
                  <w:shd w:val="clear" w:color="auto" w:fill="auto"/>
                  <w:vAlign w:val="center"/>
                </w:tcPr>
                <w:p w14:paraId="1A3360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X(m)</w:t>
                  </w:r>
                </w:p>
              </w:tc>
              <w:tc>
                <w:tcPr>
                  <w:tcW w:w="540" w:type="pct"/>
                  <w:vMerge w:val="restart"/>
                  <w:tcBorders>
                    <w:top w:val="single" w:color="000000" w:sz="4" w:space="0"/>
                    <w:left w:val="single" w:color="000000" w:sz="4" w:space="0"/>
                    <w:right w:val="single" w:color="000000" w:sz="4" w:space="0"/>
                  </w:tcBorders>
                  <w:shd w:val="clear" w:color="auto" w:fill="auto"/>
                  <w:vAlign w:val="center"/>
                </w:tcPr>
                <w:p w14:paraId="23230C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Y(m)</w:t>
                  </w:r>
                </w:p>
              </w:tc>
              <w:tc>
                <w:tcPr>
                  <w:tcW w:w="623" w:type="pct"/>
                  <w:vMerge w:val="restart"/>
                  <w:tcBorders>
                    <w:top w:val="single" w:color="000000" w:sz="4" w:space="0"/>
                    <w:left w:val="single" w:color="000000" w:sz="4" w:space="0"/>
                    <w:right w:val="single" w:color="000000" w:sz="4" w:space="0"/>
                  </w:tcBorders>
                  <w:shd w:val="clear" w:color="auto" w:fill="auto"/>
                  <w:vAlign w:val="center"/>
                </w:tcPr>
                <w:p w14:paraId="08D0D4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地面高程(m)</w:t>
                  </w:r>
                </w:p>
              </w:tc>
              <w:tc>
                <w:tcPr>
                  <w:tcW w:w="344" w:type="pct"/>
                  <w:vMerge w:val="restart"/>
                  <w:tcBorders>
                    <w:top w:val="single" w:color="000000" w:sz="4" w:space="0"/>
                    <w:left w:val="single" w:color="000000" w:sz="4" w:space="0"/>
                    <w:right w:val="single" w:color="000000" w:sz="4" w:space="0"/>
                  </w:tcBorders>
                  <w:shd w:val="clear" w:color="auto" w:fill="auto"/>
                  <w:vAlign w:val="center"/>
                </w:tcPr>
                <w:p w14:paraId="175BA9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离地高度(m)</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3D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昼间</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2EB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场界标准</w:t>
                  </w:r>
                </w:p>
              </w:tc>
            </w:tr>
            <w:tr w14:paraId="08C7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vMerge w:val="continue"/>
                  <w:tcBorders>
                    <w:left w:val="single" w:color="auto" w:sz="4" w:space="0"/>
                    <w:bottom w:val="single" w:color="auto" w:sz="4" w:space="0"/>
                    <w:right w:val="single" w:color="auto" w:sz="4" w:space="0"/>
                  </w:tcBorders>
                  <w:shd w:val="clear" w:color="auto" w:fill="auto"/>
                  <w:vAlign w:val="center"/>
                </w:tcPr>
                <w:p w14:paraId="2AB2905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1247" w:type="pct"/>
                  <w:vMerge w:val="continue"/>
                  <w:tcBorders>
                    <w:left w:val="single" w:color="auto" w:sz="4" w:space="0"/>
                    <w:right w:val="single" w:color="000000" w:sz="4" w:space="0"/>
                  </w:tcBorders>
                  <w:shd w:val="clear" w:color="auto" w:fill="auto"/>
                  <w:vAlign w:val="center"/>
                </w:tcPr>
                <w:p w14:paraId="44A7E1B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488" w:type="pct"/>
                  <w:vMerge w:val="continue"/>
                  <w:tcBorders>
                    <w:left w:val="single" w:color="000000" w:sz="4" w:space="0"/>
                    <w:right w:val="single" w:color="000000" w:sz="4" w:space="0"/>
                  </w:tcBorders>
                  <w:shd w:val="clear" w:color="auto" w:fill="auto"/>
                  <w:vAlign w:val="center"/>
                </w:tcPr>
                <w:p w14:paraId="3DD41B5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540" w:type="pct"/>
                  <w:vMerge w:val="continue"/>
                  <w:tcBorders>
                    <w:left w:val="single" w:color="000000" w:sz="4" w:space="0"/>
                    <w:right w:val="single" w:color="000000" w:sz="4" w:space="0"/>
                  </w:tcBorders>
                  <w:shd w:val="clear" w:color="auto" w:fill="auto"/>
                  <w:vAlign w:val="center"/>
                </w:tcPr>
                <w:p w14:paraId="101FBB8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623" w:type="pct"/>
                  <w:vMerge w:val="continue"/>
                  <w:tcBorders>
                    <w:left w:val="single" w:color="000000" w:sz="4" w:space="0"/>
                    <w:right w:val="single" w:color="000000" w:sz="4" w:space="0"/>
                  </w:tcBorders>
                  <w:shd w:val="clear" w:color="auto" w:fill="auto"/>
                  <w:vAlign w:val="center"/>
                </w:tcPr>
                <w:p w14:paraId="107F5BD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344" w:type="pct"/>
                  <w:vMerge w:val="continue"/>
                  <w:tcBorders>
                    <w:left w:val="single" w:color="000000" w:sz="4" w:space="0"/>
                    <w:right w:val="single" w:color="000000" w:sz="4" w:space="0"/>
                  </w:tcBorders>
                  <w:shd w:val="clear" w:color="auto" w:fill="auto"/>
                  <w:vAlign w:val="center"/>
                </w:tcPr>
                <w:p w14:paraId="6850E4A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82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贡献值(dB)</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DA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标准值</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B2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是否达标</w:t>
                  </w:r>
                </w:p>
              </w:tc>
            </w:tr>
            <w:tr w14:paraId="7A23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auto" w:sz="4" w:space="0"/>
                    <w:left w:val="single" w:color="000000" w:sz="4" w:space="0"/>
                    <w:bottom w:val="single" w:color="000000" w:sz="4" w:space="0"/>
                    <w:right w:val="single" w:color="000000" w:sz="4" w:space="0"/>
                  </w:tcBorders>
                  <w:shd w:val="clear" w:color="auto" w:fill="auto"/>
                  <w:vAlign w:val="center"/>
                </w:tcPr>
                <w:p w14:paraId="35304F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09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60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2.43</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63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105.81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0A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1,943.70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6D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2A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14.03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56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EE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5531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13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D9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第2边的贡献最大值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0F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-43</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43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107.18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4A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1,939.60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B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4A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C4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45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122E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71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49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第3边的贡献最大值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C5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-61.91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4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83.39</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96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1,935.29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E2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8B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8.61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0F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48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3467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02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4A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第4边的贡献最大值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33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-90.38</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74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90.27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AC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1,928.82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7E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B4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12.39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D1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53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3297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C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DE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第5边的贡献最大值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C6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-91.74</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EF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90.6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8A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1,928.51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04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4D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12.23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52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7F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5805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EA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08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第6边的贡献最大值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09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-97.98</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69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79.3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42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1,927.07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EE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7E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62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D5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6EEC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A2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2F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第7边的贡献最大值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51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-83.74</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AD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74.42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FB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1,930.95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AC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1E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C4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62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0E26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17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第8边的贡献最大值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AC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-79.21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14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13.21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9F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1,928.41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EB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CD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49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E8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018F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0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38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第9边的贡献最大值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9A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-79.21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36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13.21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0F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1,928.41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ED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9C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D4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B1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292C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52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AC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第10边的贡献最大值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75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-77.96</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96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-3.65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89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1,928.52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B9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5A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8.06</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0C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11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0A07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2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11</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A0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第11边的贡献最大值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60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-93.35</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7F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-40.23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FF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1,933.54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56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84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8.17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F9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9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01C4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43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18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第12边的贡献最大值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45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-68.07</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6E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-111.1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6A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1,942.91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15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DD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9.67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8B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C2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5EE7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81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2E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第13边的贡献最大值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A1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4.77</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6D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-166.34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52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1,943.27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94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FC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19.33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72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AC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43BC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19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84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第14边的贡献最大值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AF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41.02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56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-113.45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AF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1,929.27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63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3F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27.12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B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43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29EF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E7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86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第15边的贡献最大值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B6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44.72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D8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-103.83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B0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1,927.11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A0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12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28.1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CA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24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7F77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9E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16</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C8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第16边的贡献最大值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C4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44.72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1C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-103.83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16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1,927.11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3D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94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28.1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1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9C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5689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D9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17</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0A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第17边的贡献最大值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89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69.87</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2A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-94.96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57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1,923.92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8A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84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29.85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41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CA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78C8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87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18</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85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第18边的贡献最大值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C7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102.79</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31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-25.05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C4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1,915.94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9E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2E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45.65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73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82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41F7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83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77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第19边的贡献最大值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7F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82.63</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59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9.39</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96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1,918.63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1E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CC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49.07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A5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BA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396C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2E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20</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D8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第20边的贡献最大值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ED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52.12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04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61.5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12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1,922.71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59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E9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37.11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8E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A7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068B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23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21</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98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第21边的贡献最大值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CD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44.59</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27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74.13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DB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1,925.86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63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1F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34.5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77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21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762F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1B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22</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9F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第22边的贡献最大值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5A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11.43</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68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101.23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FC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1,941.48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26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4E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15.29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CA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79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2F57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20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E4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第23边的贡献最大值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9B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2.43</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37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105.81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84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1,943.70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A0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D5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14.03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31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7B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r w14:paraId="27CB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57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24</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1D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第24边的贡献最大值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58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-43</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88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107.18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3B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1,939.60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04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39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3A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7E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是</w:t>
                  </w:r>
                </w:p>
              </w:tc>
            </w:tr>
          </w:tbl>
          <w:p w14:paraId="5951DFFE">
            <w:pPr>
              <w:pStyle w:val="17"/>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113" w:firstLine="480" w:firstLineChars="200"/>
              <w:textAlignment w:val="auto"/>
              <w:rPr>
                <w:rFonts w:hint="eastAsia"/>
                <w:color w:val="000000" w:themeColor="text1"/>
                <w:kern w:val="0"/>
                <w:sz w:val="24"/>
                <w:szCs w:val="20"/>
                <w:highlight w:val="none"/>
                <w:lang w:val="en-US" w:eastAsia="zh-CN"/>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根据上表预测结果，本项目</w:t>
            </w:r>
            <w:r>
              <w:rPr>
                <w:rFonts w:hint="eastAsia"/>
                <w:color w:val="000000" w:themeColor="text1"/>
                <w:kern w:val="0"/>
                <w:sz w:val="24"/>
                <w:szCs w:val="20"/>
                <w:highlight w:val="none"/>
                <w:lang w:val="en-US" w:eastAsia="zh-CN"/>
                <w14:textFill>
                  <w14:solidFill>
                    <w14:schemeClr w14:val="tx1"/>
                  </w14:solidFill>
                </w14:textFill>
              </w:rPr>
              <w:t>改性</w:t>
            </w:r>
            <w:r>
              <w:rPr>
                <w:rFonts w:hint="eastAsia"/>
                <w:color w:val="000000" w:themeColor="text1"/>
                <w:kern w:val="0"/>
                <w:sz w:val="24"/>
                <w:szCs w:val="20"/>
                <w:highlight w:val="none"/>
                <w14:textFill>
                  <w14:solidFill>
                    <w14:schemeClr w14:val="tx1"/>
                  </w14:solidFill>
                </w14:textFill>
              </w:rPr>
              <w:t>期间，昼</w:t>
            </w:r>
            <w:r>
              <w:rPr>
                <w:rFonts w:hint="eastAsia"/>
                <w:color w:val="000000" w:themeColor="text1"/>
                <w:kern w:val="0"/>
                <w:sz w:val="24"/>
                <w:szCs w:val="20"/>
                <w:highlight w:val="none"/>
                <w:lang w:val="en-US" w:eastAsia="zh-CN"/>
                <w14:textFill>
                  <w14:solidFill>
                    <w14:schemeClr w14:val="tx1"/>
                  </w14:solidFill>
                </w14:textFill>
              </w:rPr>
              <w:t>间</w:t>
            </w:r>
            <w:r>
              <w:rPr>
                <w:rFonts w:hint="eastAsia"/>
                <w:color w:val="000000" w:themeColor="text1"/>
                <w:kern w:val="0"/>
                <w:sz w:val="24"/>
                <w:szCs w:val="20"/>
                <w:highlight w:val="none"/>
                <w14:textFill>
                  <w14:solidFill>
                    <w14:schemeClr w14:val="tx1"/>
                  </w14:solidFill>
                </w14:textFill>
              </w:rPr>
              <w:t>噪声</w:t>
            </w:r>
            <w:r>
              <w:rPr>
                <w:rFonts w:hint="eastAsia"/>
                <w:color w:val="000000" w:themeColor="text1"/>
                <w:kern w:val="0"/>
                <w:sz w:val="24"/>
                <w:szCs w:val="20"/>
                <w:highlight w:val="none"/>
                <w:lang w:val="en-US" w:eastAsia="zh-CN"/>
                <w14:textFill>
                  <w14:solidFill>
                    <w14:schemeClr w14:val="tx1"/>
                  </w14:solidFill>
                </w14:textFill>
              </w:rPr>
              <w:t>在厂区界外1m处</w:t>
            </w:r>
            <w:r>
              <w:rPr>
                <w:rFonts w:hint="eastAsia"/>
                <w:color w:val="000000" w:themeColor="text1"/>
                <w:kern w:val="0"/>
                <w:sz w:val="24"/>
                <w:szCs w:val="20"/>
                <w:highlight w:val="none"/>
                <w14:textFill>
                  <w14:solidFill>
                    <w14:schemeClr w14:val="tx1"/>
                  </w14:solidFill>
                </w14:textFill>
              </w:rPr>
              <w:t>贡献值</w:t>
            </w:r>
            <w:r>
              <w:rPr>
                <w:rFonts w:hint="eastAsia"/>
                <w:color w:val="000000" w:themeColor="text1"/>
                <w:kern w:val="0"/>
                <w:sz w:val="24"/>
                <w:szCs w:val="20"/>
                <w:highlight w:val="none"/>
                <w:lang w:val="en-US" w:eastAsia="zh-CN"/>
                <w14:textFill>
                  <w14:solidFill>
                    <w14:schemeClr w14:val="tx1"/>
                  </w14:solidFill>
                </w14:textFill>
              </w:rPr>
              <w:t>可以满足</w:t>
            </w:r>
            <w:r>
              <w:rPr>
                <w:rFonts w:hint="eastAsia"/>
                <w:color w:val="000000" w:themeColor="text1"/>
                <w:kern w:val="0"/>
                <w:sz w:val="24"/>
                <w:szCs w:val="20"/>
                <w:highlight w:val="none"/>
                <w14:textFill>
                  <w14:solidFill>
                    <w14:schemeClr w14:val="tx1"/>
                  </w14:solidFill>
                </w14:textFill>
              </w:rPr>
              <w:t>《工业企业厂界环境噪声排放标准》（GB12348-2008）2类标准</w:t>
            </w:r>
            <w:r>
              <w:rPr>
                <w:rFonts w:hint="eastAsia" w:ascii="Times New Roman" w:hAnsi="Times New Roman" w:eastAsia="宋体" w:cs="Times New Roman"/>
                <w:color w:val="000000" w:themeColor="text1"/>
                <w:kern w:val="0"/>
                <w:sz w:val="24"/>
                <w:szCs w:val="20"/>
                <w:highlight w:val="none"/>
                <w:lang w:val="en-US"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噪声预测结果如图：</w:t>
            </w:r>
          </w:p>
          <w:p w14:paraId="3CD0B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b/>
                <w:color w:val="000000" w:themeColor="text1"/>
                <w:kern w:val="0"/>
                <w:sz w:val="24"/>
                <w:szCs w:val="24"/>
                <w:highlight w:val="none"/>
                <w:lang w:val="en-US" w:eastAsia="zh-CN"/>
                <w14:textFill>
                  <w14:solidFill>
                    <w14:schemeClr w14:val="tx1"/>
                  </w14:solidFill>
                </w14:textFill>
              </w:rPr>
            </w:pPr>
            <w:r>
              <w:rPr>
                <w:rFonts w:hint="default"/>
                <w:color w:val="000000" w:themeColor="text1"/>
                <w:sz w:val="20"/>
                <w:szCs w:val="20"/>
                <w:highlight w:val="none"/>
                <w14:textFill>
                  <w14:solidFill>
                    <w14:schemeClr w14:val="tx1"/>
                  </w14:solidFill>
                </w14:textFill>
              </w:rPr>
              <w:drawing>
                <wp:inline distT="0" distB="0" distL="114300" distR="114300">
                  <wp:extent cx="5297170" cy="4573270"/>
                  <wp:effectExtent l="0" t="0" r="17780" b="1778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28"/>
                          <a:stretch>
                            <a:fillRect/>
                          </a:stretch>
                        </pic:blipFill>
                        <pic:spPr>
                          <a:xfrm>
                            <a:off x="0" y="0"/>
                            <a:ext cx="5297170" cy="4573270"/>
                          </a:xfrm>
                          <a:prstGeom prst="rect">
                            <a:avLst/>
                          </a:prstGeom>
                          <a:noFill/>
                          <a:ln>
                            <a:noFill/>
                          </a:ln>
                        </pic:spPr>
                      </pic:pic>
                    </a:graphicData>
                  </a:graphic>
                </wp:inline>
              </w:drawing>
            </w:r>
          </w:p>
          <w:p w14:paraId="59303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color w:val="000000" w:themeColor="text1"/>
                <w:kern w:val="0"/>
                <w:sz w:val="24"/>
                <w:szCs w:val="20"/>
                <w:highlight w:val="none"/>
                <w:lang w:val="en-US" w:eastAsia="zh-CN"/>
                <w14:textFill>
                  <w14:solidFill>
                    <w14:schemeClr w14:val="tx1"/>
                  </w14:solidFill>
                </w14:textFill>
              </w:rPr>
            </w:pPr>
            <w:r>
              <w:rPr>
                <w:rFonts w:hint="eastAsia"/>
                <w:b/>
                <w:color w:val="000000" w:themeColor="text1"/>
                <w:kern w:val="0"/>
                <w:sz w:val="24"/>
                <w:szCs w:val="24"/>
                <w:highlight w:val="none"/>
                <w:lang w:val="en-US" w:eastAsia="zh-CN"/>
                <w14:textFill>
                  <w14:solidFill>
                    <w14:schemeClr w14:val="tx1"/>
                  </w14:solidFill>
                </w14:textFill>
              </w:rPr>
              <w:t>图</w:t>
            </w:r>
            <w:r>
              <w:rPr>
                <w:rFonts w:hint="eastAsia"/>
                <w:b/>
                <w:color w:val="000000" w:themeColor="text1"/>
                <w:kern w:val="0"/>
                <w:sz w:val="24"/>
                <w:szCs w:val="24"/>
                <w:highlight w:val="none"/>
                <w14:textFill>
                  <w14:solidFill>
                    <w14:schemeClr w14:val="tx1"/>
                  </w14:solidFill>
                </w14:textFill>
              </w:rPr>
              <w:t>4-</w:t>
            </w:r>
            <w:r>
              <w:rPr>
                <w:rFonts w:hint="eastAsia"/>
                <w:b/>
                <w:color w:val="000000" w:themeColor="text1"/>
                <w:kern w:val="0"/>
                <w:sz w:val="24"/>
                <w:szCs w:val="24"/>
                <w:highlight w:val="none"/>
                <w:lang w:val="en-US" w:eastAsia="zh-CN"/>
                <w14:textFill>
                  <w14:solidFill>
                    <w14:schemeClr w14:val="tx1"/>
                  </w14:solidFill>
                </w14:textFill>
              </w:rPr>
              <w:t>1</w:t>
            </w:r>
            <w:r>
              <w:rPr>
                <w:rFonts w:hint="eastAsia"/>
                <w:b/>
                <w:color w:val="000000" w:themeColor="text1"/>
                <w:kern w:val="0"/>
                <w:sz w:val="24"/>
                <w:szCs w:val="24"/>
                <w:highlight w:val="none"/>
                <w14:textFill>
                  <w14:solidFill>
                    <w14:schemeClr w14:val="tx1"/>
                  </w14:solidFill>
                </w14:textFill>
              </w:rPr>
              <w:t xml:space="preserve">  </w:t>
            </w:r>
            <w:r>
              <w:rPr>
                <w:rFonts w:hint="eastAsia"/>
                <w:b/>
                <w:color w:val="000000" w:themeColor="text1"/>
                <w:kern w:val="0"/>
                <w:sz w:val="24"/>
                <w:szCs w:val="24"/>
                <w:highlight w:val="none"/>
                <w:lang w:val="en-US" w:eastAsia="zh-CN"/>
                <w14:textFill>
                  <w14:solidFill>
                    <w14:schemeClr w14:val="tx1"/>
                  </w14:solidFill>
                </w14:textFill>
              </w:rPr>
              <w:t>改性区</w:t>
            </w:r>
            <w:r>
              <w:rPr>
                <w:rFonts w:hint="eastAsia"/>
                <w:b/>
                <w:color w:val="000000" w:themeColor="text1"/>
                <w:kern w:val="0"/>
                <w:sz w:val="24"/>
                <w:szCs w:val="24"/>
                <w:highlight w:val="none"/>
                <w14:textFill>
                  <w14:solidFill>
                    <w14:schemeClr w14:val="tx1"/>
                  </w14:solidFill>
                </w14:textFill>
              </w:rPr>
              <w:t>厂界噪声预测结果</w:t>
            </w:r>
          </w:p>
          <w:p w14:paraId="0B7A802B">
            <w:pPr>
              <w:keepNext w:val="0"/>
              <w:keepLines w:val="0"/>
              <w:suppressLineNumbers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lang w:val="en-US" w:eastAsia="zh-CN"/>
                <w14:textFill>
                  <w14:solidFill>
                    <w14:schemeClr w14:val="tx1"/>
                  </w14:solidFill>
                </w14:textFill>
              </w:rPr>
              <w:t>3</w:t>
            </w:r>
            <w:r>
              <w:rPr>
                <w:rFonts w:hint="eastAsia"/>
                <w:color w:val="000000" w:themeColor="text1"/>
                <w:kern w:val="0"/>
                <w:sz w:val="24"/>
                <w:szCs w:val="20"/>
                <w:highlight w:val="none"/>
                <w14:textFill>
                  <w14:solidFill>
                    <w14:schemeClr w14:val="tx1"/>
                  </w14:solidFill>
                </w14:textFill>
              </w:rPr>
              <w:t>）声环境保护目标影响分析</w:t>
            </w:r>
          </w:p>
          <w:p w14:paraId="7B190D58">
            <w:pPr>
              <w:keepNext w:val="0"/>
              <w:keepLines w:val="0"/>
              <w:suppressLineNumbers w:val="0"/>
              <w:spacing w:before="0" w:beforeAutospacing="0" w:after="0" w:afterAutospacing="0" w:line="360" w:lineRule="auto"/>
              <w:ind w:left="0" w:right="0" w:firstLine="480" w:firstLineChars="200"/>
              <w:rPr>
                <w:rFonts w:hint="eastAsia"/>
                <w:color w:val="000000" w:themeColor="text1"/>
                <w:sz w:val="20"/>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本项目厂界外50m范围内均没有声环境保护目标，项目改性生产过</w:t>
            </w:r>
            <w:r>
              <w:rPr>
                <w:rFonts w:hint="eastAsia"/>
                <w:color w:val="000000" w:themeColor="text1"/>
                <w:kern w:val="0"/>
                <w:sz w:val="24"/>
                <w:szCs w:val="20"/>
                <w:highlight w:val="none"/>
                <w:lang w:eastAsia="zh-CN"/>
                <w14:textFill>
                  <w14:solidFill>
                    <w14:schemeClr w14:val="tx1"/>
                  </w14:solidFill>
                </w14:textFill>
              </w:rPr>
              <w:t>程中</w:t>
            </w:r>
            <w:r>
              <w:rPr>
                <w:rFonts w:hint="eastAsia"/>
                <w:color w:val="000000" w:themeColor="text1"/>
                <w:kern w:val="0"/>
                <w:sz w:val="24"/>
                <w:szCs w:val="20"/>
                <w:highlight w:val="none"/>
                <w14:textFill>
                  <w14:solidFill>
                    <w14:schemeClr w14:val="tx1"/>
                  </w14:solidFill>
                </w14:textFill>
              </w:rPr>
              <w:t>产生的噪声不会造成噪声扰民现象。在生产期间，加强机械设备保养维护、选用低频低噪设备等措施降低噪声，改性区设置厂房隔声和距离衰减，通过采取以上措施，项目生产对周边声环境影响不大</w:t>
            </w:r>
            <w:r>
              <w:rPr>
                <w:rStyle w:val="56"/>
                <w:rFonts w:hint="eastAsia"/>
                <w:color w:val="000000" w:themeColor="text1"/>
                <w:kern w:val="0"/>
                <w:szCs w:val="20"/>
                <w:highlight w:val="none"/>
                <w14:textFill>
                  <w14:solidFill>
                    <w14:schemeClr w14:val="tx1"/>
                  </w14:solidFill>
                </w14:textFill>
              </w:rPr>
              <w:t>。</w:t>
            </w:r>
          </w:p>
          <w:p w14:paraId="2CC35559">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b/>
                <w:bCs/>
                <w:color w:val="000000" w:themeColor="text1"/>
                <w:szCs w:val="24"/>
                <w:highlight w:val="none"/>
                <w14:textFill>
                  <w14:solidFill>
                    <w14:schemeClr w14:val="tx1"/>
                  </w14:solidFill>
                </w14:textFill>
              </w:rPr>
            </w:pPr>
            <w:r>
              <w:rPr>
                <w:rFonts w:hint="eastAsia" w:ascii="Times New Roman" w:hAnsi="Times New Roman"/>
                <w:b/>
                <w:bCs/>
                <w:color w:val="000000" w:themeColor="text1"/>
                <w:szCs w:val="24"/>
                <w:highlight w:val="none"/>
                <w14:textFill>
                  <w14:solidFill>
                    <w14:schemeClr w14:val="tx1"/>
                  </w14:solidFill>
                </w14:textFill>
              </w:rPr>
              <w:t>4.</w:t>
            </w:r>
            <w:r>
              <w:rPr>
                <w:rFonts w:hint="eastAsia" w:ascii="Times New Roman" w:hAnsi="Times New Roman"/>
                <w:b/>
                <w:bCs/>
                <w:color w:val="000000" w:themeColor="text1"/>
                <w:szCs w:val="24"/>
                <w:highlight w:val="none"/>
                <w:lang w:val="en-US" w:eastAsia="zh-CN"/>
                <w14:textFill>
                  <w14:solidFill>
                    <w14:schemeClr w14:val="tx1"/>
                  </w14:solidFill>
                </w14:textFill>
              </w:rPr>
              <w:t>6</w:t>
            </w:r>
            <w:r>
              <w:rPr>
                <w:rFonts w:hint="eastAsia" w:ascii="Times New Roman" w:hAnsi="Times New Roman"/>
                <w:b/>
                <w:bCs/>
                <w:color w:val="000000" w:themeColor="text1"/>
                <w:szCs w:val="24"/>
                <w:highlight w:val="none"/>
                <w14:textFill>
                  <w14:solidFill>
                    <w14:schemeClr w14:val="tx1"/>
                  </w14:solidFill>
                </w14:textFill>
              </w:rPr>
              <w:t>.</w:t>
            </w:r>
            <w:r>
              <w:rPr>
                <w:rFonts w:hint="eastAsia" w:ascii="Times New Roman" w:hAnsi="Times New Roman"/>
                <w:b/>
                <w:bCs/>
                <w:color w:val="000000" w:themeColor="text1"/>
                <w:szCs w:val="24"/>
                <w:highlight w:val="none"/>
                <w:lang w:val="en-US" w:eastAsia="zh-CN"/>
                <w14:textFill>
                  <w14:solidFill>
                    <w14:schemeClr w14:val="tx1"/>
                  </w14:solidFill>
                </w14:textFill>
              </w:rPr>
              <w:t>3</w:t>
            </w:r>
            <w:r>
              <w:rPr>
                <w:rFonts w:hint="eastAsia" w:ascii="Times New Roman" w:hAnsi="Times New Roman"/>
                <w:b/>
                <w:bCs/>
                <w:color w:val="000000" w:themeColor="text1"/>
                <w:szCs w:val="24"/>
                <w:highlight w:val="none"/>
                <w14:textFill>
                  <w14:solidFill>
                    <w14:schemeClr w14:val="tx1"/>
                  </w14:solidFill>
                </w14:textFill>
              </w:rPr>
              <w:t>固体废物环境影响和保护措施</w:t>
            </w:r>
          </w:p>
          <w:p w14:paraId="5479595C">
            <w:pPr>
              <w:keepNext w:val="0"/>
              <w:keepLines w:val="0"/>
              <w:suppressLineNumbers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本项目运营期产生的固体废物主要包括一般固体废物（不合格改性磷石膏）和危险废物（设备维护产生的废机油）。各类固体废物分类收集、妥善处置，具体措施如下：</w:t>
            </w:r>
          </w:p>
          <w:p w14:paraId="0BEBA466">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kern w:val="0"/>
                <w:sz w:val="24"/>
                <w:szCs w:val="20"/>
                <w:highlight w:val="none"/>
                <w:lang w:eastAsia="zh-CN"/>
                <w14:textFill>
                  <w14:solidFill>
                    <w14:schemeClr w14:val="tx1"/>
                  </w14:solidFill>
                </w14:textFill>
              </w:rPr>
            </w:pP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1</w:t>
            </w: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生活垃圾</w:t>
            </w:r>
          </w:p>
          <w:p w14:paraId="5CE06EC4">
            <w:pPr>
              <w:keepNext w:val="0"/>
              <w:keepLines w:val="0"/>
              <w:suppressLineNumbers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项目劳动定员</w:t>
            </w:r>
            <w:r>
              <w:rPr>
                <w:rFonts w:hint="eastAsia"/>
                <w:color w:val="000000" w:themeColor="text1"/>
                <w:sz w:val="24"/>
                <w:szCs w:val="20"/>
                <w:highlight w:val="none"/>
                <w:lang w:val="en-US" w:eastAsia="zh-CN"/>
                <w14:textFill>
                  <w14:solidFill>
                    <w14:schemeClr w14:val="tx1"/>
                  </w14:solidFill>
                </w14:textFill>
              </w:rPr>
              <w:t>20</w:t>
            </w:r>
            <w:r>
              <w:rPr>
                <w:rFonts w:hint="eastAsia"/>
                <w:color w:val="000000" w:themeColor="text1"/>
                <w:sz w:val="24"/>
                <w:szCs w:val="20"/>
                <w:highlight w:val="none"/>
                <w14:textFill>
                  <w14:solidFill>
                    <w14:schemeClr w14:val="tx1"/>
                  </w14:solidFill>
                </w14:textFill>
              </w:rPr>
              <w:t>人，</w:t>
            </w:r>
            <w:r>
              <w:rPr>
                <w:rFonts w:hint="eastAsia"/>
                <w:color w:val="000000" w:themeColor="text1"/>
                <w:sz w:val="24"/>
                <w:szCs w:val="20"/>
                <w:highlight w:val="none"/>
                <w:lang w:val="en-US" w:eastAsia="zh-CN"/>
                <w14:textFill>
                  <w14:solidFill>
                    <w14:schemeClr w14:val="tx1"/>
                  </w14:solidFill>
                </w14:textFill>
              </w:rPr>
              <w:t>不在厂区食宿</w:t>
            </w:r>
            <w:r>
              <w:rPr>
                <w:rFonts w:hint="eastAsia"/>
                <w:color w:val="000000" w:themeColor="text1"/>
                <w:sz w:val="24"/>
                <w:szCs w:val="20"/>
                <w:highlight w:val="none"/>
                <w14:textFill>
                  <w14:solidFill>
                    <w14:schemeClr w14:val="tx1"/>
                  </w14:solidFill>
                </w14:textFill>
              </w:rPr>
              <w:t>。运营期产生的生活垃圾主要为员工日常产生的饮料瓶、废纸等干性垃圾。产生量按保守估算约 0.2 kg/(人·d)，则日产生量约 0.0</w:t>
            </w:r>
            <w:r>
              <w:rPr>
                <w:rFonts w:hint="eastAsia"/>
                <w:color w:val="000000" w:themeColor="text1"/>
                <w:sz w:val="24"/>
                <w:szCs w:val="20"/>
                <w:highlight w:val="none"/>
                <w:lang w:val="en-US" w:eastAsia="zh-CN"/>
                <w14:textFill>
                  <w14:solidFill>
                    <w14:schemeClr w14:val="tx1"/>
                  </w14:solidFill>
                </w14:textFill>
              </w:rPr>
              <w:t>04</w:t>
            </w:r>
            <w:r>
              <w:rPr>
                <w:rFonts w:hint="eastAsia"/>
                <w:color w:val="000000" w:themeColor="text1"/>
                <w:sz w:val="24"/>
                <w:szCs w:val="20"/>
                <w:highlight w:val="none"/>
                <w14:textFill>
                  <w14:solidFill>
                    <w14:schemeClr w14:val="tx1"/>
                  </w14:solidFill>
                </w14:textFill>
              </w:rPr>
              <w:t>t/d（</w:t>
            </w:r>
            <w:r>
              <w:rPr>
                <w:rFonts w:hint="eastAsia"/>
                <w:color w:val="000000" w:themeColor="text1"/>
                <w:sz w:val="24"/>
                <w:szCs w:val="20"/>
                <w:highlight w:val="none"/>
                <w:lang w:val="en-US" w:eastAsia="zh-CN"/>
                <w14:textFill>
                  <w14:solidFill>
                    <w14:schemeClr w14:val="tx1"/>
                  </w14:solidFill>
                </w14:textFill>
              </w:rPr>
              <w:t>1.2</w:t>
            </w:r>
            <w:r>
              <w:rPr>
                <w:rFonts w:hint="eastAsia"/>
                <w:color w:val="000000" w:themeColor="text1"/>
                <w:sz w:val="24"/>
                <w:szCs w:val="20"/>
                <w:highlight w:val="none"/>
                <w14:textFill>
                  <w14:solidFill>
                    <w14:schemeClr w14:val="tx1"/>
                  </w14:solidFill>
                </w14:textFill>
              </w:rPr>
              <w:t>t/a）。项目在办公区及车间入口设置带盖生活垃圾收集桶，分类收集后，定期委托当地环卫部门清运处置，对周围环境影响较小。</w:t>
            </w:r>
          </w:p>
          <w:p w14:paraId="4732D382">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kern w:val="0"/>
                <w:sz w:val="24"/>
                <w:szCs w:val="20"/>
                <w:highlight w:val="none"/>
                <w:lang w:eastAsia="zh-CN"/>
                <w14:textFill>
                  <w14:solidFill>
                    <w14:schemeClr w14:val="tx1"/>
                  </w14:solidFill>
                </w14:textFill>
              </w:rPr>
            </w:pP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2</w:t>
            </w:r>
            <w:r>
              <w:rPr>
                <w:rFonts w:hint="eastAsia"/>
                <w:color w:val="000000" w:themeColor="text1"/>
                <w:kern w:val="0"/>
                <w:sz w:val="24"/>
                <w:szCs w:val="20"/>
                <w:highlight w:val="none"/>
                <w:lang w:eastAsia="zh-CN"/>
                <w14:textFill>
                  <w14:solidFill>
                    <w14:schemeClr w14:val="tx1"/>
                  </w14:solidFill>
                </w14:textFill>
              </w:rPr>
              <w:t>）不合格产品</w:t>
            </w:r>
          </w:p>
          <w:p w14:paraId="0F8BBC59">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项目磷石膏改性总量 161.42 万吨。改性过程中若检测不合格，同批次产品</w:t>
            </w:r>
            <w:r>
              <w:rPr>
                <w:rFonts w:hint="eastAsia"/>
                <w:color w:val="000000" w:themeColor="text1"/>
                <w:sz w:val="24"/>
                <w:szCs w:val="20"/>
                <w:highlight w:val="none"/>
                <w:lang w:val="en-US" w:eastAsia="zh-CN"/>
                <w14:textFill>
                  <w14:solidFill>
                    <w14:schemeClr w14:val="tx1"/>
                  </w14:solidFill>
                </w14:textFill>
              </w:rPr>
              <w:t>在待检区暂存后</w:t>
            </w:r>
            <w:r>
              <w:rPr>
                <w:rFonts w:hint="eastAsia"/>
                <w:color w:val="000000" w:themeColor="text1"/>
                <w:sz w:val="24"/>
                <w:szCs w:val="20"/>
                <w:highlight w:val="none"/>
                <w14:textFill>
                  <w14:solidFill>
                    <w14:schemeClr w14:val="tx1"/>
                  </w14:solidFill>
                </w14:textFill>
              </w:rPr>
              <w:t>全部返回搅拌机重新改性，直至满足《改性磷石膏用于矿山废弃地生态修复回填技术规范》（DB53/T 1269-2024）要求。</w:t>
            </w:r>
          </w:p>
          <w:p w14:paraId="2020E2CE">
            <w:pPr>
              <w:keepNext w:val="0"/>
              <w:keepLines w:val="0"/>
              <w:suppressLineNumbers w:val="0"/>
              <w:spacing w:before="0" w:beforeAutospacing="0" w:after="0" w:afterAutospacing="0" w:line="360" w:lineRule="auto"/>
              <w:ind w:left="0" w:right="0" w:firstLine="480" w:firstLineChars="200"/>
              <w:rPr>
                <w:rFonts w:hint="default" w:eastAsia="宋体"/>
                <w:color w:val="000000" w:themeColor="text1"/>
                <w:kern w:val="0"/>
                <w:sz w:val="24"/>
                <w:szCs w:val="20"/>
                <w:highlight w:val="none"/>
                <w:lang w:val="en-US" w:eastAsia="zh-CN"/>
                <w14:textFill>
                  <w14:solidFill>
                    <w14:schemeClr w14:val="tx1"/>
                  </w14:solidFill>
                </w14:textFill>
              </w:rPr>
            </w:pP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3</w:t>
            </w:r>
            <w:r>
              <w:rPr>
                <w:rFonts w:hint="eastAsia"/>
                <w:color w:val="000000" w:themeColor="text1"/>
                <w:kern w:val="0"/>
                <w:sz w:val="24"/>
                <w:szCs w:val="20"/>
                <w:highlight w:val="none"/>
                <w:lang w:eastAsia="zh-CN"/>
                <w14:textFill>
                  <w14:solidFill>
                    <w14:schemeClr w14:val="tx1"/>
                  </w14:solidFill>
                </w14:textFill>
              </w:rPr>
              <w:t>）</w:t>
            </w:r>
            <w:r>
              <w:rPr>
                <w:rFonts w:hint="eastAsia"/>
                <w:color w:val="000000" w:themeColor="text1"/>
                <w:kern w:val="0"/>
                <w:sz w:val="24"/>
                <w:szCs w:val="20"/>
                <w:highlight w:val="none"/>
                <w:lang w:val="en-US" w:eastAsia="zh-CN"/>
                <w14:textFill>
                  <w14:solidFill>
                    <w14:schemeClr w14:val="tx1"/>
                  </w14:solidFill>
                </w14:textFill>
              </w:rPr>
              <w:t>危险废物</w:t>
            </w:r>
          </w:p>
          <w:p w14:paraId="65153033">
            <w:pPr>
              <w:keepNext w:val="0"/>
              <w:keepLines w:val="0"/>
              <w:suppressLineNumbers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w:t>
            </w:r>
            <w:r>
              <w:rPr>
                <w:rFonts w:hint="eastAsia"/>
                <w:color w:val="000000" w:themeColor="text1"/>
                <w:sz w:val="24"/>
                <w:szCs w:val="20"/>
                <w:highlight w:val="none"/>
                <w:lang w:val="en-US" w:eastAsia="zh-CN"/>
                <w14:textFill>
                  <w14:solidFill>
                    <w14:schemeClr w14:val="tx1"/>
                  </w14:solidFill>
                </w14:textFill>
              </w:rPr>
              <w:t>改性</w:t>
            </w:r>
            <w:r>
              <w:rPr>
                <w:rFonts w:hint="eastAsia"/>
                <w:color w:val="000000" w:themeColor="text1"/>
                <w:sz w:val="24"/>
                <w:szCs w:val="20"/>
                <w:highlight w:val="none"/>
                <w14:textFill>
                  <w14:solidFill>
                    <w14:schemeClr w14:val="tx1"/>
                  </w14:solidFill>
                </w14:textFill>
              </w:rPr>
              <w:t>机械及改性设备在日常维护过程中会产生少量废机油（HW08，代码 900-214-08）。重大故障维修委托第三方修理厂进行，项目区仅进行日常保养。根据设备维护计划估算，产生量约为0.02t/a。</w:t>
            </w:r>
          </w:p>
          <w:p w14:paraId="20220B94">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）固体废物贮存及处置措施</w:t>
            </w:r>
          </w:p>
          <w:p w14:paraId="56346C28">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本项目运营期产生的固体废物主要包括生活垃圾、不合格产品及废机油。各类固体废物贮存及处置措施如下：</w:t>
            </w:r>
          </w:p>
          <w:p w14:paraId="7005B9F7">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生活垃圾：项目在办公区设置生活垃圾收集桶，集中收集后定期送至环卫部门指定地点，交由环卫部门统一处置。</w:t>
            </w:r>
          </w:p>
          <w:p w14:paraId="790AE4CE">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不合格产品：改性过程中检测不合格的产品暂存于待检区，全部返回搅拌机重新改性，直至满足《改性磷石膏用于矿山废弃地生态修复回填技术规范》（DB53/T 1269-2024）要求，不作为固体废物外排。</w:t>
            </w:r>
          </w:p>
          <w:p w14:paraId="50FACE44">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废机油：项目在</w:t>
            </w:r>
            <w:r>
              <w:rPr>
                <w:rFonts w:hint="eastAsia"/>
                <w:color w:val="000000" w:themeColor="text1"/>
                <w:sz w:val="24"/>
                <w:szCs w:val="24"/>
                <w:highlight w:val="none"/>
                <w:lang w:val="en-US" w:eastAsia="zh-CN"/>
                <w14:textFill>
                  <w14:solidFill>
                    <w14:schemeClr w14:val="tx1"/>
                  </w14:solidFill>
                </w14:textFill>
              </w:rPr>
              <w:t>改性区</w:t>
            </w:r>
            <w:r>
              <w:rPr>
                <w:rFonts w:hint="eastAsia"/>
                <w:color w:val="000000" w:themeColor="text1"/>
                <w:sz w:val="24"/>
                <w:szCs w:val="24"/>
                <w:highlight w:val="none"/>
                <w14:textFill>
                  <w14:solidFill>
                    <w14:schemeClr w14:val="tx1"/>
                  </w14:solidFill>
                </w14:textFill>
              </w:rPr>
              <w:t>新建一座危废暂存间，占地面积10m²。防渗措施按重点防渗区要求执行，采用粘土压实层（厚度≥0.75 m，渗透系数≤1×10⁻⁷ cm/s）+C30混凝土（厚度300 mm，抗渗等级P8）+环氧树脂涂层复合结构，整体渗透系数≤1×10⁻¹⁰ cm/s；配套设置防渗围堰（高度15 cm）、导流槽及收集托盘，并配备灭火器材、吸附棉等应急物资；标识标牌严格按《危险废物贮存污染控制标准》（GB 18597-2023）要求设置，包括危险废物警示标识、贮存分区标识及废物信息标签。危险废物管理方面，废机油（HW08）采用专用密闭容器分类收集，容器材质与废矿物油相容，标签完整注明废物名称、代码、产生日期及危险特性；建立危险废物产生、贮存、转移台账，记录种类、数量、去向等信息，保存期限不少于5年；委托持有危险废物经营许可证的单位处置，严格执行危险废物转移联单制度；安排专人负责危废暂存间日常巡检，定期检查防渗层完整性、容器密封性及标识清晰度，发现问题及时处置；同步制定废机油泄漏应急处置方案，配备吸附材料、收集工具等物资，确保泄漏物及时截留清理，防止进入土壤或水体。</w:t>
            </w:r>
          </w:p>
          <w:p w14:paraId="33E06334">
            <w:pPr>
              <w:pStyle w:val="29"/>
              <w:keepNext w:val="0"/>
              <w:keepLines w:val="0"/>
              <w:suppressLineNumbers w:val="0"/>
              <w:spacing w:before="0" w:beforeAutospacing="0" w:after="0" w:afterAutospacing="0"/>
              <w:ind w:left="0" w:right="0"/>
              <w:rPr>
                <w:rFonts w:hint="default"/>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 xml:space="preserve">表4-5 </w:t>
            </w:r>
            <w:r>
              <w:rPr>
                <w:rFonts w:hint="eastAsia"/>
                <w:b/>
                <w:bCs/>
                <w:color w:val="000000" w:themeColor="text1"/>
                <w:sz w:val="24"/>
                <w:szCs w:val="24"/>
                <w:highlight w:val="none"/>
                <w14:textFill>
                  <w14:solidFill>
                    <w14:schemeClr w14:val="tx1"/>
                  </w14:solidFill>
                </w14:textFill>
              </w:rPr>
              <w:t>固体废物产生及处置情况一览表</w:t>
            </w:r>
          </w:p>
          <w:tbl>
            <w:tblPr>
              <w:tblStyle w:val="44"/>
              <w:tblW w:w="8141"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0"/>
              <w:gridCol w:w="740"/>
              <w:gridCol w:w="740"/>
              <w:gridCol w:w="740"/>
              <w:gridCol w:w="740"/>
              <w:gridCol w:w="740"/>
              <w:gridCol w:w="740"/>
              <w:gridCol w:w="740"/>
              <w:gridCol w:w="740"/>
              <w:gridCol w:w="740"/>
              <w:gridCol w:w="741"/>
            </w:tblGrid>
            <w:tr w14:paraId="66E9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40" w:type="dxa"/>
                  <w:shd w:val="clear" w:color="auto" w:fill="auto"/>
                  <w:noWrap/>
                  <w:vAlign w:val="center"/>
                </w:tcPr>
                <w:p w14:paraId="6FBAEB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固废名称</w:t>
                  </w:r>
                </w:p>
              </w:tc>
              <w:tc>
                <w:tcPr>
                  <w:tcW w:w="740" w:type="dxa"/>
                  <w:shd w:val="clear" w:color="auto" w:fill="auto"/>
                  <w:noWrap/>
                  <w:vAlign w:val="center"/>
                </w:tcPr>
                <w:p w14:paraId="44F9E6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固废类别</w:t>
                  </w:r>
                </w:p>
              </w:tc>
              <w:tc>
                <w:tcPr>
                  <w:tcW w:w="740" w:type="dxa"/>
                  <w:shd w:val="clear" w:color="auto" w:fill="auto"/>
                  <w:noWrap/>
                  <w:vAlign w:val="center"/>
                </w:tcPr>
                <w:p w14:paraId="1C49F9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废物代码</w:t>
                  </w:r>
                </w:p>
              </w:tc>
              <w:tc>
                <w:tcPr>
                  <w:tcW w:w="740" w:type="dxa"/>
                  <w:shd w:val="clear" w:color="auto" w:fill="auto"/>
                  <w:noWrap/>
                  <w:vAlign w:val="center"/>
                </w:tcPr>
                <w:p w14:paraId="356A32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产生量（t/a）</w:t>
                  </w:r>
                </w:p>
              </w:tc>
              <w:tc>
                <w:tcPr>
                  <w:tcW w:w="740" w:type="dxa"/>
                  <w:shd w:val="clear" w:color="auto" w:fill="auto"/>
                  <w:noWrap/>
                  <w:vAlign w:val="center"/>
                </w:tcPr>
                <w:p w14:paraId="07AC93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产生工序</w:t>
                  </w:r>
                </w:p>
              </w:tc>
              <w:tc>
                <w:tcPr>
                  <w:tcW w:w="740" w:type="dxa"/>
                  <w:shd w:val="clear" w:color="auto" w:fill="auto"/>
                  <w:noWrap/>
                  <w:vAlign w:val="center"/>
                </w:tcPr>
                <w:p w14:paraId="21D708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形态</w:t>
                  </w:r>
                </w:p>
              </w:tc>
              <w:tc>
                <w:tcPr>
                  <w:tcW w:w="740" w:type="dxa"/>
                  <w:shd w:val="clear" w:color="auto" w:fill="auto"/>
                  <w:noWrap/>
                  <w:vAlign w:val="center"/>
                </w:tcPr>
                <w:p w14:paraId="22BADD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主要成分</w:t>
                  </w:r>
                </w:p>
              </w:tc>
              <w:tc>
                <w:tcPr>
                  <w:tcW w:w="740" w:type="dxa"/>
                  <w:shd w:val="clear" w:color="auto" w:fill="auto"/>
                  <w:noWrap/>
                  <w:vAlign w:val="center"/>
                </w:tcPr>
                <w:p w14:paraId="5BCA61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收集方式</w:t>
                  </w:r>
                </w:p>
              </w:tc>
              <w:tc>
                <w:tcPr>
                  <w:tcW w:w="740" w:type="dxa"/>
                  <w:shd w:val="clear" w:color="auto" w:fill="auto"/>
                  <w:noWrap/>
                  <w:vAlign w:val="center"/>
                </w:tcPr>
                <w:p w14:paraId="2F1C26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贮存场所</w:t>
                  </w:r>
                </w:p>
              </w:tc>
              <w:tc>
                <w:tcPr>
                  <w:tcW w:w="740" w:type="dxa"/>
                  <w:shd w:val="clear" w:color="auto" w:fill="auto"/>
                  <w:noWrap/>
                  <w:vAlign w:val="center"/>
                </w:tcPr>
                <w:p w14:paraId="652415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处置方式</w:t>
                  </w:r>
                </w:p>
              </w:tc>
              <w:tc>
                <w:tcPr>
                  <w:tcW w:w="741" w:type="dxa"/>
                  <w:shd w:val="clear" w:color="auto" w:fill="auto"/>
                  <w:noWrap/>
                  <w:vAlign w:val="center"/>
                </w:tcPr>
                <w:p w14:paraId="3D3F45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处置单位</w:t>
                  </w:r>
                </w:p>
              </w:tc>
            </w:tr>
            <w:tr w14:paraId="5C2F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0" w:type="dxa"/>
                  <w:shd w:val="clear" w:color="auto" w:fill="auto"/>
                  <w:noWrap/>
                  <w:vAlign w:val="center"/>
                </w:tcPr>
                <w:p w14:paraId="1E16B5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生活垃圾</w:t>
                  </w:r>
                </w:p>
              </w:tc>
              <w:tc>
                <w:tcPr>
                  <w:tcW w:w="740" w:type="dxa"/>
                  <w:shd w:val="clear" w:color="auto" w:fill="auto"/>
                  <w:noWrap/>
                  <w:vAlign w:val="center"/>
                </w:tcPr>
                <w:p w14:paraId="3DE168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一般固废</w:t>
                  </w:r>
                </w:p>
              </w:tc>
              <w:tc>
                <w:tcPr>
                  <w:tcW w:w="740" w:type="dxa"/>
                  <w:shd w:val="clear" w:color="auto" w:fill="auto"/>
                  <w:noWrap/>
                  <w:vAlign w:val="center"/>
                </w:tcPr>
                <w:p w14:paraId="63BDB8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740" w:type="dxa"/>
                  <w:shd w:val="clear" w:color="auto" w:fill="auto"/>
                  <w:noWrap/>
                  <w:vAlign w:val="center"/>
                </w:tcPr>
                <w:p w14:paraId="7799F8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740" w:type="dxa"/>
                  <w:shd w:val="clear" w:color="auto" w:fill="auto"/>
                  <w:noWrap/>
                  <w:vAlign w:val="center"/>
                </w:tcPr>
                <w:p w14:paraId="6FEA21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办公生活</w:t>
                  </w:r>
                </w:p>
              </w:tc>
              <w:tc>
                <w:tcPr>
                  <w:tcW w:w="740" w:type="dxa"/>
                  <w:shd w:val="clear" w:color="auto" w:fill="auto"/>
                  <w:noWrap/>
                  <w:vAlign w:val="center"/>
                </w:tcPr>
                <w:p w14:paraId="5E1D7F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固态</w:t>
                  </w:r>
                </w:p>
              </w:tc>
              <w:tc>
                <w:tcPr>
                  <w:tcW w:w="740" w:type="dxa"/>
                  <w:shd w:val="clear" w:color="auto" w:fill="auto"/>
                  <w:noWrap/>
                  <w:vAlign w:val="center"/>
                </w:tcPr>
                <w:p w14:paraId="2B2C4D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生活垃圾</w:t>
                  </w:r>
                </w:p>
              </w:tc>
              <w:tc>
                <w:tcPr>
                  <w:tcW w:w="740" w:type="dxa"/>
                  <w:shd w:val="clear" w:color="auto" w:fill="auto"/>
                  <w:noWrap/>
                  <w:vAlign w:val="center"/>
                </w:tcPr>
                <w:p w14:paraId="3FD6FB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垃圾桶收集</w:t>
                  </w:r>
                </w:p>
              </w:tc>
              <w:tc>
                <w:tcPr>
                  <w:tcW w:w="740" w:type="dxa"/>
                  <w:shd w:val="clear" w:color="auto" w:fill="auto"/>
                  <w:noWrap/>
                  <w:vAlign w:val="center"/>
                </w:tcPr>
                <w:p w14:paraId="1EDF01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生活垃圾收集点</w:t>
                  </w:r>
                </w:p>
              </w:tc>
              <w:tc>
                <w:tcPr>
                  <w:tcW w:w="740" w:type="dxa"/>
                  <w:shd w:val="clear" w:color="auto" w:fill="auto"/>
                  <w:noWrap/>
                  <w:vAlign w:val="center"/>
                </w:tcPr>
                <w:p w14:paraId="162114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环卫部门清运</w:t>
                  </w:r>
                </w:p>
              </w:tc>
              <w:tc>
                <w:tcPr>
                  <w:tcW w:w="741" w:type="dxa"/>
                  <w:shd w:val="clear" w:color="auto" w:fill="auto"/>
                  <w:noWrap/>
                  <w:vAlign w:val="center"/>
                </w:tcPr>
                <w:p w14:paraId="7A1BFF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当地环卫部门</w:t>
                  </w:r>
                </w:p>
              </w:tc>
            </w:tr>
            <w:tr w14:paraId="66D4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0" w:type="dxa"/>
                  <w:shd w:val="clear" w:color="auto" w:fill="auto"/>
                  <w:noWrap/>
                  <w:vAlign w:val="center"/>
                </w:tcPr>
                <w:p w14:paraId="6B39DD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不合格产品</w:t>
                  </w:r>
                </w:p>
              </w:tc>
              <w:tc>
                <w:tcPr>
                  <w:tcW w:w="740" w:type="dxa"/>
                  <w:shd w:val="clear" w:color="auto" w:fill="auto"/>
                  <w:noWrap/>
                  <w:vAlign w:val="center"/>
                </w:tcPr>
                <w:p w14:paraId="6BAD4D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一般固废</w:t>
                  </w:r>
                </w:p>
              </w:tc>
              <w:tc>
                <w:tcPr>
                  <w:tcW w:w="740" w:type="dxa"/>
                  <w:shd w:val="clear" w:color="auto" w:fill="auto"/>
                  <w:noWrap/>
                  <w:vAlign w:val="center"/>
                </w:tcPr>
                <w:p w14:paraId="07AFAB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740" w:type="dxa"/>
                  <w:shd w:val="clear" w:color="auto" w:fill="auto"/>
                  <w:noWrap/>
                  <w:vAlign w:val="center"/>
                </w:tcPr>
                <w:p w14:paraId="7D8BEE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w:t>
                  </w:r>
                </w:p>
              </w:tc>
              <w:tc>
                <w:tcPr>
                  <w:tcW w:w="740" w:type="dxa"/>
                  <w:shd w:val="clear" w:color="auto" w:fill="auto"/>
                  <w:noWrap/>
                  <w:vAlign w:val="center"/>
                </w:tcPr>
                <w:p w14:paraId="337F7D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改性检测</w:t>
                  </w:r>
                </w:p>
              </w:tc>
              <w:tc>
                <w:tcPr>
                  <w:tcW w:w="740" w:type="dxa"/>
                  <w:shd w:val="clear" w:color="auto" w:fill="auto"/>
                  <w:noWrap/>
                  <w:vAlign w:val="center"/>
                </w:tcPr>
                <w:p w14:paraId="091C7D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固态</w:t>
                  </w:r>
                </w:p>
              </w:tc>
              <w:tc>
                <w:tcPr>
                  <w:tcW w:w="740" w:type="dxa"/>
                  <w:shd w:val="clear" w:color="auto" w:fill="auto"/>
                  <w:noWrap/>
                  <w:vAlign w:val="center"/>
                </w:tcPr>
                <w:p w14:paraId="18F986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磷石膏、改性剂</w:t>
                  </w:r>
                </w:p>
              </w:tc>
              <w:tc>
                <w:tcPr>
                  <w:tcW w:w="740" w:type="dxa"/>
                  <w:shd w:val="clear" w:color="auto" w:fill="auto"/>
                  <w:noWrap/>
                  <w:vAlign w:val="center"/>
                </w:tcPr>
                <w:p w14:paraId="5F97BC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返回搅拌机</w:t>
                  </w:r>
                </w:p>
              </w:tc>
              <w:tc>
                <w:tcPr>
                  <w:tcW w:w="740" w:type="dxa"/>
                  <w:shd w:val="clear" w:color="auto" w:fill="auto"/>
                  <w:noWrap/>
                  <w:vAlign w:val="center"/>
                </w:tcPr>
                <w:p w14:paraId="06B041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待检区</w:t>
                  </w:r>
                </w:p>
              </w:tc>
              <w:tc>
                <w:tcPr>
                  <w:tcW w:w="740" w:type="dxa"/>
                  <w:shd w:val="clear" w:color="auto" w:fill="auto"/>
                  <w:noWrap/>
                  <w:vAlign w:val="center"/>
                </w:tcPr>
                <w:p w14:paraId="5C35F2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重新改性利用</w:t>
                  </w:r>
                </w:p>
              </w:tc>
              <w:tc>
                <w:tcPr>
                  <w:tcW w:w="741" w:type="dxa"/>
                  <w:shd w:val="clear" w:color="auto" w:fill="auto"/>
                  <w:noWrap/>
                  <w:vAlign w:val="center"/>
                </w:tcPr>
                <w:p w14:paraId="751A68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厂内循环利用</w:t>
                  </w:r>
                </w:p>
              </w:tc>
            </w:tr>
            <w:tr w14:paraId="1F8C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0" w:type="dxa"/>
                  <w:shd w:val="clear" w:color="auto" w:fill="auto"/>
                  <w:noWrap/>
                  <w:vAlign w:val="center"/>
                </w:tcPr>
                <w:p w14:paraId="2D98B2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废机油</w:t>
                  </w:r>
                </w:p>
              </w:tc>
              <w:tc>
                <w:tcPr>
                  <w:tcW w:w="740" w:type="dxa"/>
                  <w:shd w:val="clear" w:color="auto" w:fill="auto"/>
                  <w:noWrap/>
                  <w:vAlign w:val="center"/>
                </w:tcPr>
                <w:p w14:paraId="732D58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危险废物</w:t>
                  </w:r>
                </w:p>
              </w:tc>
              <w:tc>
                <w:tcPr>
                  <w:tcW w:w="740" w:type="dxa"/>
                  <w:shd w:val="clear" w:color="auto" w:fill="auto"/>
                  <w:noWrap/>
                  <w:vAlign w:val="center"/>
                </w:tcPr>
                <w:p w14:paraId="765E16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HW08</w:t>
                  </w:r>
                </w:p>
                <w:p w14:paraId="52BB74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900-214-08</w:t>
                  </w:r>
                </w:p>
              </w:tc>
              <w:tc>
                <w:tcPr>
                  <w:tcW w:w="740" w:type="dxa"/>
                  <w:shd w:val="clear" w:color="auto" w:fill="auto"/>
                  <w:noWrap/>
                  <w:vAlign w:val="center"/>
                </w:tcPr>
                <w:p w14:paraId="36E738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w:t>
                  </w:r>
                </w:p>
              </w:tc>
              <w:tc>
                <w:tcPr>
                  <w:tcW w:w="740" w:type="dxa"/>
                  <w:shd w:val="clear" w:color="auto" w:fill="auto"/>
                  <w:noWrap/>
                  <w:vAlign w:val="center"/>
                </w:tcPr>
                <w:p w14:paraId="11A21E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设备维护</w:t>
                  </w:r>
                </w:p>
              </w:tc>
              <w:tc>
                <w:tcPr>
                  <w:tcW w:w="740" w:type="dxa"/>
                  <w:shd w:val="clear" w:color="auto" w:fill="auto"/>
                  <w:noWrap/>
                  <w:vAlign w:val="center"/>
                </w:tcPr>
                <w:p w14:paraId="1A62EC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液态</w:t>
                  </w:r>
                </w:p>
              </w:tc>
              <w:tc>
                <w:tcPr>
                  <w:tcW w:w="740" w:type="dxa"/>
                  <w:shd w:val="clear" w:color="auto" w:fill="auto"/>
                  <w:noWrap/>
                  <w:vAlign w:val="center"/>
                </w:tcPr>
                <w:p w14:paraId="0FA6D8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矿物油</w:t>
                  </w:r>
                </w:p>
              </w:tc>
              <w:tc>
                <w:tcPr>
                  <w:tcW w:w="740" w:type="dxa"/>
                  <w:shd w:val="clear" w:color="auto" w:fill="auto"/>
                  <w:noWrap/>
                  <w:vAlign w:val="center"/>
                </w:tcPr>
                <w:p w14:paraId="6D37FB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专用容器收集</w:t>
                  </w:r>
                </w:p>
              </w:tc>
              <w:tc>
                <w:tcPr>
                  <w:tcW w:w="740" w:type="dxa"/>
                  <w:shd w:val="clear" w:color="auto" w:fill="auto"/>
                  <w:noWrap/>
                  <w:vAlign w:val="center"/>
                </w:tcPr>
                <w:p w14:paraId="0779CD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危废暂存间</w:t>
                  </w:r>
                </w:p>
              </w:tc>
              <w:tc>
                <w:tcPr>
                  <w:tcW w:w="740" w:type="dxa"/>
                  <w:shd w:val="clear" w:color="auto" w:fill="auto"/>
                  <w:noWrap/>
                  <w:vAlign w:val="center"/>
                </w:tcPr>
                <w:p w14:paraId="38817C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委托有资质单位处置</w:t>
                  </w:r>
                </w:p>
              </w:tc>
              <w:tc>
                <w:tcPr>
                  <w:tcW w:w="741" w:type="dxa"/>
                  <w:shd w:val="clear" w:color="auto" w:fill="auto"/>
                  <w:noWrap/>
                  <w:vAlign w:val="center"/>
                </w:tcPr>
                <w:p w14:paraId="00AF81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有资质危废处置单位</w:t>
                  </w:r>
                </w:p>
              </w:tc>
            </w:tr>
            <w:tr w14:paraId="2DC3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0" w:type="dxa"/>
                  <w:shd w:val="clear" w:color="auto" w:fill="auto"/>
                  <w:noWrap/>
                  <w:vAlign w:val="center"/>
                </w:tcPr>
                <w:p w14:paraId="4E8589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740" w:type="dxa"/>
                  <w:shd w:val="clear" w:color="auto" w:fill="auto"/>
                  <w:noWrap/>
                  <w:vAlign w:val="center"/>
                </w:tcPr>
                <w:p w14:paraId="11DE91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740" w:type="dxa"/>
                  <w:shd w:val="clear" w:color="auto" w:fill="auto"/>
                  <w:noWrap/>
                  <w:vAlign w:val="center"/>
                </w:tcPr>
                <w:p w14:paraId="556B85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740" w:type="dxa"/>
                  <w:shd w:val="clear" w:color="auto" w:fill="auto"/>
                  <w:noWrap/>
                  <w:vAlign w:val="center"/>
                </w:tcPr>
                <w:p w14:paraId="03FAB0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3.02</w:t>
                  </w:r>
                </w:p>
              </w:tc>
              <w:tc>
                <w:tcPr>
                  <w:tcW w:w="740" w:type="dxa"/>
                  <w:shd w:val="clear" w:color="auto" w:fill="auto"/>
                  <w:noWrap/>
                  <w:vAlign w:val="center"/>
                </w:tcPr>
                <w:p w14:paraId="5252D1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740" w:type="dxa"/>
                  <w:shd w:val="clear" w:color="auto" w:fill="auto"/>
                  <w:noWrap/>
                  <w:vAlign w:val="center"/>
                </w:tcPr>
                <w:p w14:paraId="3CEB13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740" w:type="dxa"/>
                  <w:shd w:val="clear" w:color="auto" w:fill="auto"/>
                  <w:noWrap/>
                  <w:vAlign w:val="center"/>
                </w:tcPr>
                <w:p w14:paraId="1452B9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740" w:type="dxa"/>
                  <w:shd w:val="clear" w:color="auto" w:fill="auto"/>
                  <w:noWrap/>
                  <w:vAlign w:val="center"/>
                </w:tcPr>
                <w:p w14:paraId="271745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740" w:type="dxa"/>
                  <w:shd w:val="clear" w:color="auto" w:fill="auto"/>
                  <w:noWrap/>
                  <w:vAlign w:val="center"/>
                </w:tcPr>
                <w:p w14:paraId="008EBF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740" w:type="dxa"/>
                  <w:shd w:val="clear" w:color="auto" w:fill="auto"/>
                  <w:noWrap/>
                  <w:vAlign w:val="center"/>
                </w:tcPr>
                <w:p w14:paraId="204EFB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c>
                <w:tcPr>
                  <w:tcW w:w="741" w:type="dxa"/>
                  <w:shd w:val="clear" w:color="auto" w:fill="auto"/>
                  <w:noWrap/>
                  <w:vAlign w:val="center"/>
                </w:tcPr>
                <w:p w14:paraId="0BF5C8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w:t>
                  </w:r>
                </w:p>
              </w:tc>
            </w:tr>
          </w:tbl>
          <w:p w14:paraId="419502B8">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b/>
                <w:bCs/>
                <w:color w:val="000000" w:themeColor="text1"/>
                <w:szCs w:val="24"/>
                <w:highlight w:val="none"/>
                <w14:textFill>
                  <w14:solidFill>
                    <w14:schemeClr w14:val="tx1"/>
                  </w14:solidFill>
                </w14:textFill>
              </w:rPr>
            </w:pPr>
            <w:r>
              <w:rPr>
                <w:rFonts w:hint="eastAsia" w:ascii="Times New Roman" w:hAnsi="Times New Roman"/>
                <w:b/>
                <w:bCs/>
                <w:color w:val="000000" w:themeColor="text1"/>
                <w:szCs w:val="24"/>
                <w:highlight w:val="none"/>
                <w14:textFill>
                  <w14:solidFill>
                    <w14:schemeClr w14:val="tx1"/>
                  </w14:solidFill>
                </w14:textFill>
              </w:rPr>
              <w:t>4.</w:t>
            </w:r>
            <w:r>
              <w:rPr>
                <w:rFonts w:hint="eastAsia" w:ascii="Times New Roman" w:hAnsi="Times New Roman"/>
                <w:b/>
                <w:bCs/>
                <w:color w:val="000000" w:themeColor="text1"/>
                <w:szCs w:val="24"/>
                <w:highlight w:val="none"/>
                <w:lang w:val="en-US" w:eastAsia="zh-CN"/>
                <w14:textFill>
                  <w14:solidFill>
                    <w14:schemeClr w14:val="tx1"/>
                  </w14:solidFill>
                </w14:textFill>
              </w:rPr>
              <w:t>6</w:t>
            </w:r>
            <w:r>
              <w:rPr>
                <w:rFonts w:hint="eastAsia" w:ascii="Times New Roman" w:hAnsi="Times New Roman"/>
                <w:b/>
                <w:bCs/>
                <w:color w:val="000000" w:themeColor="text1"/>
                <w:szCs w:val="24"/>
                <w:highlight w:val="none"/>
                <w14:textFill>
                  <w14:solidFill>
                    <w14:schemeClr w14:val="tx1"/>
                  </w14:solidFill>
                </w14:textFill>
              </w:rPr>
              <w:t>.</w:t>
            </w:r>
            <w:r>
              <w:rPr>
                <w:rFonts w:hint="eastAsia" w:ascii="Times New Roman" w:hAnsi="Times New Roman"/>
                <w:b/>
                <w:bCs/>
                <w:color w:val="000000" w:themeColor="text1"/>
                <w:szCs w:val="24"/>
                <w:highlight w:val="none"/>
                <w:lang w:val="en-US" w:eastAsia="zh-CN"/>
                <w14:textFill>
                  <w14:solidFill>
                    <w14:schemeClr w14:val="tx1"/>
                  </w14:solidFill>
                </w14:textFill>
              </w:rPr>
              <w:t>4</w:t>
            </w:r>
            <w:r>
              <w:rPr>
                <w:rFonts w:hint="eastAsia" w:ascii="Times New Roman" w:hAnsi="Times New Roman"/>
                <w:b/>
                <w:bCs/>
                <w:color w:val="000000" w:themeColor="text1"/>
                <w:szCs w:val="24"/>
                <w:highlight w:val="none"/>
                <w14:textFill>
                  <w14:solidFill>
                    <w14:schemeClr w14:val="tx1"/>
                  </w14:solidFill>
                </w14:textFill>
              </w:rPr>
              <w:t>土壤、地下水环境影响和保护措施</w:t>
            </w:r>
          </w:p>
          <w:p w14:paraId="0D77916D">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（1）地下水、土壤影响途径</w:t>
            </w:r>
          </w:p>
          <w:p w14:paraId="3F12CA4E">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103"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根据《建设项目环境影响报告编制技术指南》（污染影响类）（试行），土壤和地下水不设置专项评价，本项目对周边土壤环境和地下水环境影响的类型与影响途径见下表。</w:t>
            </w:r>
          </w:p>
          <w:p w14:paraId="4EE7E5A8">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bCs/>
                <w:color w:val="000000" w:themeColor="text1"/>
                <w:sz w:val="24"/>
                <w:szCs w:val="20"/>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0"/>
                <w:highlight w:val="none"/>
                <w:lang w:eastAsia="zh-CN"/>
                <w14:textFill>
                  <w14:solidFill>
                    <w14:schemeClr w14:val="tx1"/>
                  </w14:solidFill>
                </w14:textFill>
              </w:rPr>
              <w:t>表4-17 项目土壤、地下水环境影响类型与影响途径识别表</w:t>
            </w:r>
          </w:p>
          <w:tbl>
            <w:tblPr>
              <w:tblStyle w:val="257"/>
              <w:tblW w:w="83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6"/>
              <w:gridCol w:w="1973"/>
              <w:gridCol w:w="1973"/>
              <w:gridCol w:w="1973"/>
              <w:gridCol w:w="995"/>
            </w:tblGrid>
            <w:tr w14:paraId="375FB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476" w:type="dxa"/>
                  <w:vMerge w:val="restart"/>
                  <w:tcBorders>
                    <w:bottom w:val="nil"/>
                  </w:tcBorders>
                  <w:vAlign w:val="center"/>
                </w:tcPr>
                <w:p w14:paraId="31623746">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时段</w:t>
                  </w:r>
                </w:p>
              </w:tc>
              <w:tc>
                <w:tcPr>
                  <w:tcW w:w="6914" w:type="dxa"/>
                  <w:gridSpan w:val="4"/>
                  <w:vAlign w:val="center"/>
                </w:tcPr>
                <w:p w14:paraId="1FEF38B8">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污染影响型</w:t>
                  </w:r>
                </w:p>
              </w:tc>
            </w:tr>
            <w:tr w14:paraId="09E03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476" w:type="dxa"/>
                  <w:vMerge w:val="continue"/>
                  <w:tcBorders>
                    <w:top w:val="nil"/>
                  </w:tcBorders>
                  <w:vAlign w:val="center"/>
                </w:tcPr>
                <w:p w14:paraId="6F290955">
                  <w:pPr>
                    <w:kinsoku/>
                    <w:overflowPunct w:val="0"/>
                    <w:autoSpaceDE/>
                    <w:autoSpaceDN/>
                    <w:adjustRightInd/>
                    <w:snapToGrid/>
                    <w:jc w:val="center"/>
                    <w:rPr>
                      <w:rFonts w:ascii="Times New Roman" w:hAnsi="Times New Roman" w:eastAsia="宋体" w:cs="Times New Roman"/>
                      <w:color w:val="000000" w:themeColor="text1"/>
                      <w:highlight w:val="none"/>
                      <w:lang w:eastAsia="zh-CN"/>
                      <w14:textFill>
                        <w14:solidFill>
                          <w14:schemeClr w14:val="tx1"/>
                        </w14:solidFill>
                      </w14:textFill>
                    </w:rPr>
                  </w:pPr>
                </w:p>
              </w:tc>
              <w:tc>
                <w:tcPr>
                  <w:tcW w:w="1973" w:type="dxa"/>
                  <w:vAlign w:val="center"/>
                </w:tcPr>
                <w:p w14:paraId="1457E9CF">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大气沉降</w:t>
                  </w:r>
                </w:p>
              </w:tc>
              <w:tc>
                <w:tcPr>
                  <w:tcW w:w="1973" w:type="dxa"/>
                  <w:vAlign w:val="center"/>
                </w:tcPr>
                <w:p w14:paraId="0BB15B48">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地面漫流</w:t>
                  </w:r>
                </w:p>
              </w:tc>
              <w:tc>
                <w:tcPr>
                  <w:tcW w:w="1973" w:type="dxa"/>
                  <w:vAlign w:val="center"/>
                </w:tcPr>
                <w:p w14:paraId="2E078BA9">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垂直入渗</w:t>
                  </w:r>
                </w:p>
              </w:tc>
              <w:tc>
                <w:tcPr>
                  <w:tcW w:w="995" w:type="dxa"/>
                  <w:vAlign w:val="center"/>
                </w:tcPr>
                <w:p w14:paraId="72859634">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b/>
                      <w:bCs/>
                      <w:color w:val="000000" w:themeColor="text1"/>
                      <w:sz w:val="21"/>
                      <w:szCs w:val="21"/>
                      <w:highlight w:val="none"/>
                      <w:lang w:eastAsia="zh-CN"/>
                      <w14:textFill>
                        <w14:solidFill>
                          <w14:schemeClr w14:val="tx1"/>
                        </w14:solidFill>
                      </w14:textFill>
                    </w:rPr>
                    <w:t>其他</w:t>
                  </w:r>
                </w:p>
              </w:tc>
            </w:tr>
            <w:tr w14:paraId="79EC4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476" w:type="dxa"/>
                  <w:vAlign w:val="center"/>
                </w:tcPr>
                <w:p w14:paraId="78D77820">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color w:val="000000" w:themeColor="text1"/>
                      <w:sz w:val="21"/>
                      <w:szCs w:val="21"/>
                      <w:highlight w:val="none"/>
                      <w:lang w:eastAsia="zh-CN"/>
                      <w14:textFill>
                        <w14:solidFill>
                          <w14:schemeClr w14:val="tx1"/>
                        </w14:solidFill>
                      </w14:textFill>
                    </w:rPr>
                    <w:t>运营期</w:t>
                  </w:r>
                </w:p>
              </w:tc>
              <w:tc>
                <w:tcPr>
                  <w:tcW w:w="1973" w:type="dxa"/>
                  <w:vAlign w:val="center"/>
                </w:tcPr>
                <w:p w14:paraId="7D285D28">
                  <w:pPr>
                    <w:kinsoku/>
                    <w:overflowPunct w:val="0"/>
                    <w:autoSpaceDE/>
                    <w:autoSpaceDN/>
                    <w:adjustRightInd/>
                    <w:snapToGrid/>
                    <w:jc w:val="center"/>
                    <w:rPr>
                      <w:rFonts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highlight w:val="none"/>
                      <w:lang w:eastAsia="zh-CN"/>
                      <w14:textFill>
                        <w14:solidFill>
                          <w14:schemeClr w14:val="tx1"/>
                        </w14:solidFill>
                      </w14:textFill>
                    </w:rPr>
                    <w:t>√</w:t>
                  </w:r>
                </w:p>
              </w:tc>
              <w:tc>
                <w:tcPr>
                  <w:tcW w:w="1973" w:type="dxa"/>
                  <w:vAlign w:val="center"/>
                </w:tcPr>
                <w:p w14:paraId="108AB95A">
                  <w:pPr>
                    <w:kinsoku/>
                    <w:overflowPunct w:val="0"/>
                    <w:autoSpaceDE/>
                    <w:autoSpaceDN/>
                    <w:adjustRightInd/>
                    <w:snapToGrid/>
                    <w:jc w:val="center"/>
                    <w:rPr>
                      <w:rFonts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highlight w:val="none"/>
                      <w:lang w:eastAsia="zh-CN"/>
                      <w14:textFill>
                        <w14:solidFill>
                          <w14:schemeClr w14:val="tx1"/>
                        </w14:solidFill>
                      </w14:textFill>
                    </w:rPr>
                    <w:t>/</w:t>
                  </w:r>
                </w:p>
              </w:tc>
              <w:tc>
                <w:tcPr>
                  <w:tcW w:w="1973" w:type="dxa"/>
                  <w:vAlign w:val="center"/>
                </w:tcPr>
                <w:p w14:paraId="34F561E0">
                  <w:pPr>
                    <w:kinsoku/>
                    <w:overflowPunct w:val="0"/>
                    <w:autoSpaceDE/>
                    <w:autoSpaceDN/>
                    <w:adjustRightInd/>
                    <w:snapToGrid/>
                    <w:jc w:val="center"/>
                    <w:rPr>
                      <w:rFonts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highlight w:val="none"/>
                      <w:lang w:eastAsia="zh-CN"/>
                      <w14:textFill>
                        <w14:solidFill>
                          <w14:schemeClr w14:val="tx1"/>
                        </w14:solidFill>
                      </w14:textFill>
                    </w:rPr>
                    <w:t>√</w:t>
                  </w:r>
                </w:p>
              </w:tc>
              <w:tc>
                <w:tcPr>
                  <w:tcW w:w="995" w:type="dxa"/>
                  <w:vAlign w:val="center"/>
                </w:tcPr>
                <w:p w14:paraId="44B8A059">
                  <w:pPr>
                    <w:kinsoku/>
                    <w:overflowPunct w:val="0"/>
                    <w:autoSpaceDE/>
                    <w:autoSpaceDN/>
                    <w:adjustRightInd/>
                    <w:snapToGrid/>
                    <w:jc w:val="center"/>
                    <w:rPr>
                      <w:rFonts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highlight w:val="none"/>
                      <w:lang w:eastAsia="zh-CN"/>
                      <w14:textFill>
                        <w14:solidFill>
                          <w14:schemeClr w14:val="tx1"/>
                        </w14:solidFill>
                      </w14:textFill>
                    </w:rPr>
                    <w:t>/</w:t>
                  </w:r>
                </w:p>
              </w:tc>
            </w:tr>
          </w:tbl>
          <w:p w14:paraId="7828CC89">
            <w:pPr>
              <w:pStyle w:val="273"/>
              <w:keepNext w:val="0"/>
              <w:keepLines w:val="0"/>
              <w:widowControl/>
              <w:suppressLineNumbers w:val="0"/>
              <w:kinsoku/>
              <w:overflowPunct w:val="0"/>
              <w:autoSpaceDE/>
              <w:autoSpaceDN/>
              <w:adjustRightInd/>
              <w:snapToGrid/>
              <w:spacing w:before="36" w:beforeAutospacing="0" w:after="0" w:afterAutospacing="0" w:line="219" w:lineRule="auto"/>
              <w:ind w:left="599" w:right="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（2）地下水、土壤环境影响源及影响因子</w:t>
            </w:r>
          </w:p>
          <w:p w14:paraId="503B9762">
            <w:pPr>
              <w:pStyle w:val="273"/>
              <w:keepNext w:val="0"/>
              <w:keepLines w:val="0"/>
              <w:widowControl/>
              <w:suppressLineNumbers w:val="0"/>
              <w:kinsoku/>
              <w:overflowPunct w:val="0"/>
              <w:autoSpaceDE/>
              <w:autoSpaceDN/>
              <w:adjustRightInd/>
              <w:snapToGrid/>
              <w:spacing w:before="182" w:beforeAutospacing="0" w:after="0" w:afterAutospacing="0" w:line="219" w:lineRule="auto"/>
              <w:ind w:left="588" w:right="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本项目对土壤、地下水环境的影响源及影响因子见</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下</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表。</w:t>
            </w:r>
          </w:p>
          <w:p w14:paraId="192B6EEF">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bCs/>
                <w:color w:val="000000" w:themeColor="text1"/>
                <w:sz w:val="24"/>
                <w:szCs w:val="20"/>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0"/>
                <w:highlight w:val="none"/>
                <w:lang w:eastAsia="zh-CN"/>
                <w14:textFill>
                  <w14:solidFill>
                    <w14:schemeClr w14:val="tx1"/>
                  </w14:solidFill>
                </w14:textFill>
              </w:rPr>
              <w:t>表4-18建设项目土壤、地下水环境影响源及影响因子识别表</w:t>
            </w:r>
          </w:p>
          <w:tbl>
            <w:tblPr>
              <w:tblStyle w:val="257"/>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6"/>
              <w:gridCol w:w="1655"/>
              <w:gridCol w:w="1247"/>
              <w:gridCol w:w="3305"/>
              <w:gridCol w:w="1227"/>
            </w:tblGrid>
            <w:tr w14:paraId="6CB9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956" w:type="dxa"/>
                  <w:vAlign w:val="center"/>
                </w:tcPr>
                <w:p w14:paraId="324B829E">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污染源</w:t>
                  </w:r>
                </w:p>
              </w:tc>
              <w:tc>
                <w:tcPr>
                  <w:tcW w:w="1655" w:type="dxa"/>
                  <w:vAlign w:val="center"/>
                </w:tcPr>
                <w:p w14:paraId="15DEBF4B">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工艺流程/节点</w:t>
                  </w:r>
                </w:p>
              </w:tc>
              <w:tc>
                <w:tcPr>
                  <w:tcW w:w="1247" w:type="dxa"/>
                  <w:vAlign w:val="center"/>
                </w:tcPr>
                <w:p w14:paraId="1D5D5632">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污染途径</w:t>
                  </w:r>
                </w:p>
              </w:tc>
              <w:tc>
                <w:tcPr>
                  <w:tcW w:w="3305" w:type="dxa"/>
                  <w:vAlign w:val="center"/>
                </w:tcPr>
                <w:p w14:paraId="20C08D9D">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污染物</w:t>
                  </w:r>
                </w:p>
              </w:tc>
              <w:tc>
                <w:tcPr>
                  <w:tcW w:w="1227" w:type="dxa"/>
                  <w:vAlign w:val="center"/>
                </w:tcPr>
                <w:p w14:paraId="16058486">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bCs/>
                      <w:color w:val="000000" w:themeColor="text1"/>
                      <w:sz w:val="21"/>
                      <w:szCs w:val="21"/>
                      <w:highlight w:val="none"/>
                      <w14:textFill>
                        <w14:solidFill>
                          <w14:schemeClr w14:val="tx1"/>
                        </w14:solidFill>
                      </w14:textFill>
                    </w:rPr>
                    <w:t>备注</w:t>
                  </w:r>
                </w:p>
              </w:tc>
            </w:tr>
            <w:tr w14:paraId="226E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56" w:type="dxa"/>
                  <w:vMerge w:val="restart"/>
                  <w:vAlign w:val="center"/>
                </w:tcPr>
                <w:p w14:paraId="2C90DAE9">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厂房</w:t>
                  </w:r>
                </w:p>
              </w:tc>
              <w:tc>
                <w:tcPr>
                  <w:tcW w:w="1655" w:type="dxa"/>
                  <w:vAlign w:val="center"/>
                </w:tcPr>
                <w:p w14:paraId="4C2AF330">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生产过程</w:t>
                  </w:r>
                </w:p>
              </w:tc>
              <w:tc>
                <w:tcPr>
                  <w:tcW w:w="1247" w:type="dxa"/>
                  <w:vAlign w:val="center"/>
                </w:tcPr>
                <w:p w14:paraId="26C04A69">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大气沉降</w:t>
                  </w:r>
                </w:p>
              </w:tc>
              <w:tc>
                <w:tcPr>
                  <w:tcW w:w="3305" w:type="dxa"/>
                  <w:vAlign w:val="center"/>
                </w:tcPr>
                <w:p w14:paraId="39F36D0B">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颗粒物</w:t>
                  </w:r>
                </w:p>
              </w:tc>
              <w:tc>
                <w:tcPr>
                  <w:tcW w:w="1227" w:type="dxa"/>
                  <w:vAlign w:val="center"/>
                </w:tcPr>
                <w:p w14:paraId="4AAB231A">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正常状态</w:t>
                  </w:r>
                </w:p>
              </w:tc>
            </w:tr>
            <w:tr w14:paraId="4D7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6" w:type="dxa"/>
                  <w:vMerge w:val="continue"/>
                  <w:vAlign w:val="center"/>
                </w:tcPr>
                <w:p w14:paraId="4F52DC56">
                  <w:pPr>
                    <w:kinsoku/>
                    <w:overflowPunct w:val="0"/>
                    <w:autoSpaceDE/>
                    <w:autoSpaceDN/>
                    <w:adjustRightInd/>
                    <w:snapToGrid/>
                    <w:jc w:val="center"/>
                    <w:rPr>
                      <w:rFonts w:ascii="Times New Roman" w:hAnsi="Times New Roman" w:eastAsia="宋体" w:cs="Times New Roman"/>
                      <w:color w:val="000000" w:themeColor="text1"/>
                      <w:highlight w:val="none"/>
                      <w14:textFill>
                        <w14:solidFill>
                          <w14:schemeClr w14:val="tx1"/>
                        </w14:solidFill>
                      </w14:textFill>
                    </w:rPr>
                  </w:pPr>
                </w:p>
              </w:tc>
              <w:tc>
                <w:tcPr>
                  <w:tcW w:w="1655" w:type="dxa"/>
                  <w:vAlign w:val="center"/>
                </w:tcPr>
                <w:p w14:paraId="38DBA9C2">
                  <w:pPr>
                    <w:pStyle w:val="273"/>
                    <w:kinsoku/>
                    <w:overflowPunct w:val="0"/>
                    <w:autoSpaceDE/>
                    <w:autoSpaceDN/>
                    <w:adjustRightInd/>
                    <w:snapToGrid/>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改性磷石膏堆存</w:t>
                  </w:r>
                </w:p>
              </w:tc>
              <w:tc>
                <w:tcPr>
                  <w:tcW w:w="1247" w:type="dxa"/>
                  <w:vAlign w:val="center"/>
                </w:tcPr>
                <w:p w14:paraId="5E0C3B23">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垂直入渗</w:t>
                  </w:r>
                </w:p>
              </w:tc>
              <w:tc>
                <w:tcPr>
                  <w:tcW w:w="3305" w:type="dxa"/>
                  <w:vAlign w:val="center"/>
                </w:tcPr>
                <w:p w14:paraId="16458862">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color w:val="000000" w:themeColor="text1"/>
                      <w:sz w:val="21"/>
                      <w:szCs w:val="21"/>
                      <w:highlight w:val="none"/>
                      <w:lang w:eastAsia="zh-CN"/>
                      <w14:textFill>
                        <w14:solidFill>
                          <w14:schemeClr w14:val="tx1"/>
                        </w14:solidFill>
                      </w14:textFill>
                    </w:rPr>
                    <w:t>pH值、高锰酸盐指数、硫酸盐、氨氮、氟化物、砷和总磷</w:t>
                  </w:r>
                </w:p>
              </w:tc>
              <w:tc>
                <w:tcPr>
                  <w:tcW w:w="1227" w:type="dxa"/>
                  <w:vAlign w:val="center"/>
                </w:tcPr>
                <w:p w14:paraId="048DC2D7">
                  <w:pPr>
                    <w:pStyle w:val="273"/>
                    <w:kinsoku/>
                    <w:overflowPunct w:val="0"/>
                    <w:autoSpaceDE/>
                    <w:autoSpaceDN/>
                    <w:adjustRightInd/>
                    <w:snapToGrid/>
                    <w:jc w:val="center"/>
                    <w:rPr>
                      <w:rFonts w:ascii="Times New Roman" w:hAnsi="Times New Roman" w:eastAsia="宋体" w:cs="Times New Roman"/>
                      <w:color w:val="000000" w:themeColor="text1"/>
                      <w:sz w:val="21"/>
                      <w:szCs w:val="21"/>
                      <w:highlight w:val="none"/>
                      <w:lang w:eastAsia="zh-CN"/>
                      <w14:textFill>
                        <w14:solidFill>
                          <w14:schemeClr w14:val="tx1"/>
                        </w14:solidFill>
                      </w14:textFill>
                    </w:rPr>
                  </w:pPr>
                  <w:r>
                    <w:rPr>
                      <w:rFonts w:ascii="Times New Roman" w:hAnsi="Times New Roman" w:eastAsia="宋体" w:cs="Times New Roman"/>
                      <w:color w:val="000000" w:themeColor="text1"/>
                      <w:sz w:val="21"/>
                      <w:szCs w:val="21"/>
                      <w:highlight w:val="none"/>
                      <w:lang w:eastAsia="zh-CN"/>
                      <w14:textFill>
                        <w14:solidFill>
                          <w14:schemeClr w14:val="tx1"/>
                        </w14:solidFill>
                      </w14:textFill>
                    </w:rPr>
                    <w:t>事故状态</w:t>
                  </w:r>
                </w:p>
              </w:tc>
            </w:tr>
          </w:tbl>
          <w:p w14:paraId="1DC1439B">
            <w:pPr>
              <w:keepNext w:val="0"/>
              <w:keepLines w:val="0"/>
              <w:widowControl/>
              <w:suppressLineNumbers w:val="0"/>
              <w:kinsoku/>
              <w:overflowPunct w:val="0"/>
              <w:autoSpaceDE/>
              <w:autoSpaceDN/>
              <w:adjustRightInd/>
              <w:snapToGrid/>
              <w:spacing w:before="0" w:beforeAutospacing="0" w:after="0" w:afterAutospacing="0" w:line="46" w:lineRule="auto"/>
              <w:ind w:left="0" w:right="0"/>
              <w:rPr>
                <w:rFonts w:hint="default" w:ascii="Times New Roman" w:hAnsi="Times New Roman" w:eastAsia="宋体" w:cs="Times New Roman"/>
                <w:color w:val="000000" w:themeColor="text1"/>
                <w:sz w:val="2"/>
                <w:szCs w:val="20"/>
                <w:highlight w:val="none"/>
                <w:lang w:eastAsia="zh-CN"/>
                <w14:textFill>
                  <w14:solidFill>
                    <w14:schemeClr w14:val="tx1"/>
                  </w14:solidFill>
                </w14:textFill>
              </w:rPr>
            </w:pPr>
          </w:p>
          <w:p w14:paraId="1A4B5CB0">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2"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（3）项目对土壤</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地下水的影响分析</w:t>
            </w:r>
          </w:p>
          <w:p w14:paraId="356AE6D0">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项目对地下水和土壤主要影响为堆场的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pH值、高锰酸盐指数、硫酸盐、氨氮、氟化物、砷和总磷</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，通过垂直下渗进入土壤和地下水，污染地下水水质；生产过</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程中</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产生的颗粒物通过大气沉降进入地下水，污染地下水水质和土壤环境。针对以上问题，</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根据《磷石膏利用和无害化贮存污染控制技术规范》（HJ 1415-2025）中6.</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 新建资源贮存场的设计应符合GB 18599中Ⅱ类场技术要求，库容应按照不超过3年磷石膏产生量设计的要求，</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本项目提出以下防渗措施：</w:t>
            </w:r>
          </w:p>
          <w:p w14:paraId="61258C35">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①</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改性车间</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已</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采用夯实粘土层（厚度0.75m，K≤1×10</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cm/s）+混凝土（厚度150mm）的防渗措施</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后续需补充建设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高密度聚乙烯膜（1.5mm，满足GB/T 17643规定的技术指标）。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建设完成后</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可满足《一般工业固体废物贮存和填埋污染控制标准》（GB18599-2020）要求Ⅱ类场的防渗技术要求</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7880B481">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②</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待检区</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应采用</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夯实粘土层（厚度0.75m，K≤1×10</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cm/s）+混凝土（厚度150mm）</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“两布一膜”</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（1.5mm，满足GB/T 17643规定的技术指标）</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的防渗措施</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，以满足《一般工业固体废物贮 存和填埋污染控制标准》（GB18599-2020）要求Ⅱ类场的防渗技术要求</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7C999E3D">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③初期雨水收集池</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租赁厂区已建的收集池</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进行一般防渗（等效黏土防渗层Mb≥1.5m，渗透系数K≤1x10</w:t>
            </w:r>
            <w:r>
              <w:rPr>
                <w:rFonts w:hint="eastAsia" w:ascii="Times New Roman" w:hAnsi="Times New Roman" w:eastAsia="宋体" w:cs="Times New Roman"/>
                <w:color w:val="000000" w:themeColor="text1"/>
                <w:sz w:val="24"/>
                <w:szCs w:val="24"/>
                <w:highlight w:val="none"/>
                <w:vertAlign w:val="superscript"/>
                <w:lang w:eastAsia="zh-CN"/>
                <w14:textFill>
                  <w14:solidFill>
                    <w14:schemeClr w14:val="tx1"/>
                  </w14:solidFill>
                </w14:textFill>
              </w:rPr>
              <w:t>-7</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cm/s</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2C588139">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④厂区道路及其他地面进行硬化。</w:t>
            </w:r>
          </w:p>
          <w:p w14:paraId="5A62334F">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⑤</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危</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废贮存库建设严格按照《危险废物贮存污染控制标准》（GB18597-2023）要求落实重点防渗措施。</w:t>
            </w:r>
          </w:p>
          <w:p w14:paraId="0457421B">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综上所述项目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改性车间、待检区</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防渗系统满足《一般工业固体废物贮存和填埋污染控制标准》（GB18599-2020）</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Ⅱ</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类</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场</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的防渗技术要求</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，满足《磷石膏利用和无害化贮存污染控制技术规范》（HJ 1415-2025）要求，</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满足《环境影响技术评价导则</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地下水环境》HJ610-2016中分区防渗要求</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，危废贮存库满足《危险废物贮存污染控制标准》（GB18597-2023）要求</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本项目正常工况下，对地下水、土壤影响小。</w:t>
            </w:r>
          </w:p>
          <w:p w14:paraId="228FC892">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在项目建设过程中，严格按照设计施工，项目正常工况下对区域地下水和土壤影响较小。环评提出，每批次产品必须经过厂家检测，检测结果达到产品质量标准后方可</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进行生态修复</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改性物料中</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严禁</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混入</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危险废物、放射性废物、生活垃圾性质相近的一般工业固体废物以及其他有机物含量超过5%的一般工业固体废物。</w:t>
            </w:r>
          </w:p>
          <w:p w14:paraId="18275329">
            <w:pPr>
              <w:keepNext w:val="0"/>
              <w:keepLines w:val="0"/>
              <w:suppressLineNumbers w:val="0"/>
              <w:spacing w:before="0" w:beforeAutospacing="0" w:after="0" w:afterAutospacing="0" w:line="348"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default"/>
                <w:color w:val="000000" w:themeColor="text1"/>
                <w:kern w:val="0"/>
                <w:sz w:val="24"/>
                <w:szCs w:val="20"/>
                <w:highlight w:val="none"/>
                <w14:textFill>
                  <w14:solidFill>
                    <w14:schemeClr w14:val="tx1"/>
                  </w14:solidFill>
                </w14:textFill>
              </w:rPr>
              <w:t>综合上述分析，项目在</w:t>
            </w:r>
            <w:r>
              <w:rPr>
                <w:rFonts w:hint="eastAsia"/>
                <w:color w:val="000000" w:themeColor="text1"/>
                <w:kern w:val="0"/>
                <w:sz w:val="24"/>
                <w:szCs w:val="20"/>
                <w:highlight w:val="none"/>
                <w14:textFill>
                  <w14:solidFill>
                    <w14:schemeClr w14:val="tx1"/>
                  </w14:solidFill>
                </w14:textFill>
              </w:rPr>
              <w:t>严格落实上述污染</w:t>
            </w:r>
            <w:r>
              <w:rPr>
                <w:rFonts w:hint="default"/>
                <w:color w:val="000000" w:themeColor="text1"/>
                <w:kern w:val="0"/>
                <w:sz w:val="24"/>
                <w:szCs w:val="20"/>
                <w:highlight w:val="none"/>
                <w14:textFill>
                  <w14:solidFill>
                    <w14:schemeClr w14:val="tx1"/>
                  </w14:solidFill>
                </w14:textFill>
              </w:rPr>
              <w:t>防治措施后对土壤</w:t>
            </w:r>
            <w:r>
              <w:rPr>
                <w:rFonts w:hint="eastAsia"/>
                <w:color w:val="000000" w:themeColor="text1"/>
                <w:kern w:val="0"/>
                <w:sz w:val="24"/>
                <w:szCs w:val="20"/>
                <w:highlight w:val="none"/>
                <w14:textFill>
                  <w14:solidFill>
                    <w14:schemeClr w14:val="tx1"/>
                  </w14:solidFill>
                </w14:textFill>
              </w:rPr>
              <w:t>、地下水</w:t>
            </w:r>
            <w:r>
              <w:rPr>
                <w:rFonts w:hint="default"/>
                <w:color w:val="000000" w:themeColor="text1"/>
                <w:kern w:val="0"/>
                <w:sz w:val="24"/>
                <w:szCs w:val="20"/>
                <w:highlight w:val="none"/>
                <w14:textFill>
                  <w14:solidFill>
                    <w14:schemeClr w14:val="tx1"/>
                  </w14:solidFill>
                </w14:textFill>
              </w:rPr>
              <w:t>环境的影响是可控的、可接受的，因此，从土壤</w:t>
            </w:r>
            <w:r>
              <w:rPr>
                <w:rFonts w:hint="eastAsia"/>
                <w:color w:val="000000" w:themeColor="text1"/>
                <w:kern w:val="0"/>
                <w:sz w:val="24"/>
                <w:szCs w:val="20"/>
                <w:highlight w:val="none"/>
                <w14:textFill>
                  <w14:solidFill>
                    <w14:schemeClr w14:val="tx1"/>
                  </w14:solidFill>
                </w14:textFill>
              </w:rPr>
              <w:t>、地下水</w:t>
            </w:r>
            <w:r>
              <w:rPr>
                <w:rFonts w:hint="default"/>
                <w:color w:val="000000" w:themeColor="text1"/>
                <w:kern w:val="0"/>
                <w:sz w:val="24"/>
                <w:szCs w:val="20"/>
                <w:highlight w:val="none"/>
                <w14:textFill>
                  <w14:solidFill>
                    <w14:schemeClr w14:val="tx1"/>
                  </w14:solidFill>
                </w14:textFill>
              </w:rPr>
              <w:t>环境影响的角度看，项目是可行的。</w:t>
            </w:r>
          </w:p>
          <w:p w14:paraId="4B43C327">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b/>
                <w:bCs/>
                <w:color w:val="000000" w:themeColor="text1"/>
                <w:szCs w:val="24"/>
                <w:highlight w:val="none"/>
                <w14:textFill>
                  <w14:solidFill>
                    <w14:schemeClr w14:val="tx1"/>
                  </w14:solidFill>
                </w14:textFill>
              </w:rPr>
            </w:pPr>
            <w:r>
              <w:rPr>
                <w:rFonts w:hint="eastAsia" w:ascii="Times New Roman" w:hAnsi="Times New Roman"/>
                <w:b/>
                <w:bCs/>
                <w:color w:val="000000" w:themeColor="text1"/>
                <w:szCs w:val="24"/>
                <w:highlight w:val="none"/>
                <w14:textFill>
                  <w14:solidFill>
                    <w14:schemeClr w14:val="tx1"/>
                  </w14:solidFill>
                </w14:textFill>
              </w:rPr>
              <w:t>4.</w:t>
            </w:r>
            <w:r>
              <w:rPr>
                <w:rFonts w:hint="eastAsia" w:ascii="Times New Roman" w:hAnsi="Times New Roman"/>
                <w:b/>
                <w:bCs/>
                <w:color w:val="000000" w:themeColor="text1"/>
                <w:szCs w:val="24"/>
                <w:highlight w:val="none"/>
                <w:lang w:val="en-US" w:eastAsia="zh-CN"/>
                <w14:textFill>
                  <w14:solidFill>
                    <w14:schemeClr w14:val="tx1"/>
                  </w14:solidFill>
                </w14:textFill>
              </w:rPr>
              <w:t>6</w:t>
            </w:r>
            <w:r>
              <w:rPr>
                <w:rFonts w:hint="eastAsia" w:ascii="Times New Roman" w:hAnsi="Times New Roman"/>
                <w:b/>
                <w:bCs/>
                <w:color w:val="000000" w:themeColor="text1"/>
                <w:szCs w:val="24"/>
                <w:highlight w:val="none"/>
                <w14:textFill>
                  <w14:solidFill>
                    <w14:schemeClr w14:val="tx1"/>
                  </w14:solidFill>
                </w14:textFill>
              </w:rPr>
              <w:t>.</w:t>
            </w:r>
            <w:r>
              <w:rPr>
                <w:rFonts w:hint="eastAsia" w:ascii="Times New Roman" w:hAnsi="Times New Roman"/>
                <w:b/>
                <w:bCs/>
                <w:color w:val="000000" w:themeColor="text1"/>
                <w:szCs w:val="24"/>
                <w:highlight w:val="none"/>
                <w:lang w:val="en-US" w:eastAsia="zh-CN"/>
                <w14:textFill>
                  <w14:solidFill>
                    <w14:schemeClr w14:val="tx1"/>
                  </w14:solidFill>
                </w14:textFill>
              </w:rPr>
              <w:t>5</w:t>
            </w:r>
            <w:r>
              <w:rPr>
                <w:rFonts w:hint="eastAsia" w:ascii="Times New Roman" w:hAnsi="Times New Roman"/>
                <w:b/>
                <w:bCs/>
                <w:color w:val="000000" w:themeColor="text1"/>
                <w:szCs w:val="24"/>
                <w:highlight w:val="none"/>
                <w14:textFill>
                  <w14:solidFill>
                    <w14:schemeClr w14:val="tx1"/>
                  </w14:solidFill>
                </w14:textFill>
              </w:rPr>
              <w:t>生态影响和保护措施</w:t>
            </w:r>
          </w:p>
          <w:p w14:paraId="7F31F5F9">
            <w:pPr>
              <w:keepNext w:val="0"/>
              <w:keepLines w:val="0"/>
              <w:suppressLineNumbers w:val="0"/>
              <w:spacing w:before="0" w:beforeAutospacing="0" w:after="0" w:afterAutospacing="0" w:line="360" w:lineRule="auto"/>
              <w:ind w:left="0" w:right="0" w:firstLine="480" w:firstLineChars="200"/>
              <w:rPr>
                <w:rFonts w:hint="eastAsia"/>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项目运行过程中会产生粉尘，会对附近植物产生一定影响。粉尘降落在植物叶面上，吸收水分成为深灰色的一层薄壳，降低叶面的光合作用；堵塞叶面气孔，阻碍叶面气孔的呼吸作用及水分蒸发，减弱调湿和机体代谢功能，造成叶尖失水、干枯、落叶和减产。粉尘的碱性物质能破坏叶面表层的蜡质和表皮茸毛，使植物生长减退，对其产生不利影响，本次评价提出：1）对运输道路洒水降尘；2）改性设备进料、出料口安装喷淋设施；3）设密闭厂房。加之，雨季雨水对植物表面进行冲刷，会将植物表面粉尘带走，故采取本次评价提出的相关环保措施后，本工程粉尘排放对周围植物产生的影响很小。</w:t>
            </w:r>
          </w:p>
          <w:p w14:paraId="514639F3">
            <w:pPr>
              <w:keepNext w:val="0"/>
              <w:keepLines w:val="0"/>
              <w:suppressLineNumbers w:val="0"/>
              <w:spacing w:before="0" w:beforeAutospacing="0" w:after="0" w:afterAutospacing="0" w:line="360" w:lineRule="auto"/>
              <w:ind w:left="0" w:right="0" w:firstLine="480" w:firstLineChars="200"/>
              <w:jc w:val="left"/>
              <w:rPr>
                <w:rFonts w:hint="eastAsia"/>
                <w:color w:val="000000" w:themeColor="text1"/>
                <w:kern w:val="0"/>
                <w:sz w:val="24"/>
                <w:szCs w:val="20"/>
                <w:highlight w:val="none"/>
                <w14:textFill>
                  <w14:solidFill>
                    <w14:schemeClr w14:val="tx1"/>
                  </w14:solidFill>
                </w14:textFill>
              </w:rPr>
            </w:pPr>
            <w:r>
              <w:rPr>
                <w:rFonts w:hint="eastAsia"/>
                <w:color w:val="000000" w:themeColor="text1"/>
                <w:kern w:val="0"/>
                <w:sz w:val="24"/>
                <w:szCs w:val="20"/>
                <w:highlight w:val="none"/>
                <w14:textFill>
                  <w14:solidFill>
                    <w14:schemeClr w14:val="tx1"/>
                  </w14:solidFill>
                </w14:textFill>
              </w:rPr>
              <w:t>评价区无国家及云南省珍稀濒危和受保护的野生动物分布，项目不涉及自然保护区、风景名胜区、森林公园、饮用水源保护区、文物古迹、地质遗迹保护区、基本农田保护区、公益林地，项目运营期粉尘排放对周围生态环境和景观影响较小，对生态环境造成的影响是可以接受的。</w:t>
            </w:r>
          </w:p>
          <w:p w14:paraId="31563AD8">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b/>
                <w:bCs/>
                <w:color w:val="000000" w:themeColor="text1"/>
                <w:szCs w:val="24"/>
                <w:highlight w:val="none"/>
                <w14:textFill>
                  <w14:solidFill>
                    <w14:schemeClr w14:val="tx1"/>
                  </w14:solidFill>
                </w14:textFill>
              </w:rPr>
            </w:pPr>
            <w:r>
              <w:rPr>
                <w:rFonts w:hint="eastAsia" w:ascii="Times New Roman" w:hAnsi="Times New Roman"/>
                <w:b/>
                <w:bCs/>
                <w:color w:val="000000" w:themeColor="text1"/>
                <w:szCs w:val="24"/>
                <w:highlight w:val="none"/>
                <w14:textFill>
                  <w14:solidFill>
                    <w14:schemeClr w14:val="tx1"/>
                  </w14:solidFill>
                </w14:textFill>
              </w:rPr>
              <w:t>4.</w:t>
            </w:r>
            <w:r>
              <w:rPr>
                <w:rFonts w:hint="eastAsia" w:ascii="Times New Roman" w:hAnsi="Times New Roman"/>
                <w:b/>
                <w:bCs/>
                <w:color w:val="000000" w:themeColor="text1"/>
                <w:szCs w:val="24"/>
                <w:highlight w:val="none"/>
                <w:lang w:val="en-US" w:eastAsia="zh-CN"/>
                <w14:textFill>
                  <w14:solidFill>
                    <w14:schemeClr w14:val="tx1"/>
                  </w14:solidFill>
                </w14:textFill>
              </w:rPr>
              <w:t>6</w:t>
            </w:r>
            <w:r>
              <w:rPr>
                <w:rFonts w:hint="eastAsia" w:ascii="Times New Roman" w:hAnsi="Times New Roman"/>
                <w:b/>
                <w:bCs/>
                <w:color w:val="000000" w:themeColor="text1"/>
                <w:szCs w:val="24"/>
                <w:highlight w:val="none"/>
                <w14:textFill>
                  <w14:solidFill>
                    <w14:schemeClr w14:val="tx1"/>
                  </w14:solidFill>
                </w14:textFill>
              </w:rPr>
              <w:t>.</w:t>
            </w:r>
            <w:r>
              <w:rPr>
                <w:rFonts w:hint="eastAsia" w:ascii="Times New Roman" w:hAnsi="Times New Roman"/>
                <w:b/>
                <w:bCs/>
                <w:color w:val="000000" w:themeColor="text1"/>
                <w:szCs w:val="24"/>
                <w:highlight w:val="none"/>
                <w:lang w:val="en-US" w:eastAsia="zh-CN"/>
                <w14:textFill>
                  <w14:solidFill>
                    <w14:schemeClr w14:val="tx1"/>
                  </w14:solidFill>
                </w14:textFill>
              </w:rPr>
              <w:t>6</w:t>
            </w:r>
            <w:r>
              <w:rPr>
                <w:rFonts w:hint="eastAsia" w:ascii="Times New Roman" w:hAnsi="Times New Roman"/>
                <w:b/>
                <w:bCs/>
                <w:color w:val="000000" w:themeColor="text1"/>
                <w:szCs w:val="24"/>
                <w:highlight w:val="none"/>
                <w14:textFill>
                  <w14:solidFill>
                    <w14:schemeClr w14:val="tx1"/>
                  </w14:solidFill>
                </w14:textFill>
              </w:rPr>
              <w:t>环境风险影响和防治措施</w:t>
            </w:r>
          </w:p>
          <w:p w14:paraId="05B13946">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环境风险评价或称事故风险环境评价，主要是指有毒、有害物质因突发事故，在很短时间内大剂量释放，给人和生态环境造成的激烈效应以及事故后期的长远效应的预测、分析和评估，从而为本项目设计提供较为明确的环境风险防范措施。环境风险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14:paraId="7AEEEAFF">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（1）风险识别</w:t>
            </w:r>
          </w:p>
          <w:p w14:paraId="3ABA3E29">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建设项目环境风险评价技术导则》（HJ169-2018）相关规定：根据项目生产工艺流程，对企业原辅材料、燃料、中间产品、副产品、最终产品和三废所涉及的主要物质进行识别；如果某种物质具有有毒、有害、易燃易爆、易扩散等特性，在意外条件下可能对企业外部人群和环境造成伤害、污染，则定义此物质为环境风险物质。</w:t>
            </w:r>
          </w:p>
          <w:p w14:paraId="15EF78BF">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bCs/>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据此原则，对项目内各环节涉及的主要物质进行识别，识别结果见</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下</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表。</w:t>
            </w:r>
          </w:p>
          <w:p w14:paraId="1EF806AA">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表</w:t>
            </w: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4-20</w:t>
            </w:r>
            <w:r>
              <w:rPr>
                <w:rFonts w:hint="default" w:ascii="Times New Roman" w:hAnsi="Times New Roman" w:eastAsia="宋体" w:cs="Times New Roman"/>
                <w:b/>
                <w:color w:val="000000" w:themeColor="text1"/>
                <w:sz w:val="24"/>
                <w:szCs w:val="24"/>
                <w:highlight w:val="none"/>
                <w14:textFill>
                  <w14:solidFill>
                    <w14:schemeClr w14:val="tx1"/>
                  </w14:solidFill>
                </w14:textFill>
              </w:rPr>
              <w:t xml:space="preserve"> </w:t>
            </w:r>
            <w:r>
              <w:rPr>
                <w:rFonts w:hint="eastAsia" w:cs="Times New Roman"/>
                <w:b/>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szCs w:val="24"/>
                <w:highlight w:val="none"/>
                <w14:textFill>
                  <w14:solidFill>
                    <w14:schemeClr w14:val="tx1"/>
                  </w14:solidFill>
                </w14:textFill>
              </w:rPr>
              <w:t>环境风险物质识别表</w:t>
            </w:r>
          </w:p>
          <w:tbl>
            <w:tblPr>
              <w:tblStyle w:val="44"/>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803"/>
              <w:gridCol w:w="2136"/>
              <w:gridCol w:w="1093"/>
              <w:gridCol w:w="1766"/>
            </w:tblGrid>
            <w:tr w14:paraId="00F8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dxa"/>
                  <w:tcBorders>
                    <w:top w:val="single" w:color="auto" w:sz="4" w:space="0"/>
                    <w:left w:val="single" w:color="auto" w:sz="4" w:space="0"/>
                    <w:bottom w:val="single" w:color="auto" w:sz="4" w:space="0"/>
                    <w:right w:val="single" w:color="auto" w:sz="4" w:space="0"/>
                  </w:tcBorders>
                  <w:vAlign w:val="center"/>
                </w:tcPr>
                <w:p w14:paraId="2C2461FB">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物质名称</w:t>
                  </w:r>
                </w:p>
              </w:tc>
              <w:tc>
                <w:tcPr>
                  <w:tcW w:w="1803" w:type="dxa"/>
                  <w:tcBorders>
                    <w:top w:val="single" w:color="auto" w:sz="4" w:space="0"/>
                    <w:left w:val="single" w:color="auto" w:sz="4" w:space="0"/>
                    <w:bottom w:val="single" w:color="auto" w:sz="4" w:space="0"/>
                    <w:right w:val="single" w:color="auto" w:sz="4" w:space="0"/>
                  </w:tcBorders>
                  <w:vAlign w:val="center"/>
                </w:tcPr>
                <w:p w14:paraId="0ACF92D5">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风险特性</w:t>
                  </w:r>
                </w:p>
              </w:tc>
              <w:tc>
                <w:tcPr>
                  <w:tcW w:w="2136" w:type="dxa"/>
                  <w:tcBorders>
                    <w:top w:val="single" w:color="auto" w:sz="4" w:space="0"/>
                    <w:left w:val="single" w:color="auto" w:sz="4" w:space="0"/>
                    <w:bottom w:val="single" w:color="auto" w:sz="4" w:space="0"/>
                    <w:right w:val="single" w:color="auto" w:sz="4" w:space="0"/>
                  </w:tcBorders>
                  <w:vAlign w:val="center"/>
                </w:tcPr>
                <w:p w14:paraId="5840B524">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风险类型</w:t>
                  </w:r>
                </w:p>
              </w:tc>
              <w:tc>
                <w:tcPr>
                  <w:tcW w:w="1093" w:type="dxa"/>
                  <w:tcBorders>
                    <w:top w:val="single" w:color="auto" w:sz="4" w:space="0"/>
                    <w:left w:val="single" w:color="auto" w:sz="4" w:space="0"/>
                    <w:bottom w:val="single" w:color="auto" w:sz="4" w:space="0"/>
                    <w:right w:val="single" w:color="auto" w:sz="4" w:space="0"/>
                  </w:tcBorders>
                  <w:vAlign w:val="center"/>
                </w:tcPr>
                <w:p w14:paraId="45721605">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存放位置/</w:t>
                  </w:r>
                </w:p>
                <w:p w14:paraId="44C3A5E4">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所在装置</w:t>
                  </w:r>
                </w:p>
              </w:tc>
              <w:tc>
                <w:tcPr>
                  <w:tcW w:w="1766" w:type="dxa"/>
                  <w:tcBorders>
                    <w:top w:val="single" w:color="auto" w:sz="4" w:space="0"/>
                    <w:left w:val="single" w:color="auto" w:sz="4" w:space="0"/>
                    <w:bottom w:val="single" w:color="auto" w:sz="4" w:space="0"/>
                    <w:right w:val="single" w:color="auto" w:sz="4" w:space="0"/>
                  </w:tcBorders>
                  <w:vAlign w:val="center"/>
                </w:tcPr>
                <w:p w14:paraId="20C00122">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是否为环境风险物质</w:t>
                  </w:r>
                </w:p>
              </w:tc>
            </w:tr>
            <w:tr w14:paraId="53F9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dxa"/>
                  <w:vAlign w:val="center"/>
                </w:tcPr>
                <w:p w14:paraId="4E95F868">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废机油</w:t>
                  </w:r>
                </w:p>
              </w:tc>
              <w:tc>
                <w:tcPr>
                  <w:tcW w:w="1803" w:type="dxa"/>
                  <w:vAlign w:val="center"/>
                </w:tcPr>
                <w:p w14:paraId="6A678EF6">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危险废物、可燃物质</w:t>
                  </w:r>
                </w:p>
              </w:tc>
              <w:tc>
                <w:tcPr>
                  <w:tcW w:w="2136" w:type="dxa"/>
                  <w:vAlign w:val="center"/>
                </w:tcPr>
                <w:p w14:paraId="21E46F3A">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泄漏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、未按规范要求使用</w:t>
                  </w:r>
                </w:p>
              </w:tc>
              <w:tc>
                <w:tcPr>
                  <w:tcW w:w="1093" w:type="dxa"/>
                  <w:vAlign w:val="center"/>
                </w:tcPr>
                <w:p w14:paraId="538BC136">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危废贮存库</w:t>
                  </w:r>
                </w:p>
              </w:tc>
              <w:tc>
                <w:tcPr>
                  <w:tcW w:w="1766" w:type="dxa"/>
                  <w:vAlign w:val="center"/>
                </w:tcPr>
                <w:p w14:paraId="338016D9">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是</w:t>
                  </w:r>
                </w:p>
              </w:tc>
            </w:tr>
          </w:tbl>
          <w:p w14:paraId="21259B7E">
            <w:pPr>
              <w:pStyle w:val="273"/>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由上表可知，本项目主要环境风险物质为废机油，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废机油</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主要理化性质及危险特性如下：</w:t>
            </w:r>
          </w:p>
          <w:p w14:paraId="3ACB0299">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eastAsia="zh-CN"/>
                <w14:textFill>
                  <w14:solidFill>
                    <w14:schemeClr w14:val="tx1"/>
                  </w14:solidFill>
                </w14:textFill>
              </w:rPr>
              <w:t>表</w:t>
            </w: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4-21</w:t>
            </w:r>
            <w:r>
              <w:rPr>
                <w:rFonts w:hint="eastAsia" w:cs="Times New Roman"/>
                <w:b/>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szCs w:val="24"/>
                <w:highlight w:val="none"/>
                <w:lang w:eastAsia="zh-CN"/>
                <w14:textFill>
                  <w14:solidFill>
                    <w14:schemeClr w14:val="tx1"/>
                  </w14:solidFill>
                </w14:textFill>
              </w:rPr>
              <w:t>机油理化性质、危险特性一览表</w:t>
            </w:r>
          </w:p>
          <w:tbl>
            <w:tblPr>
              <w:tblStyle w:val="44"/>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45"/>
              <w:gridCol w:w="2167"/>
              <w:gridCol w:w="2122"/>
              <w:gridCol w:w="1691"/>
            </w:tblGrid>
            <w:tr w14:paraId="102B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14:paraId="192F688C">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标识</w:t>
                  </w:r>
                </w:p>
              </w:tc>
              <w:tc>
                <w:tcPr>
                  <w:tcW w:w="1345" w:type="dxa"/>
                  <w:tcBorders>
                    <w:top w:val="single" w:color="auto" w:sz="4" w:space="0"/>
                    <w:left w:val="single" w:color="auto" w:sz="4" w:space="0"/>
                    <w:bottom w:val="single" w:color="auto" w:sz="4" w:space="0"/>
                    <w:right w:val="single" w:color="auto" w:sz="4" w:space="0"/>
                  </w:tcBorders>
                  <w:vAlign w:val="center"/>
                </w:tcPr>
                <w:p w14:paraId="4ACA88D8">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中文名</w:t>
                  </w:r>
                </w:p>
              </w:tc>
              <w:tc>
                <w:tcPr>
                  <w:tcW w:w="2167" w:type="dxa"/>
                  <w:tcBorders>
                    <w:top w:val="single" w:color="auto" w:sz="4" w:space="0"/>
                    <w:left w:val="single" w:color="auto" w:sz="4" w:space="0"/>
                    <w:bottom w:val="single" w:color="auto" w:sz="4" w:space="0"/>
                    <w:right w:val="single" w:color="auto" w:sz="4" w:space="0"/>
                  </w:tcBorders>
                  <w:vAlign w:val="center"/>
                </w:tcPr>
                <w:p w14:paraId="56F092F8">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机油；润滑油</w:t>
                  </w:r>
                </w:p>
              </w:tc>
              <w:tc>
                <w:tcPr>
                  <w:tcW w:w="2122" w:type="dxa"/>
                  <w:tcBorders>
                    <w:top w:val="single" w:color="auto" w:sz="4" w:space="0"/>
                    <w:left w:val="single" w:color="auto" w:sz="4" w:space="0"/>
                    <w:bottom w:val="single" w:color="auto" w:sz="4" w:space="0"/>
                    <w:right w:val="single" w:color="auto" w:sz="4" w:space="0"/>
                  </w:tcBorders>
                  <w:vAlign w:val="center"/>
                </w:tcPr>
                <w:p w14:paraId="66431F64">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英文名</w:t>
                  </w:r>
                </w:p>
              </w:tc>
              <w:tc>
                <w:tcPr>
                  <w:tcW w:w="1688" w:type="dxa"/>
                  <w:tcBorders>
                    <w:top w:val="single" w:color="auto" w:sz="4" w:space="0"/>
                    <w:left w:val="single" w:color="auto" w:sz="4" w:space="0"/>
                    <w:bottom w:val="single" w:color="auto" w:sz="4" w:space="0"/>
                    <w:right w:val="single" w:color="auto" w:sz="4" w:space="0"/>
                  </w:tcBorders>
                  <w:vAlign w:val="center"/>
                </w:tcPr>
                <w:p w14:paraId="38181D5D">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Lubricating oil</w:t>
                  </w:r>
                </w:p>
              </w:tc>
            </w:tr>
            <w:tr w14:paraId="5ABF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Borders>
                    <w:top w:val="single" w:color="auto" w:sz="4" w:space="0"/>
                    <w:left w:val="single" w:color="auto" w:sz="4" w:space="0"/>
                    <w:bottom w:val="single" w:color="auto" w:sz="4" w:space="0"/>
                    <w:right w:val="single" w:color="auto" w:sz="4" w:space="0"/>
                  </w:tcBorders>
                  <w:vAlign w:val="center"/>
                </w:tcPr>
                <w:p w14:paraId="68D13883">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理化性质</w:t>
                  </w:r>
                </w:p>
              </w:tc>
              <w:tc>
                <w:tcPr>
                  <w:tcW w:w="1345" w:type="dxa"/>
                  <w:tcBorders>
                    <w:top w:val="single" w:color="auto" w:sz="4" w:space="0"/>
                    <w:left w:val="single" w:color="auto" w:sz="4" w:space="0"/>
                    <w:bottom w:val="single" w:color="auto" w:sz="4" w:space="0"/>
                    <w:right w:val="single" w:color="auto" w:sz="4" w:space="0"/>
                  </w:tcBorders>
                  <w:vAlign w:val="center"/>
                </w:tcPr>
                <w:p w14:paraId="3D71DCCC">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外观与性状</w:t>
                  </w:r>
                </w:p>
              </w:tc>
              <w:tc>
                <w:tcPr>
                  <w:tcW w:w="5980" w:type="dxa"/>
                  <w:gridSpan w:val="3"/>
                  <w:tcBorders>
                    <w:top w:val="single" w:color="auto" w:sz="4" w:space="0"/>
                    <w:left w:val="single" w:color="auto" w:sz="4" w:space="0"/>
                    <w:bottom w:val="single" w:color="auto" w:sz="4" w:space="0"/>
                    <w:right w:val="single" w:color="auto" w:sz="4" w:space="0"/>
                  </w:tcBorders>
                  <w:vAlign w:val="center"/>
                </w:tcPr>
                <w:p w14:paraId="54304477">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淡黄色</w:t>
                  </w:r>
                  <w:r>
                    <w:rPr>
                      <w:rFonts w:hint="eastAsia" w:ascii="Times New Roman" w:hAnsi="Times New Roman" w:eastAsia="宋体" w:cs="Times New Roman"/>
                      <w:color w:val="000000" w:themeColor="text1"/>
                      <w:sz w:val="21"/>
                      <w:szCs w:val="21"/>
                      <w:highlight w:val="none"/>
                      <w14:textFill>
                        <w14:solidFill>
                          <w14:schemeClr w14:val="tx1"/>
                        </w14:solidFill>
                      </w14:textFill>
                    </w:rPr>
                    <w:t>黏稠</w:t>
                  </w:r>
                  <w:r>
                    <w:rPr>
                      <w:rFonts w:hint="default" w:ascii="Times New Roman" w:hAnsi="Times New Roman" w:eastAsia="宋体" w:cs="Times New Roman"/>
                      <w:color w:val="000000" w:themeColor="text1"/>
                      <w:sz w:val="21"/>
                      <w:szCs w:val="21"/>
                      <w:highlight w:val="none"/>
                      <w14:textFill>
                        <w14:solidFill>
                          <w14:schemeClr w14:val="tx1"/>
                        </w14:solidFill>
                      </w14:textFill>
                    </w:rPr>
                    <w:t>液体</w:t>
                  </w:r>
                </w:p>
              </w:tc>
            </w:tr>
            <w:tr w14:paraId="559F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cBorders>
                  <w:vAlign w:val="center"/>
                </w:tcPr>
                <w:p w14:paraId="7E817617">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vAlign w:val="center"/>
                </w:tcPr>
                <w:p w14:paraId="479C56A0">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自燃点（℃）</w:t>
                  </w:r>
                </w:p>
              </w:tc>
              <w:tc>
                <w:tcPr>
                  <w:tcW w:w="2167" w:type="dxa"/>
                  <w:tcBorders>
                    <w:top w:val="single" w:color="auto" w:sz="4" w:space="0"/>
                    <w:left w:val="single" w:color="auto" w:sz="4" w:space="0"/>
                    <w:bottom w:val="single" w:color="auto" w:sz="4" w:space="0"/>
                    <w:right w:val="single" w:color="auto" w:sz="4" w:space="0"/>
                  </w:tcBorders>
                  <w:vAlign w:val="center"/>
                </w:tcPr>
                <w:p w14:paraId="53B42525">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300~350</w:t>
                  </w:r>
                </w:p>
              </w:tc>
              <w:tc>
                <w:tcPr>
                  <w:tcW w:w="2122" w:type="dxa"/>
                  <w:tcBorders>
                    <w:top w:val="single" w:color="auto" w:sz="4" w:space="0"/>
                    <w:left w:val="single" w:color="auto" w:sz="4" w:space="0"/>
                    <w:bottom w:val="single" w:color="auto" w:sz="4" w:space="0"/>
                    <w:right w:val="single" w:color="auto" w:sz="4" w:space="0"/>
                  </w:tcBorders>
                  <w:vAlign w:val="center"/>
                </w:tcPr>
                <w:p w14:paraId="4101E14C">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沸点（℃）</w:t>
                  </w:r>
                </w:p>
              </w:tc>
              <w:tc>
                <w:tcPr>
                  <w:tcW w:w="1688" w:type="dxa"/>
                  <w:tcBorders>
                    <w:top w:val="single" w:color="auto" w:sz="4" w:space="0"/>
                    <w:left w:val="single" w:color="auto" w:sz="4" w:space="0"/>
                    <w:bottom w:val="single" w:color="auto" w:sz="4" w:space="0"/>
                    <w:right w:val="single" w:color="auto" w:sz="4" w:space="0"/>
                  </w:tcBorders>
                  <w:vAlign w:val="center"/>
                </w:tcPr>
                <w:p w14:paraId="002CE6D2">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-252.8</w:t>
                  </w:r>
                </w:p>
              </w:tc>
            </w:tr>
            <w:tr w14:paraId="7EDF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cBorders>
                  <w:vAlign w:val="center"/>
                </w:tcPr>
                <w:p w14:paraId="6CC8B8D0">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vAlign w:val="center"/>
                </w:tcPr>
                <w:p w14:paraId="6B66F11B">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相对密度</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水=1</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tc>
              <w:tc>
                <w:tcPr>
                  <w:tcW w:w="2167" w:type="dxa"/>
                  <w:tcBorders>
                    <w:top w:val="single" w:color="auto" w:sz="4" w:space="0"/>
                    <w:left w:val="single" w:color="auto" w:sz="4" w:space="0"/>
                    <w:bottom w:val="single" w:color="auto" w:sz="4" w:space="0"/>
                    <w:right w:val="single" w:color="auto" w:sz="4" w:space="0"/>
                  </w:tcBorders>
                  <w:vAlign w:val="center"/>
                </w:tcPr>
                <w:p w14:paraId="673C883A">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934.8</w:t>
                  </w:r>
                </w:p>
              </w:tc>
              <w:tc>
                <w:tcPr>
                  <w:tcW w:w="2122" w:type="dxa"/>
                  <w:tcBorders>
                    <w:top w:val="single" w:color="auto" w:sz="4" w:space="0"/>
                    <w:left w:val="single" w:color="auto" w:sz="4" w:space="0"/>
                    <w:bottom w:val="single" w:color="auto" w:sz="4" w:space="0"/>
                    <w:right w:val="single" w:color="auto" w:sz="4" w:space="0"/>
                  </w:tcBorders>
                  <w:vAlign w:val="center"/>
                </w:tcPr>
                <w:p w14:paraId="1842F6CF">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相对密度</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空气=1</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tc>
              <w:tc>
                <w:tcPr>
                  <w:tcW w:w="1688" w:type="dxa"/>
                  <w:tcBorders>
                    <w:top w:val="single" w:color="auto" w:sz="4" w:space="0"/>
                    <w:left w:val="single" w:color="auto" w:sz="4" w:space="0"/>
                    <w:bottom w:val="single" w:color="auto" w:sz="4" w:space="0"/>
                    <w:right w:val="single" w:color="auto" w:sz="4" w:space="0"/>
                  </w:tcBorders>
                  <w:vAlign w:val="center"/>
                </w:tcPr>
                <w:p w14:paraId="5C031F97">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0.85</w:t>
                  </w:r>
                </w:p>
              </w:tc>
            </w:tr>
            <w:tr w14:paraId="4F00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cBorders>
                  <w:vAlign w:val="center"/>
                </w:tcPr>
                <w:p w14:paraId="6ACD4CB1">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vAlign w:val="center"/>
                </w:tcPr>
                <w:p w14:paraId="61041D1B">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溶解性</w:t>
                  </w:r>
                </w:p>
              </w:tc>
              <w:tc>
                <w:tcPr>
                  <w:tcW w:w="5980" w:type="dxa"/>
                  <w:gridSpan w:val="3"/>
                  <w:tcBorders>
                    <w:top w:val="single" w:color="auto" w:sz="4" w:space="0"/>
                    <w:left w:val="single" w:color="auto" w:sz="4" w:space="0"/>
                    <w:bottom w:val="single" w:color="auto" w:sz="4" w:space="0"/>
                    <w:right w:val="single" w:color="auto" w:sz="4" w:space="0"/>
                  </w:tcBorders>
                  <w:vAlign w:val="center"/>
                </w:tcPr>
                <w:p w14:paraId="75DD89EB">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溶于苯、乙醇、乙醚、氯仿、丙酮等多数有机溶剂</w:t>
                  </w:r>
                </w:p>
              </w:tc>
            </w:tr>
            <w:tr w14:paraId="14F4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Borders>
                    <w:top w:val="single" w:color="auto" w:sz="4" w:space="0"/>
                    <w:left w:val="single" w:color="auto" w:sz="4" w:space="0"/>
                    <w:bottom w:val="single" w:color="auto" w:sz="4" w:space="0"/>
                    <w:right w:val="single" w:color="auto" w:sz="4" w:space="0"/>
                  </w:tcBorders>
                  <w:vAlign w:val="center"/>
                </w:tcPr>
                <w:p w14:paraId="73598B8F">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燃烧爆炸危险性</w:t>
                  </w:r>
                </w:p>
              </w:tc>
              <w:tc>
                <w:tcPr>
                  <w:tcW w:w="1345" w:type="dxa"/>
                  <w:tcBorders>
                    <w:top w:val="single" w:color="auto" w:sz="4" w:space="0"/>
                    <w:left w:val="single" w:color="auto" w:sz="4" w:space="0"/>
                    <w:bottom w:val="single" w:color="auto" w:sz="4" w:space="0"/>
                    <w:right w:val="single" w:color="auto" w:sz="4" w:space="0"/>
                  </w:tcBorders>
                  <w:vAlign w:val="center"/>
                </w:tcPr>
                <w:p w14:paraId="4D4BDE64">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闪点</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tc>
              <w:tc>
                <w:tcPr>
                  <w:tcW w:w="2167" w:type="dxa"/>
                  <w:tcBorders>
                    <w:top w:val="single" w:color="auto" w:sz="4" w:space="0"/>
                    <w:left w:val="single" w:color="auto" w:sz="4" w:space="0"/>
                    <w:bottom w:val="single" w:color="auto" w:sz="4" w:space="0"/>
                    <w:right w:val="single" w:color="auto" w:sz="4" w:space="0"/>
                  </w:tcBorders>
                  <w:vAlign w:val="center"/>
                </w:tcPr>
                <w:p w14:paraId="729F7C77">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120~340</w:t>
                  </w:r>
                </w:p>
              </w:tc>
              <w:tc>
                <w:tcPr>
                  <w:tcW w:w="2122" w:type="dxa"/>
                  <w:tcBorders>
                    <w:top w:val="single" w:color="auto" w:sz="4" w:space="0"/>
                    <w:left w:val="single" w:color="auto" w:sz="4" w:space="0"/>
                    <w:bottom w:val="single" w:color="auto" w:sz="4" w:space="0"/>
                    <w:right w:val="single" w:color="auto" w:sz="4" w:space="0"/>
                  </w:tcBorders>
                  <w:vAlign w:val="center"/>
                </w:tcPr>
                <w:p w14:paraId="6B76CEC6">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饱和蒸汽</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压</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KPa</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1688" w:type="dxa"/>
                  <w:tcBorders>
                    <w:top w:val="single" w:color="auto" w:sz="4" w:space="0"/>
                    <w:left w:val="single" w:color="auto" w:sz="4" w:space="0"/>
                    <w:bottom w:val="single" w:color="auto" w:sz="4" w:space="0"/>
                    <w:right w:val="single" w:color="auto" w:sz="4" w:space="0"/>
                  </w:tcBorders>
                  <w:vAlign w:val="center"/>
                </w:tcPr>
                <w:p w14:paraId="47E77159">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0.13/145.8℃</w:t>
                  </w:r>
                </w:p>
              </w:tc>
            </w:tr>
            <w:tr w14:paraId="3485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cBorders>
                  <w:vAlign w:val="center"/>
                </w:tcPr>
                <w:p w14:paraId="79710BEE">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vAlign w:val="center"/>
                </w:tcPr>
                <w:p w14:paraId="00E392BD">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危险特性</w:t>
                  </w:r>
                </w:p>
              </w:tc>
              <w:tc>
                <w:tcPr>
                  <w:tcW w:w="5980" w:type="dxa"/>
                  <w:gridSpan w:val="3"/>
                  <w:tcBorders>
                    <w:top w:val="single" w:color="auto" w:sz="4" w:space="0"/>
                    <w:left w:val="single" w:color="auto" w:sz="4" w:space="0"/>
                    <w:bottom w:val="single" w:color="auto" w:sz="4" w:space="0"/>
                    <w:right w:val="single" w:color="auto" w:sz="4" w:space="0"/>
                  </w:tcBorders>
                  <w:vAlign w:val="center"/>
                </w:tcPr>
                <w:p w14:paraId="35811814">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是一种可燃液体，火灾危险性为丙B类，遇明火、高热可燃</w:t>
                  </w:r>
                </w:p>
              </w:tc>
            </w:tr>
            <w:tr w14:paraId="7B6F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cBorders>
                  <w:vAlign w:val="center"/>
                </w:tcPr>
                <w:p w14:paraId="0358F33C">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vAlign w:val="center"/>
                </w:tcPr>
                <w:p w14:paraId="0677E5FE">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燃烧</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分解</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产物</w:t>
                  </w:r>
                </w:p>
              </w:tc>
              <w:tc>
                <w:tcPr>
                  <w:tcW w:w="5980" w:type="dxa"/>
                  <w:gridSpan w:val="3"/>
                  <w:tcBorders>
                    <w:top w:val="single" w:color="auto" w:sz="4" w:space="0"/>
                    <w:left w:val="single" w:color="auto" w:sz="4" w:space="0"/>
                    <w:bottom w:val="single" w:color="auto" w:sz="4" w:space="0"/>
                    <w:right w:val="single" w:color="auto" w:sz="4" w:space="0"/>
                  </w:tcBorders>
                  <w:vAlign w:val="center"/>
                </w:tcPr>
                <w:p w14:paraId="40BF06A8">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CO、CO</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等有毒有害气体</w:t>
                  </w:r>
                </w:p>
              </w:tc>
            </w:tr>
            <w:tr w14:paraId="4E16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cBorders>
                  <w:vAlign w:val="center"/>
                </w:tcPr>
                <w:p w14:paraId="7571537D">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vAlign w:val="center"/>
                </w:tcPr>
                <w:p w14:paraId="179CE3D0">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稳定性</w:t>
                  </w:r>
                </w:p>
              </w:tc>
              <w:tc>
                <w:tcPr>
                  <w:tcW w:w="2167" w:type="dxa"/>
                  <w:tcBorders>
                    <w:top w:val="single" w:color="auto" w:sz="4" w:space="0"/>
                    <w:left w:val="single" w:color="auto" w:sz="4" w:space="0"/>
                    <w:bottom w:val="single" w:color="auto" w:sz="4" w:space="0"/>
                    <w:right w:val="single" w:color="auto" w:sz="4" w:space="0"/>
                  </w:tcBorders>
                  <w:vAlign w:val="center"/>
                </w:tcPr>
                <w:p w14:paraId="78DC70B6">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稳定</w:t>
                  </w:r>
                </w:p>
              </w:tc>
              <w:tc>
                <w:tcPr>
                  <w:tcW w:w="2122" w:type="dxa"/>
                  <w:tcBorders>
                    <w:top w:val="single" w:color="auto" w:sz="4" w:space="0"/>
                    <w:left w:val="single" w:color="auto" w:sz="4" w:space="0"/>
                    <w:bottom w:val="single" w:color="auto" w:sz="4" w:space="0"/>
                    <w:right w:val="single" w:color="auto" w:sz="4" w:space="0"/>
                  </w:tcBorders>
                  <w:vAlign w:val="center"/>
                </w:tcPr>
                <w:p w14:paraId="3BDCE144">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禁忌物</w:t>
                  </w:r>
                </w:p>
              </w:tc>
              <w:tc>
                <w:tcPr>
                  <w:tcW w:w="1688" w:type="dxa"/>
                  <w:tcBorders>
                    <w:top w:val="single" w:color="auto" w:sz="4" w:space="0"/>
                    <w:left w:val="single" w:color="auto" w:sz="4" w:space="0"/>
                    <w:bottom w:val="single" w:color="auto" w:sz="4" w:space="0"/>
                    <w:right w:val="single" w:color="auto" w:sz="4" w:space="0"/>
                  </w:tcBorders>
                  <w:vAlign w:val="center"/>
                </w:tcPr>
                <w:p w14:paraId="23BABDF4">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硝酸等强氧化剂</w:t>
                  </w:r>
                </w:p>
              </w:tc>
            </w:tr>
            <w:tr w14:paraId="5429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cBorders>
                  <w:vAlign w:val="center"/>
                </w:tcPr>
                <w:p w14:paraId="3D4CE602">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vAlign w:val="center"/>
                </w:tcPr>
                <w:p w14:paraId="4A209F5C">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灭火方法</w:t>
                  </w:r>
                </w:p>
              </w:tc>
              <w:tc>
                <w:tcPr>
                  <w:tcW w:w="5980" w:type="dxa"/>
                  <w:gridSpan w:val="3"/>
                  <w:tcBorders>
                    <w:top w:val="single" w:color="auto" w:sz="4" w:space="0"/>
                    <w:left w:val="single" w:color="auto" w:sz="4" w:space="0"/>
                    <w:bottom w:val="single" w:color="auto" w:sz="4" w:space="0"/>
                    <w:right w:val="single" w:color="auto" w:sz="4" w:space="0"/>
                  </w:tcBorders>
                  <w:vAlign w:val="center"/>
                </w:tcPr>
                <w:p w14:paraId="608E74F2">
                  <w:pPr>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消防人员需佩戴防毒面具、穿全身消防服，在上风向灭火。尽可能将容器从火场移至空旷处。喷水保持火场容器冷却，直至灭火结束。处在火场中的容器若已变色或从安全泄压装置中产生声音，必须立即撤离。灭火剂：雾状水、泡沫、干粉、二氧化碳、砂土。</w:t>
                  </w:r>
                </w:p>
              </w:tc>
            </w:tr>
            <w:tr w14:paraId="471F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tcBorders>
                    <w:top w:val="single" w:color="auto" w:sz="4" w:space="0"/>
                    <w:left w:val="single" w:color="auto" w:sz="4" w:space="0"/>
                    <w:bottom w:val="single" w:color="auto" w:sz="4" w:space="0"/>
                    <w:right w:val="single" w:color="auto" w:sz="4" w:space="0"/>
                  </w:tcBorders>
                  <w:vAlign w:val="center"/>
                </w:tcPr>
                <w:p w14:paraId="5008610C">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毒性危害</w:t>
                  </w:r>
                </w:p>
              </w:tc>
              <w:tc>
                <w:tcPr>
                  <w:tcW w:w="1345" w:type="dxa"/>
                  <w:tcBorders>
                    <w:top w:val="single" w:color="auto" w:sz="4" w:space="0"/>
                    <w:left w:val="single" w:color="auto" w:sz="4" w:space="0"/>
                    <w:bottom w:val="single" w:color="auto" w:sz="4" w:space="0"/>
                    <w:right w:val="single" w:color="auto" w:sz="4" w:space="0"/>
                  </w:tcBorders>
                  <w:vAlign w:val="center"/>
                </w:tcPr>
                <w:p w14:paraId="6C7FFAA6">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侵入途径</w:t>
                  </w:r>
                </w:p>
              </w:tc>
              <w:tc>
                <w:tcPr>
                  <w:tcW w:w="5980" w:type="dxa"/>
                  <w:gridSpan w:val="3"/>
                  <w:tcBorders>
                    <w:top w:val="single" w:color="auto" w:sz="4" w:space="0"/>
                    <w:left w:val="single" w:color="auto" w:sz="4" w:space="0"/>
                    <w:bottom w:val="single" w:color="auto" w:sz="4" w:space="0"/>
                    <w:right w:val="single" w:color="auto" w:sz="4" w:space="0"/>
                  </w:tcBorders>
                  <w:vAlign w:val="center"/>
                </w:tcPr>
                <w:p w14:paraId="04BFA4B9">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吸入</w:t>
                  </w:r>
                </w:p>
              </w:tc>
            </w:tr>
            <w:tr w14:paraId="5D68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cBorders>
                  <w:vAlign w:val="center"/>
                </w:tcPr>
                <w:p w14:paraId="0D8672F0">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345" w:type="dxa"/>
                  <w:tcBorders>
                    <w:top w:val="single" w:color="auto" w:sz="4" w:space="0"/>
                    <w:left w:val="single" w:color="auto" w:sz="4" w:space="0"/>
                    <w:bottom w:val="single" w:color="auto" w:sz="4" w:space="0"/>
                    <w:right w:val="single" w:color="auto" w:sz="4" w:space="0"/>
                  </w:tcBorders>
                  <w:vAlign w:val="center"/>
                </w:tcPr>
                <w:p w14:paraId="79F40CB8">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健康危害</w:t>
                  </w:r>
                </w:p>
              </w:tc>
              <w:tc>
                <w:tcPr>
                  <w:tcW w:w="5980" w:type="dxa"/>
                  <w:gridSpan w:val="3"/>
                  <w:tcBorders>
                    <w:top w:val="single" w:color="auto" w:sz="4" w:space="0"/>
                    <w:left w:val="single" w:color="auto" w:sz="4" w:space="0"/>
                    <w:bottom w:val="single" w:color="auto" w:sz="4" w:space="0"/>
                    <w:right w:val="single" w:color="auto" w:sz="4" w:space="0"/>
                  </w:tcBorders>
                  <w:vAlign w:val="center"/>
                </w:tcPr>
                <w:p w14:paraId="2298DD24">
                  <w:pPr>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急性吸入，可出现乏力、头晕、头痛、恶心，严重者可引起油脂肺炎。慢接触者，暴露部位可发生油性痤疮和接触性皮炎。可引发神经衰弱综合</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症</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，呼吸道和眼刺激症状及慢性油脂肺炎</w:t>
                  </w:r>
                </w:p>
              </w:tc>
            </w:tr>
          </w:tbl>
          <w:p w14:paraId="0A9B3D6E">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②</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环境风险设施</w:t>
            </w:r>
          </w:p>
          <w:p w14:paraId="00906661">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b/>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根据本项目工艺特点和主要存在的环境风险物质，识别出本项目主要环境风险设施主要为</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危废贮存库</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3EB43A4E">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bCs/>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4"/>
                <w:szCs w:val="20"/>
                <w:highlight w:val="none"/>
                <w:lang w:eastAsia="zh-CN"/>
                <w14:textFill>
                  <w14:solidFill>
                    <w14:schemeClr w14:val="tx1"/>
                  </w14:solidFill>
                </w14:textFill>
              </w:rPr>
              <w:t>（2）环境风险潜势初判及评价等级</w:t>
            </w:r>
          </w:p>
          <w:p w14:paraId="232D9C7A">
            <w:pPr>
              <w:pStyle w:val="42"/>
              <w:keepNext w:val="0"/>
              <w:keepLines w:val="0"/>
              <w:widowControl/>
              <w:suppressLineNumbers w:val="0"/>
              <w:kinsoku/>
              <w:overflowPunct w:val="0"/>
              <w:autoSpaceDE/>
              <w:autoSpaceDN/>
              <w:adjustRightInd/>
              <w:snapToGrid/>
              <w:spacing w:beforeAutospacing="0" w:afterAutospacing="0" w:line="360" w:lineRule="auto"/>
              <w:ind w:left="0" w:firstLine="388" w:firstLineChars="185"/>
              <w:jc w:val="both"/>
              <w:rPr>
                <w:rFonts w:hint="default" w:ascii="Times New Roman" w:hAnsi="Times New Roman" w:eastAsia="宋体" w:cs="Times New Roman"/>
                <w:bCs/>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根据《建设项目环境风险评价技术导则》（HJ169-2018）</w:t>
            </w:r>
            <w:r>
              <w:rPr>
                <w:rFonts w:hint="default" w:ascii="Times New Roman" w:hAnsi="Times New Roman" w:eastAsia="宋体" w:cs="Times New Roman"/>
                <w:bCs/>
                <w:color w:val="000000" w:themeColor="text1"/>
                <w:highlight w:val="none"/>
                <w:lang w:eastAsia="zh-CN"/>
                <w14:textFill>
                  <w14:solidFill>
                    <w14:schemeClr w14:val="tx1"/>
                  </w14:solidFill>
                </w14:textFill>
              </w:rPr>
              <w:t>，环境风险评价工作等级见</w:t>
            </w:r>
            <w:r>
              <w:rPr>
                <w:rFonts w:hint="eastAsia" w:ascii="Times New Roman" w:hAnsi="Times New Roman" w:eastAsia="宋体" w:cs="Times New Roman"/>
                <w:bCs/>
                <w:color w:val="000000" w:themeColor="text1"/>
                <w:highlight w:val="none"/>
                <w:lang w:eastAsia="zh-CN"/>
                <w14:textFill>
                  <w14:solidFill>
                    <w14:schemeClr w14:val="tx1"/>
                  </w14:solidFill>
                </w14:textFill>
              </w:rPr>
              <w:t>下</w:t>
            </w:r>
            <w:r>
              <w:rPr>
                <w:rFonts w:hint="default" w:ascii="Times New Roman" w:hAnsi="Times New Roman" w:eastAsia="宋体" w:cs="Times New Roman"/>
                <w:bCs/>
                <w:color w:val="000000" w:themeColor="text1"/>
                <w:highlight w:val="none"/>
                <w:lang w:eastAsia="zh-CN"/>
                <w14:textFill>
                  <w14:solidFill>
                    <w14:schemeClr w14:val="tx1"/>
                  </w14:solidFill>
                </w14:textFill>
              </w:rPr>
              <w:t>表</w:t>
            </w:r>
            <w:r>
              <w:rPr>
                <w:rFonts w:hint="eastAsia" w:ascii="Times New Roman" w:hAnsi="Times New Roman" w:eastAsia="宋体" w:cs="Times New Roman"/>
                <w:bCs/>
                <w:color w:val="000000" w:themeColor="text1"/>
                <w:highlight w:val="none"/>
                <w:lang w:eastAsia="zh-CN"/>
                <w14:textFill>
                  <w14:solidFill>
                    <w14:schemeClr w14:val="tx1"/>
                  </w14:solidFill>
                </w14:textFill>
              </w:rPr>
              <w:t>：</w:t>
            </w:r>
          </w:p>
          <w:p w14:paraId="27D8C6F8">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表4</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 xml:space="preserve">-22 </w:t>
            </w:r>
            <w:r>
              <w:rPr>
                <w:rFonts w:hint="eastAsia"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评价工作等级划分</w:t>
            </w:r>
          </w:p>
          <w:tbl>
            <w:tblPr>
              <w:tblStyle w:val="45"/>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428"/>
              <w:gridCol w:w="1676"/>
              <w:gridCol w:w="1678"/>
              <w:gridCol w:w="1684"/>
            </w:tblGrid>
            <w:tr w14:paraId="5705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4255D8FB">
                  <w:pPr>
                    <w:pStyle w:val="278"/>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环境风险潜势</w:t>
                  </w:r>
                </w:p>
              </w:tc>
              <w:tc>
                <w:tcPr>
                  <w:tcW w:w="1368" w:type="dxa"/>
                </w:tcPr>
                <w:p w14:paraId="7271FA8F">
                  <w:pPr>
                    <w:pStyle w:val="278"/>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Ⅳ+、IV</w:t>
                  </w:r>
                </w:p>
              </w:tc>
              <w:tc>
                <w:tcPr>
                  <w:tcW w:w="1605" w:type="dxa"/>
                </w:tcPr>
                <w:p w14:paraId="19A636F0">
                  <w:pPr>
                    <w:pStyle w:val="278"/>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Ⅲ</w:t>
                  </w:r>
                </w:p>
              </w:tc>
              <w:tc>
                <w:tcPr>
                  <w:tcW w:w="1607" w:type="dxa"/>
                </w:tcPr>
                <w:p w14:paraId="189659C0">
                  <w:pPr>
                    <w:pStyle w:val="278"/>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Ⅱ</w:t>
                  </w:r>
                </w:p>
              </w:tc>
              <w:tc>
                <w:tcPr>
                  <w:tcW w:w="1612" w:type="dxa"/>
                </w:tcPr>
                <w:p w14:paraId="5AFDD5F1">
                  <w:pPr>
                    <w:pStyle w:val="278"/>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eastAsia="zh-CN"/>
                      <w14:textFill>
                        <w14:solidFill>
                          <w14:schemeClr w14:val="tx1"/>
                        </w14:solidFill>
                      </w14:textFill>
                    </w:rPr>
                    <w:t>Ⅰ</w:t>
                  </w:r>
                </w:p>
              </w:tc>
            </w:tr>
            <w:tr w14:paraId="1A41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05F6E528">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评价工作等级</w:t>
                  </w:r>
                </w:p>
              </w:tc>
              <w:tc>
                <w:tcPr>
                  <w:tcW w:w="1368" w:type="dxa"/>
                </w:tcPr>
                <w:p w14:paraId="6BC1D79E">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w:t>
                  </w:r>
                </w:p>
              </w:tc>
              <w:tc>
                <w:tcPr>
                  <w:tcW w:w="1605" w:type="dxa"/>
                </w:tcPr>
                <w:p w14:paraId="0679A90F">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二</w:t>
                  </w:r>
                </w:p>
              </w:tc>
              <w:tc>
                <w:tcPr>
                  <w:tcW w:w="1607" w:type="dxa"/>
                </w:tcPr>
                <w:p w14:paraId="04576438">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三</w:t>
                  </w:r>
                </w:p>
              </w:tc>
              <w:tc>
                <w:tcPr>
                  <w:tcW w:w="1612" w:type="dxa"/>
                </w:tcPr>
                <w:p w14:paraId="27AC5B90">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简单分析</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a</w:t>
                  </w:r>
                </w:p>
              </w:tc>
            </w:tr>
            <w:tr w14:paraId="3B2D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5" w:type="dxa"/>
                  <w:gridSpan w:val="5"/>
                </w:tcPr>
                <w:p w14:paraId="59CD7C7B">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a是相对于详细评价工作内容而言，在描述危险物质、环境风险影响途径、环境危害后果、风险防范措施等方面给出定性的说明，见附录A</w:t>
                  </w:r>
                </w:p>
              </w:tc>
            </w:tr>
          </w:tbl>
          <w:p w14:paraId="58634412">
            <w:pPr>
              <w:pStyle w:val="42"/>
              <w:keepNext w:val="0"/>
              <w:keepLines w:val="0"/>
              <w:widowControl/>
              <w:suppressLineNumbers w:val="0"/>
              <w:kinsoku/>
              <w:overflowPunct w:val="0"/>
              <w:autoSpaceDE/>
              <w:autoSpaceDN/>
              <w:adjustRightInd/>
              <w:snapToGrid/>
              <w:spacing w:beforeAutospacing="0" w:afterAutospacing="0" w:line="360" w:lineRule="auto"/>
              <w:ind w:left="0" w:firstLine="444" w:firstLineChars="185"/>
              <w:jc w:val="both"/>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根据《建设项目环境风险评价技术导则》（HJ169-2018）</w:t>
            </w:r>
            <w:r>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t>附录B</w:t>
            </w:r>
            <w:r>
              <w:rPr>
                <w:rFonts w:hint="eastAsia" w:ascii="Times New Roman" w:hAnsi="Times New Roman" w:eastAsia="宋体" w:cs="Times New Roman"/>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t>确定本次项目涉及的危险物质，并且以危险物质使用情况通过和贮存情况为基础，根据导则附录C进行危险物质存在量（如存在量呈动态变化，则按年度内最大存在量计算）与临界量比值（Q）的定量估算。</w:t>
            </w:r>
          </w:p>
          <w:p w14:paraId="733747B8">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当只涉及一种危险物质时，计算该物质的总量与其临界量比值，当存在多种危险物质时，按下列公式计算Q值：</w:t>
            </w:r>
          </w:p>
          <w:p w14:paraId="2AC74E3D">
            <w:pPr>
              <w:keepNext w:val="0"/>
              <w:keepLines w:val="0"/>
              <w:widowControl/>
              <w:suppressLineNumbers w:val="0"/>
              <w:kinsoku/>
              <w:overflowPunct w:val="0"/>
              <w:autoSpaceDE/>
              <w:autoSpaceDN/>
              <w:adjustRightInd/>
              <w:snapToGrid/>
              <w:spacing w:before="0" w:beforeAutospacing="0" w:after="0" w:afterAutospacing="0" w:line="360" w:lineRule="auto"/>
              <w:ind w:left="0" w:right="0"/>
              <w:jc w:val="center"/>
              <w:rPr>
                <w:rFonts w:hint="default" w:ascii="Times New Roman" w:hAnsi="Times New Roman" w:eastAsia="宋体" w:cs="Times New Roman"/>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position w:val="-16"/>
                <w:sz w:val="28"/>
                <w:szCs w:val="24"/>
                <w:highlight w:val="none"/>
                <w14:textFill>
                  <w14:solidFill>
                    <w14:schemeClr w14:val="tx1"/>
                  </w14:solidFill>
                </w14:textFill>
              </w:rPr>
              <w:object>
                <v:shape id="_x0000_i1029" o:spt="75" type="#_x0000_t75" style="height:35.45pt;width:106.4pt;" o:ole="t" filled="f" o:preferrelative="t" stroked="f" coordsize="21600,21600">
                  <v:path/>
                  <v:fill on="f" focussize="0,0"/>
                  <v:stroke on="f" joinstyle="miter"/>
                  <v:imagedata r:id="rId30" o:title=""/>
                  <o:lock v:ext="edit" aspectratio="t"/>
                  <w10:wrap type="none"/>
                  <w10:anchorlock/>
                </v:shape>
                <o:OLEObject Type="Embed" ProgID="Equation.KSEE3" ShapeID="_x0000_i1029" DrawAspect="Content" ObjectID="_1468075729" r:id="rId29">
                  <o:LockedField>false</o:LockedField>
                </o:OLEObject>
              </w:object>
            </w:r>
          </w:p>
          <w:p w14:paraId="3B113F52">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式中：q</w:t>
            </w:r>
            <w:r>
              <w:rPr>
                <w:rFonts w:hint="default" w:ascii="Times New Roman" w:hAnsi="Times New Roman" w:eastAsia="宋体" w:cs="Times New Roman"/>
                <w:color w:val="000000" w:themeColor="text1"/>
                <w:sz w:val="24"/>
                <w:szCs w:val="20"/>
                <w:highlight w:val="none"/>
                <w:vertAlign w:val="subscript"/>
                <w:lang w:eastAsia="zh-CN"/>
                <w14:textFill>
                  <w14:solidFill>
                    <w14:schemeClr w14:val="tx1"/>
                  </w14:solidFill>
                </w14:textFill>
              </w:rPr>
              <w:t>1</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，q</w:t>
            </w:r>
            <w:r>
              <w:rPr>
                <w:rFonts w:hint="default" w:ascii="Times New Roman" w:hAnsi="Times New Roman" w:eastAsia="宋体" w:cs="Times New Roman"/>
                <w:color w:val="000000" w:themeColor="text1"/>
                <w:sz w:val="24"/>
                <w:szCs w:val="20"/>
                <w:highlight w:val="none"/>
                <w:vertAlign w:val="subscript"/>
                <w:lang w:eastAsia="zh-CN"/>
                <w14:textFill>
                  <w14:solidFill>
                    <w14:schemeClr w14:val="tx1"/>
                  </w14:solidFill>
                </w14:textFill>
              </w:rPr>
              <w:t>2</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，…q</w:t>
            </w:r>
            <w:r>
              <w:rPr>
                <w:rFonts w:hint="default" w:ascii="Times New Roman" w:hAnsi="Times New Roman" w:eastAsia="宋体" w:cs="Times New Roman"/>
                <w:color w:val="000000" w:themeColor="text1"/>
                <w:sz w:val="24"/>
                <w:szCs w:val="20"/>
                <w:highlight w:val="none"/>
                <w:vertAlign w:val="subscript"/>
                <w:lang w:eastAsia="zh-CN"/>
                <w14:textFill>
                  <w14:solidFill>
                    <w14:schemeClr w14:val="tx1"/>
                  </w14:solidFill>
                </w14:textFill>
              </w:rPr>
              <w:t>n</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—每种危险物质的最大存在总量，t；</w:t>
            </w:r>
          </w:p>
          <w:p w14:paraId="1FB6F95E">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1200" w:firstLineChars="500"/>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Q</w:t>
            </w:r>
            <w:r>
              <w:rPr>
                <w:rFonts w:hint="default" w:ascii="Times New Roman" w:hAnsi="Times New Roman" w:eastAsia="宋体" w:cs="Times New Roman"/>
                <w:color w:val="000000" w:themeColor="text1"/>
                <w:sz w:val="24"/>
                <w:szCs w:val="20"/>
                <w:highlight w:val="none"/>
                <w:vertAlign w:val="subscript"/>
                <w:lang w:eastAsia="zh-CN"/>
                <w14:textFill>
                  <w14:solidFill>
                    <w14:schemeClr w14:val="tx1"/>
                  </w14:solidFill>
                </w14:textFill>
              </w:rPr>
              <w:t>1</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，Q</w:t>
            </w:r>
            <w:r>
              <w:rPr>
                <w:rFonts w:hint="default" w:ascii="Times New Roman" w:hAnsi="Times New Roman" w:eastAsia="宋体" w:cs="Times New Roman"/>
                <w:color w:val="000000" w:themeColor="text1"/>
                <w:sz w:val="24"/>
                <w:szCs w:val="20"/>
                <w:highlight w:val="none"/>
                <w:vertAlign w:val="subscript"/>
                <w:lang w:eastAsia="zh-CN"/>
                <w14:textFill>
                  <w14:solidFill>
                    <w14:schemeClr w14:val="tx1"/>
                  </w14:solidFill>
                </w14:textFill>
              </w:rPr>
              <w:t>2</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，…Q</w:t>
            </w:r>
            <w:r>
              <w:rPr>
                <w:rFonts w:hint="default" w:ascii="Times New Roman" w:hAnsi="Times New Roman" w:eastAsia="宋体" w:cs="Times New Roman"/>
                <w:color w:val="000000" w:themeColor="text1"/>
                <w:sz w:val="24"/>
                <w:szCs w:val="20"/>
                <w:highlight w:val="none"/>
                <w:vertAlign w:val="subscript"/>
                <w:lang w:eastAsia="zh-CN"/>
                <w14:textFill>
                  <w14:solidFill>
                    <w14:schemeClr w14:val="tx1"/>
                  </w14:solidFill>
                </w14:textFill>
              </w:rPr>
              <w:t>n</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—每种物质的临界量，t。</w:t>
            </w:r>
          </w:p>
          <w:p w14:paraId="4989570D">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当Q＜1时，该项目环境风险潜势为</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Ⅰ</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w:t>
            </w:r>
          </w:p>
          <w:p w14:paraId="34DD67A3">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当Q≥1时，将Q值划分为：（1）1≤Q＜10；（2）10≤Q＜100；（3）Q≥100</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并进一步结合项目行业及生产工艺（M）、危险物质及工艺系统危险性（P）、环境敏感程度（E）对项目环境风险潜势进行判断。</w:t>
            </w:r>
          </w:p>
          <w:p w14:paraId="2CDDB0DB">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本项目原辅材料、产品均不涉及危险物质，不存在重大危险源</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4FD696D4">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4"/>
                <w:szCs w:val="24"/>
                <w:highlight w:val="none"/>
                <w:lang w:eastAsia="zh-CN"/>
                <w14:textFill>
                  <w14:solidFill>
                    <w14:schemeClr w14:val="tx1"/>
                  </w14:solidFill>
                </w14:textFill>
              </w:rPr>
              <w:t>4-23</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 xml:space="preserve"> </w:t>
            </w:r>
            <w:r>
              <w:rPr>
                <w:rFonts w:hint="eastAsia"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项目危险物质数量与临界量比值表</w:t>
            </w:r>
          </w:p>
          <w:tbl>
            <w:tblPr>
              <w:tblStyle w:val="44"/>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230"/>
              <w:gridCol w:w="2620"/>
              <w:gridCol w:w="1574"/>
              <w:gridCol w:w="1359"/>
            </w:tblGrid>
            <w:tr w14:paraId="0617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07" w:type="dxa"/>
                  <w:vAlign w:val="center"/>
                </w:tcPr>
                <w:p w14:paraId="7665119D">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物质名称</w:t>
                  </w:r>
                </w:p>
              </w:tc>
              <w:tc>
                <w:tcPr>
                  <w:tcW w:w="1230" w:type="dxa"/>
                  <w:vAlign w:val="center"/>
                </w:tcPr>
                <w:p w14:paraId="1E61A2A2">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CAS号</w:t>
                  </w:r>
                </w:p>
              </w:tc>
              <w:tc>
                <w:tcPr>
                  <w:tcW w:w="2620" w:type="dxa"/>
                  <w:vAlign w:val="center"/>
                </w:tcPr>
                <w:p w14:paraId="22A8D83A">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项目内最大存放量（t）</w:t>
                  </w:r>
                </w:p>
              </w:tc>
              <w:tc>
                <w:tcPr>
                  <w:tcW w:w="1574" w:type="dxa"/>
                  <w:vAlign w:val="center"/>
                </w:tcPr>
                <w:p w14:paraId="427BE576">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临界量（t）</w:t>
                  </w:r>
                </w:p>
              </w:tc>
              <w:tc>
                <w:tcPr>
                  <w:tcW w:w="1359" w:type="dxa"/>
                  <w:vAlign w:val="center"/>
                </w:tcPr>
                <w:p w14:paraId="261EC925">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Q</w:t>
                  </w:r>
                </w:p>
              </w:tc>
            </w:tr>
            <w:tr w14:paraId="33E1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07" w:type="dxa"/>
                  <w:vAlign w:val="center"/>
                </w:tcPr>
                <w:p w14:paraId="46C33277">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废机油</w:t>
                  </w:r>
                </w:p>
              </w:tc>
              <w:tc>
                <w:tcPr>
                  <w:tcW w:w="1230" w:type="dxa"/>
                  <w:vAlign w:val="center"/>
                </w:tcPr>
                <w:p w14:paraId="4973CDE8">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2620" w:type="dxa"/>
                  <w:vAlign w:val="center"/>
                </w:tcPr>
                <w:p w14:paraId="7AAF0C7A">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0.02</w:t>
                  </w:r>
                </w:p>
              </w:tc>
              <w:tc>
                <w:tcPr>
                  <w:tcW w:w="1574" w:type="dxa"/>
                  <w:vAlign w:val="center"/>
                </w:tcPr>
                <w:p w14:paraId="287EA44D">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2500</w:t>
                  </w:r>
                </w:p>
              </w:tc>
              <w:tc>
                <w:tcPr>
                  <w:tcW w:w="1359" w:type="dxa"/>
                  <w:vAlign w:val="center"/>
                </w:tcPr>
                <w:p w14:paraId="1D71DABE">
                  <w:pPr>
                    <w:keepNext w:val="0"/>
                    <w:keepLines w:val="0"/>
                    <w:suppressLineNumbers w:val="0"/>
                    <w:kinsoku/>
                    <w:overflowPunct w:val="0"/>
                    <w:autoSpaceDE/>
                    <w:autoSpaceDN/>
                    <w:adjustRightInd/>
                    <w:snapToGrid/>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0.0000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w:t>
                  </w:r>
                </w:p>
              </w:tc>
            </w:tr>
            <w:tr w14:paraId="5247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607" w:type="dxa"/>
                  <w:vAlign w:val="center"/>
                </w:tcPr>
                <w:p w14:paraId="69BC319B">
                  <w:pPr>
                    <w:pStyle w:val="22"/>
                    <w:keepNext w:val="0"/>
                    <w:keepLines w:val="0"/>
                    <w:widowControl/>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合计</w:t>
                  </w:r>
                </w:p>
              </w:tc>
              <w:tc>
                <w:tcPr>
                  <w:tcW w:w="1230" w:type="dxa"/>
                  <w:vAlign w:val="center"/>
                </w:tcPr>
                <w:p w14:paraId="73C803FD">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2620" w:type="dxa"/>
                  <w:vAlign w:val="center"/>
                </w:tcPr>
                <w:p w14:paraId="5B4DE457">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574" w:type="dxa"/>
                  <w:vAlign w:val="center"/>
                </w:tcPr>
                <w:p w14:paraId="563DB8F1">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359" w:type="dxa"/>
                  <w:vAlign w:val="center"/>
                </w:tcPr>
                <w:p w14:paraId="18ECDF81">
                  <w:pPr>
                    <w:keepNext w:val="0"/>
                    <w:keepLines w:val="0"/>
                    <w:suppressLineNumbers w:val="0"/>
                    <w:kinsoku/>
                    <w:overflowPunct w:val="0"/>
                    <w:autoSpaceDE/>
                    <w:autoSpaceDN/>
                    <w:adjustRightInd/>
                    <w:snapToGrid/>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0.0000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w:t>
                  </w:r>
                </w:p>
              </w:tc>
            </w:tr>
            <w:tr w14:paraId="3956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390" w:type="dxa"/>
                  <w:gridSpan w:val="5"/>
                  <w:vAlign w:val="center"/>
                </w:tcPr>
                <w:p w14:paraId="099F24E3">
                  <w:pPr>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CN" w:eastAsia="zh-CN"/>
                      <w14:textFill>
                        <w14:solidFill>
                          <w14:schemeClr w14:val="tx1"/>
                        </w14:solidFill>
                      </w14:textFill>
                    </w:rPr>
                    <w:t>注：风险物质临界量（W）数据引用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《企业突发环境事件风险分级方法》（HJ941-2018）</w:t>
                  </w:r>
                  <w:r>
                    <w:rPr>
                      <w:rFonts w:hint="default" w:ascii="Times New Roman" w:hAnsi="Times New Roman" w:eastAsia="宋体" w:cs="Times New Roman"/>
                      <w:color w:val="000000" w:themeColor="text1"/>
                      <w:sz w:val="21"/>
                      <w:szCs w:val="21"/>
                      <w:highlight w:val="none"/>
                      <w:lang w:val="zh-CN" w:eastAsia="zh-CN"/>
                      <w14:textFill>
                        <w14:solidFill>
                          <w14:schemeClr w14:val="tx1"/>
                        </w14:solidFill>
                      </w14:textFill>
                    </w:rPr>
                    <w:t>附录A中“突发环境事件风险物质及临界量清单”。</w:t>
                  </w:r>
                </w:p>
              </w:tc>
            </w:tr>
          </w:tbl>
          <w:p w14:paraId="50AFBBAC">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根据上表可知，项目危险物质数量与临界量比值Q为0.</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00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0</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08</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，即Q＜1，则本项目环境风险潜势为I，按照评价等级分类要求，本项目评价等级属于</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简单分析</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，不再对行业及生产工艺（M）及环境敏感程度（E）进行判定。</w:t>
            </w:r>
          </w:p>
          <w:p w14:paraId="00BF9579">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（3）风险事故类型及危害后果</w:t>
            </w:r>
          </w:p>
          <w:p w14:paraId="50D5EA38">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项目特点、结合技术导则要求，并调研同类型项目的事故类型，确定本项目环境风险事故主要为：火灾、爆炸引发的伴生/次生环境污染事故。废机油储罐密封不严或破损遇火后造成火灾甚至爆炸会对周围人群、建筑物及财产造成一定影响。</w:t>
            </w:r>
          </w:p>
          <w:p w14:paraId="39874714">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4</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）风险防范措施</w:t>
            </w:r>
          </w:p>
          <w:p w14:paraId="15BE9C51">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①</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定期检查废机油储存罐体是否完好，如出现损坏需及时更换和维修；</w:t>
            </w:r>
            <w:r>
              <w:rPr>
                <w:rFonts w:hint="eastAsia" w:ascii="Times New Roman" w:hAnsi="Times New Roman" w:eastAsia="宋体" w:cs="Times New Roman"/>
                <w:color w:val="000000" w:themeColor="text1"/>
                <w:sz w:val="24"/>
                <w:szCs w:val="20"/>
                <w:highlight w:val="none"/>
                <w:lang w:val="en-US" w:eastAsia="zh-CN"/>
                <w14:textFill>
                  <w14:solidFill>
                    <w14:schemeClr w14:val="tx1"/>
                  </w14:solidFill>
                </w14:textFill>
              </w:rPr>
              <w:t>及时收集废含油手套及抹布</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w:t>
            </w:r>
          </w:p>
          <w:p w14:paraId="4C7F7EEE">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②</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定期检查危废贮存库地面及围堰是否完好，如出现破损需及时修补，以保证达到重点防渗要求。</w:t>
            </w:r>
          </w:p>
          <w:p w14:paraId="52355071">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③加强火源管理，杜绝火种，严禁闲杂人员入内；设置醒目的防火、禁止吸烟及明火标志，</w:t>
            </w: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危废贮存库</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禁止一切火源（包括高热源）。</w:t>
            </w:r>
          </w:p>
          <w:p w14:paraId="625BF30A">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④在场内区内配备相应的灭火器材，且确保数量和质量上过关。</w:t>
            </w:r>
          </w:p>
          <w:p w14:paraId="7C87A75D">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⑤工作人员要熟练掌握操作技术和防火安全管理规定。</w:t>
            </w:r>
          </w:p>
          <w:p w14:paraId="7B2C87BA">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⑥制定灭火和应急疏散预案，同时设置安全疏散通道。灭火器应布置在明显便于取用的地方，并定期维护检查，确保能正常使用。</w:t>
            </w:r>
          </w:p>
          <w:p w14:paraId="765FEEF7">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⑦制定和落实防火安全责任制及消防安全规章制度，除加强对员工的消防知识培训，对消防安全责任人及员工也定期进行消防知识培训，消防安全管理人员持证上岗。</w:t>
            </w:r>
          </w:p>
          <w:p w14:paraId="595F786F">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⑧如果发生火灾，应迅速撤离人员至上风处，禁止无关人员进入污染区。</w:t>
            </w:r>
          </w:p>
          <w:p w14:paraId="3E9C1A28">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（5）突发环境事件应急预案</w:t>
            </w:r>
          </w:p>
          <w:p w14:paraId="05A45696">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为了在发生突发环境事件时，能够及时、有序、高效地实施抢险救援工作，最大限度地减少人员伤亡和财产损失，尽快恢复正常生产、工作秩序，建设单位企业应按照《建设项目环境风险评价技术导则》的要求及时修订突发环境事件应急预案，并按《企业事</w:t>
            </w: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业单位突发环境事件应急预案备案管理办法（试行）》（环发〔2015〕4号）的规定向生态环境局备案。企业突发环境事件应急预案应体现分级响应、区域联动的原则，与地方政府突发环境事件应急预案相衔接，明确分级响应程序。</w:t>
            </w:r>
          </w:p>
          <w:p w14:paraId="7788E6EC">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0"/>
                <w:highlight w:val="none"/>
                <w:lang w:eastAsia="zh-CN"/>
                <w14:textFill>
                  <w14:solidFill>
                    <w14:schemeClr w14:val="tx1"/>
                  </w14:solidFill>
                </w14:textFill>
              </w:rPr>
              <w:t>（6）环境风险分析结论</w:t>
            </w:r>
          </w:p>
          <w:p w14:paraId="5A0FE27F">
            <w:pPr>
              <w:keepNext w:val="0"/>
              <w:keepLines w:val="0"/>
              <w:widowControl/>
              <w:suppressLineNumbers w:val="0"/>
              <w:kinsoku/>
              <w:overflowPunct w:val="0"/>
              <w:autoSpaceDE/>
              <w:autoSpaceDN/>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0"/>
                <w:highlight w:val="none"/>
                <w:lang w:eastAsia="zh-CN"/>
                <w14:textFill>
                  <w14:solidFill>
                    <w14:schemeClr w14:val="tx1"/>
                  </w14:solidFill>
                </w14:textFill>
              </w:rPr>
              <w:t>本项目环境风险潜势为I级，根据《建设项目环境风险评价技术导则》（HJ/T169-2018）环境风险评价工作级别划分的判据，确定本工程环境风险评价工作级别为简单分析。具体见下表：</w:t>
            </w:r>
          </w:p>
          <w:p w14:paraId="2E70F83B">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bCs/>
                <w:color w:val="000000" w:themeColor="text1"/>
                <w:sz w:val="24"/>
                <w:szCs w:val="32"/>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32"/>
                <w:highlight w:val="none"/>
                <w:lang w:eastAsia="zh-CN"/>
                <w14:textFill>
                  <w14:solidFill>
                    <w14:schemeClr w14:val="tx1"/>
                  </w14:solidFill>
                </w14:textFill>
              </w:rPr>
              <w:t>表4-</w:t>
            </w:r>
            <w:r>
              <w:rPr>
                <w:rFonts w:hint="eastAsia" w:ascii="Times New Roman" w:hAnsi="Times New Roman" w:eastAsia="宋体" w:cs="Times New Roman"/>
                <w:b/>
                <w:bCs/>
                <w:color w:val="000000" w:themeColor="text1"/>
                <w:sz w:val="24"/>
                <w:szCs w:val="32"/>
                <w:highlight w:val="none"/>
                <w:lang w:eastAsia="zh-CN"/>
                <w14:textFill>
                  <w14:solidFill>
                    <w14:schemeClr w14:val="tx1"/>
                  </w14:solidFill>
                </w14:textFill>
              </w:rPr>
              <w:t xml:space="preserve">24 </w:t>
            </w:r>
            <w:r>
              <w:rPr>
                <w:rFonts w:hint="eastAsia" w:cs="Times New Roman"/>
                <w:b/>
                <w:bCs/>
                <w:color w:val="000000" w:themeColor="text1"/>
                <w:sz w:val="24"/>
                <w:szCs w:val="32"/>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32"/>
                <w:highlight w:val="none"/>
                <w:lang w:eastAsia="zh-CN"/>
                <w14:textFill>
                  <w14:solidFill>
                    <w14:schemeClr w14:val="tx1"/>
                  </w14:solidFill>
                </w14:textFill>
              </w:rPr>
              <w:t>建设项目环境风险简单分析内容表</w:t>
            </w:r>
          </w:p>
          <w:tbl>
            <w:tblPr>
              <w:tblStyle w:val="45"/>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6766"/>
            </w:tblGrid>
            <w:tr w14:paraId="4563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68" w:type="pct"/>
                  <w:vAlign w:val="center"/>
                </w:tcPr>
                <w:p w14:paraId="3EEFBDF5">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建设项目名称</w:t>
                  </w:r>
                </w:p>
              </w:tc>
              <w:tc>
                <w:tcPr>
                  <w:tcW w:w="4031" w:type="pct"/>
                  <w:vAlign w:val="center"/>
                </w:tcPr>
                <w:p w14:paraId="0E5747A2">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寻甸县常青树磷石膏库综合治理项目</w:t>
                  </w:r>
                </w:p>
              </w:tc>
            </w:tr>
            <w:tr w14:paraId="186B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8" w:type="pct"/>
                  <w:vAlign w:val="center"/>
                </w:tcPr>
                <w:p w14:paraId="20C98B5A">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地理坐标</w:t>
                  </w:r>
                </w:p>
              </w:tc>
              <w:tc>
                <w:tcPr>
                  <w:tcW w:w="4031" w:type="pct"/>
                  <w:vAlign w:val="center"/>
                </w:tcPr>
                <w:p w14:paraId="6EF3C220">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东经103°15' 41.072"，北纬25°25' 25.851"</w:t>
                  </w:r>
                </w:p>
              </w:tc>
            </w:tr>
            <w:tr w14:paraId="577C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68" w:type="pct"/>
                  <w:vAlign w:val="center"/>
                </w:tcPr>
                <w:p w14:paraId="64E738D5">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主要危险物质分布</w:t>
                  </w:r>
                </w:p>
              </w:tc>
              <w:tc>
                <w:tcPr>
                  <w:tcW w:w="4031" w:type="pct"/>
                  <w:vAlign w:val="center"/>
                </w:tcPr>
                <w:p w14:paraId="157C2AA2">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危废贮存库：废机油</w:t>
                  </w:r>
                </w:p>
              </w:tc>
            </w:tr>
            <w:tr w14:paraId="3FE0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68" w:type="pct"/>
                  <w:vAlign w:val="center"/>
                </w:tcPr>
                <w:p w14:paraId="55DDE045">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环境影响途径及危害后果</w:t>
                  </w:r>
                </w:p>
              </w:tc>
              <w:tc>
                <w:tcPr>
                  <w:tcW w:w="4031" w:type="pct"/>
                  <w:vAlign w:val="center"/>
                </w:tcPr>
                <w:p w14:paraId="3BF1A1FD">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firstLine="420" w:firstLineChars="20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废机油储罐密封不严或破损遇火后造成火灾甚至爆炸、会对周围人群、建筑物及财产造成一定影响。</w:t>
                  </w:r>
                </w:p>
              </w:tc>
            </w:tr>
            <w:tr w14:paraId="2837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8" w:type="pct"/>
                  <w:vAlign w:val="center"/>
                </w:tcPr>
                <w:p w14:paraId="1A48EA1B">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风险防范措施要求</w:t>
                  </w:r>
                </w:p>
              </w:tc>
              <w:tc>
                <w:tcPr>
                  <w:tcW w:w="4031" w:type="pct"/>
                  <w:vAlign w:val="center"/>
                </w:tcPr>
                <w:p w14:paraId="7A49BE5C">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①定期检查废机油储存罐体是否完好，如出现损坏需及时更换和维修；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及时收集废含油手套及抹布</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7A18C43B">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②定期检查危废贮存库地面及围堰是否完好，如出现破损需及时修补，以保证达到重点防渗要求。</w:t>
                  </w:r>
                </w:p>
                <w:p w14:paraId="232D1288">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③加强火源管理，杜绝火种，严禁闲杂人员入内；设置醒目的防火、禁止吸烟及明火标志，危废贮存库禁止一切火源（包括高热源）。</w:t>
                  </w:r>
                </w:p>
                <w:p w14:paraId="132CB211">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④在场内区内配备相应的灭火器材，且确保数量和质量上过关。</w:t>
                  </w:r>
                </w:p>
                <w:p w14:paraId="34B7F4AB">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⑤工作人员要熟练掌握操作技术和防火安全管理规定。</w:t>
                  </w:r>
                </w:p>
                <w:p w14:paraId="10320A55">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⑥制定灭火和应急疏散预案，同时设置安全疏散通道。灭火器应布置在明显便于取用的地方，并定期维护检查，确保能正常使用。</w:t>
                  </w:r>
                </w:p>
                <w:p w14:paraId="6AC319EC">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⑦制定和落实防火安全责任制及消防安全规章制度，除加强对员工的消防知识培训，对消防安全责任人及员工也定期进行消防知识培训，消防安全管理人员持证上岗。</w:t>
                  </w:r>
                </w:p>
                <w:p w14:paraId="59C651AB">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⑧如果发生火灾，应迅速撤离人员至上风处，禁止无关人员进入污染区。</w:t>
                  </w:r>
                </w:p>
              </w:tc>
            </w:tr>
            <w:tr w14:paraId="644D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000" w:type="pct"/>
                  <w:gridSpan w:val="2"/>
                  <w:vAlign w:val="center"/>
                </w:tcPr>
                <w:p w14:paraId="047053DC">
                  <w:pPr>
                    <w:keepNext w:val="0"/>
                    <w:keepLines w:val="0"/>
                    <w:widowControl/>
                    <w:suppressLineNumbers w:val="0"/>
                    <w:kinsoku/>
                    <w:overflowPunct w:val="0"/>
                    <w:autoSpaceDE/>
                    <w:autoSpaceDN/>
                    <w:adjustRightInd/>
                    <w:snapToGrid/>
                    <w:spacing w:before="0" w:beforeAutospacing="0" w:after="0" w:afterAutospacing="0" w:line="240" w:lineRule="auto"/>
                    <w:ind w:left="0" w:leftChars="0" w:right="0" w:right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填表说明：根据本项目污染物特性，本项目应建立环境风险应急预案，并报地方生态环境主管部门备案</w:t>
                  </w:r>
                </w:p>
              </w:tc>
            </w:tr>
          </w:tbl>
          <w:p w14:paraId="2F1989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default" w:ascii="Times New Roman" w:hAnsi="Times New Roman" w:eastAsia="宋体" w:cs="Times New Roman"/>
                <w:b/>
                <w:bCs/>
                <w:color w:val="000000" w:themeColor="text1"/>
                <w:sz w:val="28"/>
                <w:szCs w:val="21"/>
                <w:highlight w:val="none"/>
                <w14:textFill>
                  <w14:solidFill>
                    <w14:schemeClr w14:val="tx1"/>
                  </w14:solidFill>
                </w14:textFill>
              </w:rPr>
            </w:pPr>
            <w:r>
              <w:rPr>
                <w:rFonts w:hint="default" w:ascii="Times New Roman" w:hAnsi="Times New Roman" w:eastAsia="宋体" w:cs="Times New Roman"/>
                <w:b/>
                <w:bCs/>
                <w:color w:val="000000" w:themeColor="text1"/>
                <w:sz w:val="28"/>
                <w:szCs w:val="21"/>
                <w:highlight w:val="none"/>
                <w:lang w:val="en-US" w:eastAsia="zh-CN" w:bidi="ar-SA"/>
                <w14:textFill>
                  <w14:solidFill>
                    <w14:schemeClr w14:val="tx1"/>
                  </w14:solidFill>
                </w14:textFill>
              </w:rPr>
              <w:t>4.</w:t>
            </w:r>
            <w:r>
              <w:rPr>
                <w:rFonts w:hint="eastAsia" w:ascii="Times New Roman" w:hAnsi="Times New Roman" w:eastAsia="宋体" w:cs="Times New Roman"/>
                <w:b/>
                <w:bCs/>
                <w:color w:val="000000" w:themeColor="text1"/>
                <w:sz w:val="28"/>
                <w:szCs w:val="21"/>
                <w:highlight w:val="none"/>
                <w:lang w:val="en-US" w:eastAsia="zh-CN" w:bidi="ar-SA"/>
                <w14:textFill>
                  <w14:solidFill>
                    <w14:schemeClr w14:val="tx1"/>
                  </w14:solidFill>
                </w14:textFill>
              </w:rPr>
              <w:t>7</w:t>
            </w:r>
            <w:r>
              <w:rPr>
                <w:rFonts w:hint="default" w:ascii="Times New Roman" w:hAnsi="Times New Roman" w:eastAsia="宋体" w:cs="Times New Roman"/>
                <w:b/>
                <w:bCs/>
                <w:color w:val="000000" w:themeColor="text1"/>
                <w:sz w:val="28"/>
                <w:szCs w:val="21"/>
                <w:highlight w:val="none"/>
                <w14:textFill>
                  <w14:solidFill>
                    <w14:schemeClr w14:val="tx1"/>
                  </w14:solidFill>
                </w14:textFill>
              </w:rPr>
              <w:t>环保竣工验收</w:t>
            </w:r>
          </w:p>
          <w:p w14:paraId="350F8CAE">
            <w:pPr>
              <w:pStyle w:val="105"/>
              <w:keepNext w:val="0"/>
              <w:keepLines w:val="0"/>
              <w:suppressLineNumbers w:val="0"/>
              <w:autoSpaceDE/>
              <w:autoSpaceDN/>
              <w:spacing w:before="0" w:beforeAutospacing="0" w:after="0" w:afterAutospacing="0" w:line="360" w:lineRule="auto"/>
              <w:ind w:left="0" w:right="0" w:firstLine="480" w:firstLineChars="200"/>
              <w:jc w:val="left"/>
              <w:rPr>
                <w:rFonts w:hint="default" w:eastAsia="宋体"/>
                <w:color w:val="000000" w:themeColor="text1"/>
                <w:sz w:val="24"/>
                <w:szCs w:val="24"/>
                <w:highlight w:val="none"/>
                <w:lang w:eastAsia="zh-CN"/>
                <w14:textFill>
                  <w14:solidFill>
                    <w14:schemeClr w14:val="tx1"/>
                  </w14:solidFill>
                </w14:textFill>
              </w:rPr>
            </w:pPr>
            <w:r>
              <w:rPr>
                <w:rFonts w:hint="default" w:eastAsia="宋体"/>
                <w:color w:val="000000" w:themeColor="text1"/>
                <w:sz w:val="24"/>
                <w:szCs w:val="24"/>
                <w:highlight w:val="none"/>
                <w:lang w:eastAsia="zh-CN"/>
                <w14:textFill>
                  <w14:solidFill>
                    <w14:schemeClr w14:val="tx1"/>
                  </w14:solidFill>
                </w14:textFill>
              </w:rPr>
              <w:t>根据《建设项目环境保护管理条例》</w:t>
            </w:r>
            <w:r>
              <w:rPr>
                <w:rFonts w:hint="eastAsia" w:eastAsia="宋体"/>
                <w:color w:val="000000" w:themeColor="text1"/>
                <w:sz w:val="24"/>
                <w:szCs w:val="24"/>
                <w:highlight w:val="none"/>
                <w:lang w:eastAsia="zh-CN"/>
                <w14:textFill>
                  <w14:solidFill>
                    <w14:schemeClr w14:val="tx1"/>
                  </w14:solidFill>
                </w14:textFill>
              </w:rPr>
              <w:t>（</w:t>
            </w:r>
            <w:r>
              <w:rPr>
                <w:rFonts w:hint="default" w:eastAsia="宋体"/>
                <w:color w:val="000000" w:themeColor="text1"/>
                <w:sz w:val="24"/>
                <w:szCs w:val="24"/>
                <w:highlight w:val="none"/>
                <w:lang w:eastAsia="zh-CN"/>
                <w14:textFill>
                  <w14:solidFill>
                    <w14:schemeClr w14:val="tx1"/>
                  </w14:solidFill>
                </w14:textFill>
              </w:rPr>
              <w:t>2017年7月16日修订</w:t>
            </w:r>
            <w:r>
              <w:rPr>
                <w:rFonts w:hint="eastAsia" w:eastAsia="宋体"/>
                <w:color w:val="000000" w:themeColor="text1"/>
                <w:sz w:val="24"/>
                <w:szCs w:val="24"/>
                <w:highlight w:val="none"/>
                <w:lang w:eastAsia="zh-CN"/>
                <w14:textFill>
                  <w14:solidFill>
                    <w14:schemeClr w14:val="tx1"/>
                  </w14:solidFill>
                </w14:textFill>
              </w:rPr>
              <w:t>），</w:t>
            </w:r>
            <w:r>
              <w:rPr>
                <w:rFonts w:hint="default" w:eastAsia="宋体"/>
                <w:color w:val="000000" w:themeColor="text1"/>
                <w:sz w:val="24"/>
                <w:szCs w:val="24"/>
                <w:highlight w:val="none"/>
                <w:lang w:eastAsia="zh-CN"/>
                <w14:textFill>
                  <w14:solidFill>
                    <w14:schemeClr w14:val="tx1"/>
                  </w14:solidFill>
                </w14:textFill>
              </w:rPr>
              <w:t>建设项目设计和施工中应严格落实</w:t>
            </w:r>
            <w:r>
              <w:rPr>
                <w:rFonts w:hint="eastAsia" w:eastAsia="宋体"/>
                <w:color w:val="000000" w:themeColor="text1"/>
                <w:sz w:val="24"/>
                <w:szCs w:val="24"/>
                <w:highlight w:val="none"/>
                <w:lang w:eastAsia="zh-CN"/>
                <w14:textFill>
                  <w14:solidFill>
                    <w14:schemeClr w14:val="tx1"/>
                  </w14:solidFill>
                </w14:textFill>
              </w:rPr>
              <w:t>“</w:t>
            </w:r>
            <w:r>
              <w:rPr>
                <w:rFonts w:hint="default" w:eastAsia="宋体"/>
                <w:color w:val="000000" w:themeColor="text1"/>
                <w:sz w:val="24"/>
                <w:szCs w:val="24"/>
                <w:highlight w:val="none"/>
                <w:lang w:eastAsia="zh-CN"/>
                <w14:textFill>
                  <w14:solidFill>
                    <w14:schemeClr w14:val="tx1"/>
                  </w14:solidFill>
                </w14:textFill>
              </w:rPr>
              <w:t>三同时</w:t>
            </w:r>
            <w:r>
              <w:rPr>
                <w:rFonts w:hint="eastAsia" w:eastAsia="宋体"/>
                <w:color w:val="000000" w:themeColor="text1"/>
                <w:sz w:val="24"/>
                <w:szCs w:val="24"/>
                <w:highlight w:val="none"/>
                <w:lang w:eastAsia="zh-CN"/>
                <w14:textFill>
                  <w14:solidFill>
                    <w14:schemeClr w14:val="tx1"/>
                  </w14:solidFill>
                </w14:textFill>
              </w:rPr>
              <w:t>”</w:t>
            </w:r>
            <w:r>
              <w:rPr>
                <w:rFonts w:hint="default" w:eastAsia="宋体"/>
                <w:color w:val="000000" w:themeColor="text1"/>
                <w:sz w:val="24"/>
                <w:szCs w:val="24"/>
                <w:highlight w:val="none"/>
                <w:lang w:eastAsia="zh-CN"/>
                <w14:textFill>
                  <w14:solidFill>
                    <w14:schemeClr w14:val="tx1"/>
                  </w14:solidFill>
                </w14:textFill>
              </w:rPr>
              <w:t>制度，建设单位应按照国家及本市有关法律法规、建设项目竣工环境保护验收技术规范、建设项目环境影响报告书</w:t>
            </w:r>
            <w:r>
              <w:rPr>
                <w:rFonts w:hint="eastAsia"/>
                <w:color w:val="000000" w:themeColor="text1"/>
                <w:sz w:val="24"/>
                <w:szCs w:val="24"/>
                <w:highlight w:val="none"/>
                <w:lang w:eastAsia="zh-CN"/>
                <w14:textFill>
                  <w14:solidFill>
                    <w14:schemeClr w14:val="tx1"/>
                  </w14:solidFill>
                </w14:textFill>
              </w:rPr>
              <w:t>（</w:t>
            </w:r>
            <w:r>
              <w:rPr>
                <w:rFonts w:hint="default" w:eastAsia="宋体"/>
                <w:color w:val="000000" w:themeColor="text1"/>
                <w:sz w:val="24"/>
                <w:szCs w:val="24"/>
                <w:highlight w:val="none"/>
                <w:lang w:eastAsia="zh-CN"/>
                <w14:textFill>
                  <w14:solidFill>
                    <w14:schemeClr w14:val="tx1"/>
                  </w14:solidFill>
                </w14:textFill>
              </w:rPr>
              <w:t>表</w:t>
            </w:r>
            <w:r>
              <w:rPr>
                <w:rFonts w:hint="eastAsia"/>
                <w:color w:val="000000" w:themeColor="text1"/>
                <w:sz w:val="24"/>
                <w:szCs w:val="24"/>
                <w:highlight w:val="none"/>
                <w:lang w:eastAsia="zh-CN"/>
                <w14:textFill>
                  <w14:solidFill>
                    <w14:schemeClr w14:val="tx1"/>
                  </w14:solidFill>
                </w14:textFill>
              </w:rPr>
              <w:t>）</w:t>
            </w:r>
            <w:r>
              <w:rPr>
                <w:rFonts w:hint="default" w:eastAsia="宋体"/>
                <w:color w:val="000000" w:themeColor="text1"/>
                <w:sz w:val="24"/>
                <w:szCs w:val="24"/>
                <w:highlight w:val="none"/>
                <w:lang w:eastAsia="zh-CN"/>
                <w14:textFill>
                  <w14:solidFill>
                    <w14:schemeClr w14:val="tx1"/>
                  </w14:solidFill>
                </w14:textFill>
              </w:rPr>
              <w:t>和审批决定等要求，自主开展相关验收工作。建设项目配套建设的环境保护设施经验收合格，方可投入生产或者使用；未经验收或者验收不合格的，不得投入生产或者使用。</w:t>
            </w:r>
          </w:p>
          <w:p w14:paraId="5529FDEC">
            <w:pPr>
              <w:pStyle w:val="105"/>
              <w:keepNext w:val="0"/>
              <w:keepLines w:val="0"/>
              <w:suppressLineNumbers w:val="0"/>
              <w:autoSpaceDE/>
              <w:autoSpaceDN/>
              <w:spacing w:before="0" w:beforeAutospacing="0" w:after="0" w:afterAutospacing="0" w:line="360" w:lineRule="auto"/>
              <w:ind w:left="0" w:right="0" w:firstLine="480" w:firstLineChars="200"/>
              <w:jc w:val="left"/>
              <w:rPr>
                <w:rFonts w:hint="eastAsia" w:eastAsia="宋体"/>
                <w:color w:val="000000" w:themeColor="text1"/>
                <w:sz w:val="24"/>
                <w:szCs w:val="24"/>
                <w:highlight w:val="none"/>
                <w:lang w:eastAsia="zh-CN"/>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项目竣工环保验收工作参照下表。</w:t>
            </w:r>
          </w:p>
          <w:p w14:paraId="5DA4601A">
            <w:pPr>
              <w:keepNext w:val="0"/>
              <w:keepLines w:val="0"/>
              <w:suppressLineNumbers w:val="0"/>
              <w:spacing w:before="0" w:beforeAutospacing="0" w:after="0" w:afterAutospacing="0"/>
              <w:ind w:left="0" w:right="0"/>
              <w:jc w:val="center"/>
              <w:rPr>
                <w:rFonts w:hint="default"/>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表4-</w:t>
            </w:r>
            <w:r>
              <w:rPr>
                <w:rFonts w:hint="eastAsia"/>
                <w:b/>
                <w:color w:val="000000" w:themeColor="text1"/>
                <w:sz w:val="24"/>
                <w:szCs w:val="24"/>
                <w:highlight w:val="none"/>
                <w:lang w:val="en-US" w:eastAsia="zh-CN"/>
                <w14:textFill>
                  <w14:solidFill>
                    <w14:schemeClr w14:val="tx1"/>
                  </w14:solidFill>
                </w14:textFill>
              </w:rPr>
              <w:t>25</w:t>
            </w:r>
            <w:r>
              <w:rPr>
                <w:rFonts w:hint="default"/>
                <w:b/>
                <w:color w:val="000000" w:themeColor="text1"/>
                <w:sz w:val="24"/>
                <w:szCs w:val="24"/>
                <w:highlight w:val="none"/>
                <w14:textFill>
                  <w14:solidFill>
                    <w14:schemeClr w14:val="tx1"/>
                  </w14:solidFill>
                </w14:textFill>
              </w:rPr>
              <w:t xml:space="preserve">  </w:t>
            </w:r>
            <w:r>
              <w:rPr>
                <w:rFonts w:hint="eastAsia"/>
                <w:b/>
                <w:color w:val="000000" w:themeColor="text1"/>
                <w:sz w:val="24"/>
                <w:szCs w:val="24"/>
                <w:highlight w:val="none"/>
                <w14:textFill>
                  <w14:solidFill>
                    <w14:schemeClr w14:val="tx1"/>
                  </w14:solidFill>
                </w14:textFill>
              </w:rPr>
              <w:t>竣工环保验收一览表</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358"/>
              <w:gridCol w:w="4332"/>
              <w:gridCol w:w="2011"/>
            </w:tblGrid>
            <w:tr w14:paraId="6B19E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3" w:type="pct"/>
                  <w:noWrap w:val="0"/>
                  <w:tcMar>
                    <w:top w:w="10" w:type="dxa"/>
                    <w:left w:w="10" w:type="dxa"/>
                    <w:bottom w:w="0" w:type="dxa"/>
                    <w:right w:w="10" w:type="dxa"/>
                  </w:tcMar>
                  <w:vAlign w:val="center"/>
                </w:tcPr>
                <w:p w14:paraId="408405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项目</w:t>
                  </w:r>
                </w:p>
              </w:tc>
              <w:tc>
                <w:tcPr>
                  <w:tcW w:w="814" w:type="pct"/>
                  <w:noWrap w:val="0"/>
                  <w:tcMar>
                    <w:top w:w="10" w:type="dxa"/>
                    <w:left w:w="10" w:type="dxa"/>
                    <w:bottom w:w="0" w:type="dxa"/>
                    <w:right w:w="10" w:type="dxa"/>
                  </w:tcMar>
                  <w:vAlign w:val="center"/>
                </w:tcPr>
                <w:p w14:paraId="210D0D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污染源</w:t>
                  </w:r>
                </w:p>
              </w:tc>
              <w:tc>
                <w:tcPr>
                  <w:tcW w:w="2596" w:type="pct"/>
                  <w:noWrap w:val="0"/>
                  <w:tcMar>
                    <w:top w:w="10" w:type="dxa"/>
                    <w:left w:w="10" w:type="dxa"/>
                    <w:bottom w:w="0" w:type="dxa"/>
                    <w:right w:w="10" w:type="dxa"/>
                  </w:tcMar>
                  <w:vAlign w:val="center"/>
                </w:tcPr>
                <w:p w14:paraId="1EB5B1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治理设施、措施</w:t>
                  </w:r>
                </w:p>
              </w:tc>
              <w:tc>
                <w:tcPr>
                  <w:tcW w:w="1205" w:type="pct"/>
                  <w:noWrap w:val="0"/>
                  <w:tcMar>
                    <w:top w:w="10" w:type="dxa"/>
                    <w:left w:w="10" w:type="dxa"/>
                    <w:bottom w:w="0" w:type="dxa"/>
                    <w:right w:w="10" w:type="dxa"/>
                  </w:tcMar>
                  <w:vAlign w:val="center"/>
                </w:tcPr>
                <w:p w14:paraId="5E49CD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kern w:val="0"/>
                      <w:sz w:val="21"/>
                      <w:szCs w:val="21"/>
                      <w:highlight w:val="none"/>
                      <w14:textFill>
                        <w14:solidFill>
                          <w14:schemeClr w14:val="tx1"/>
                        </w14:solidFill>
                      </w14:textFill>
                    </w:rPr>
                    <w:t>处理效果</w:t>
                  </w:r>
                </w:p>
              </w:tc>
            </w:tr>
            <w:tr w14:paraId="1AA43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3" w:type="pct"/>
                  <w:vMerge w:val="restart"/>
                  <w:noWrap w:val="0"/>
                  <w:tcMar>
                    <w:top w:w="10" w:type="dxa"/>
                    <w:left w:w="10" w:type="dxa"/>
                    <w:bottom w:w="0" w:type="dxa"/>
                    <w:right w:w="10" w:type="dxa"/>
                  </w:tcMar>
                  <w:vAlign w:val="center"/>
                </w:tcPr>
                <w:p w14:paraId="6E6EFF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废气</w:t>
                  </w:r>
                </w:p>
              </w:tc>
              <w:tc>
                <w:tcPr>
                  <w:tcW w:w="814" w:type="pct"/>
                  <w:noWrap w:val="0"/>
                  <w:tcMar>
                    <w:top w:w="10" w:type="dxa"/>
                    <w:left w:w="10" w:type="dxa"/>
                    <w:bottom w:w="0" w:type="dxa"/>
                    <w:right w:w="10" w:type="dxa"/>
                  </w:tcMar>
                  <w:vAlign w:val="center"/>
                </w:tcPr>
                <w:p w14:paraId="1DC7F7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运输扬尘</w:t>
                  </w:r>
                </w:p>
              </w:tc>
              <w:tc>
                <w:tcPr>
                  <w:tcW w:w="2596" w:type="pct"/>
                  <w:noWrap w:val="0"/>
                  <w:tcMar>
                    <w:top w:w="10" w:type="dxa"/>
                    <w:left w:w="10" w:type="dxa"/>
                    <w:bottom w:w="0" w:type="dxa"/>
                    <w:right w:w="10" w:type="dxa"/>
                  </w:tcMar>
                  <w:vAlign w:val="center"/>
                </w:tcPr>
                <w:p w14:paraId="3ADF2F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运输车辆加盖篷布密闭运输，车速≤15km/h；道路每日洒水≥4次</w:t>
                  </w:r>
                </w:p>
              </w:tc>
              <w:tc>
                <w:tcPr>
                  <w:tcW w:w="1205" w:type="pct"/>
                  <w:vMerge w:val="restart"/>
                  <w:noWrap w:val="0"/>
                  <w:tcMar>
                    <w:top w:w="10" w:type="dxa"/>
                    <w:left w:w="10" w:type="dxa"/>
                    <w:bottom w:w="0" w:type="dxa"/>
                    <w:right w:w="10" w:type="dxa"/>
                  </w:tcMar>
                  <w:vAlign w:val="center"/>
                </w:tcPr>
                <w:p w14:paraId="01C7AA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《大气污染物综合排放标准》（GB16297-1996）表2中无组织排放监控浓度限值</w:t>
                  </w:r>
                </w:p>
              </w:tc>
            </w:tr>
            <w:tr w14:paraId="5BD14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3" w:type="pct"/>
                  <w:vMerge w:val="continue"/>
                  <w:noWrap w:val="0"/>
                  <w:tcMar>
                    <w:top w:w="10" w:type="dxa"/>
                    <w:left w:w="10" w:type="dxa"/>
                    <w:bottom w:w="0" w:type="dxa"/>
                    <w:right w:w="10" w:type="dxa"/>
                  </w:tcMar>
                  <w:vAlign w:val="center"/>
                </w:tcPr>
                <w:p w14:paraId="7C4B64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814" w:type="pct"/>
                  <w:noWrap w:val="0"/>
                  <w:tcMar>
                    <w:top w:w="10" w:type="dxa"/>
                    <w:left w:w="10" w:type="dxa"/>
                    <w:bottom w:w="0" w:type="dxa"/>
                    <w:right w:w="10" w:type="dxa"/>
                  </w:tcMar>
                  <w:vAlign w:val="center"/>
                </w:tcPr>
                <w:p w14:paraId="2C9A21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改性生产</w:t>
                  </w:r>
                  <w:r>
                    <w:rPr>
                      <w:rFonts w:hint="default" w:ascii="Times New Roman" w:hAnsi="Times New Roman" w:cs="Times New Roman"/>
                      <w:color w:val="000000" w:themeColor="text1"/>
                      <w:kern w:val="0"/>
                      <w:sz w:val="21"/>
                      <w:szCs w:val="21"/>
                      <w:highlight w:val="none"/>
                      <w14:textFill>
                        <w14:solidFill>
                          <w14:schemeClr w14:val="tx1"/>
                        </w14:solidFill>
                      </w14:textFill>
                    </w:rPr>
                    <w:t>扬尘</w:t>
                  </w:r>
                </w:p>
              </w:tc>
              <w:tc>
                <w:tcPr>
                  <w:tcW w:w="2596" w:type="pct"/>
                  <w:noWrap w:val="0"/>
                  <w:tcMar>
                    <w:top w:w="10" w:type="dxa"/>
                    <w:left w:w="10" w:type="dxa"/>
                    <w:bottom w:w="0" w:type="dxa"/>
                    <w:right w:w="10" w:type="dxa"/>
                  </w:tcMar>
                  <w:vAlign w:val="center"/>
                </w:tcPr>
                <w:p w14:paraId="04F055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改性车间全封闭（</w:t>
                  </w:r>
                  <w:r>
                    <w:rPr>
                      <w:rFonts w:hint="eastAsia" w:cs="Times New Roman"/>
                      <w:color w:val="000000" w:themeColor="text1"/>
                      <w:sz w:val="21"/>
                      <w:szCs w:val="21"/>
                      <w:highlight w:val="none"/>
                      <w:lang w:eastAsia="zh-CN"/>
                      <w14:textFill>
                        <w14:solidFill>
                          <w14:schemeClr w14:val="tx1"/>
                        </w14:solidFill>
                      </w14:textFill>
                    </w:rPr>
                    <w:t>1930</w:t>
                  </w:r>
                  <w:r>
                    <w:rPr>
                      <w:rFonts w:hint="default" w:ascii="Times New Roman" w:hAnsi="Times New Roman" w:cs="Times New Roman"/>
                      <w:color w:val="000000" w:themeColor="text1"/>
                      <w:sz w:val="21"/>
                      <w:szCs w:val="21"/>
                      <w:highlight w:val="none"/>
                      <w14:textFill>
                        <w14:solidFill>
                          <w14:schemeClr w14:val="tx1"/>
                        </w14:solidFill>
                      </w14:textFill>
                    </w:rPr>
                    <w:t>m²）</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并安装自动喷雾装置</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筒仓经仓顶自带除尘器处理后，以无组织形式排放；混料搅拌工段搅拌器粉尘经搅拌器自带除尘器处理后以无组织形式排放；车间内</w:t>
                  </w:r>
                  <w:r>
                    <w:rPr>
                      <w:rFonts w:hint="default" w:ascii="Times New Roman" w:hAnsi="Times New Roman" w:cs="Times New Roman"/>
                      <w:color w:val="000000" w:themeColor="text1"/>
                      <w:sz w:val="21"/>
                      <w:szCs w:val="21"/>
                      <w:highlight w:val="none"/>
                      <w14:textFill>
                        <w14:solidFill>
                          <w14:schemeClr w14:val="tx1"/>
                        </w14:solidFill>
                      </w14:textFill>
                    </w:rPr>
                    <w:t>破碎、投料出料口设喷淋</w:t>
                  </w:r>
                  <w:r>
                    <w:rPr>
                      <w:rFonts w:hint="eastAsia" w:cs="Times New Roman"/>
                      <w:color w:val="000000" w:themeColor="text1"/>
                      <w:sz w:val="21"/>
                      <w:szCs w:val="21"/>
                      <w:highlight w:val="none"/>
                      <w:lang w:val="en-US" w:eastAsia="zh-CN"/>
                      <w14:textFill>
                        <w14:solidFill>
                          <w14:schemeClr w14:val="tx1"/>
                        </w14:solidFill>
                      </w14:textFill>
                    </w:rPr>
                    <w:t>装置</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厂区</w:t>
                  </w:r>
                  <w:r>
                    <w:rPr>
                      <w:rFonts w:hint="default" w:ascii="Times New Roman" w:hAnsi="Times New Roman" w:cs="Times New Roman"/>
                      <w:color w:val="000000" w:themeColor="text1"/>
                      <w:sz w:val="21"/>
                      <w:szCs w:val="21"/>
                      <w:highlight w:val="none"/>
                      <w14:textFill>
                        <w14:solidFill>
                          <w14:schemeClr w14:val="tx1"/>
                        </w14:solidFill>
                      </w14:textFill>
                    </w:rPr>
                    <w:t>配置4台雾炮</w:t>
                  </w:r>
                  <w:r>
                    <w:rPr>
                      <w:rFonts w:hint="eastAsia" w:cs="Times New Roman"/>
                      <w:color w:val="000000" w:themeColor="text1"/>
                      <w:sz w:val="21"/>
                      <w:szCs w:val="21"/>
                      <w:highlight w:val="none"/>
                      <w:lang w:val="en-US" w:eastAsia="zh-CN"/>
                      <w14:textFill>
                        <w14:solidFill>
                          <w14:schemeClr w14:val="tx1"/>
                        </w14:solidFill>
                      </w14:textFill>
                    </w:rPr>
                    <w:t>进行降尘</w:t>
                  </w: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1205" w:type="pct"/>
                  <w:vMerge w:val="continue"/>
                  <w:noWrap w:val="0"/>
                  <w:tcMar>
                    <w:top w:w="10" w:type="dxa"/>
                    <w:left w:w="10" w:type="dxa"/>
                    <w:bottom w:w="0" w:type="dxa"/>
                    <w:right w:w="10" w:type="dxa"/>
                  </w:tcMar>
                  <w:vAlign w:val="center"/>
                </w:tcPr>
                <w:p w14:paraId="6F25EE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66CB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3" w:type="pct"/>
                  <w:vMerge w:val="restart"/>
                  <w:noWrap w:val="0"/>
                  <w:tcMar>
                    <w:top w:w="10" w:type="dxa"/>
                    <w:left w:w="10" w:type="dxa"/>
                    <w:bottom w:w="0" w:type="dxa"/>
                    <w:right w:w="10" w:type="dxa"/>
                  </w:tcMar>
                  <w:vAlign w:val="center"/>
                </w:tcPr>
                <w:p w14:paraId="4CC771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废水</w:t>
                  </w:r>
                </w:p>
              </w:tc>
              <w:tc>
                <w:tcPr>
                  <w:tcW w:w="814" w:type="pct"/>
                  <w:noWrap w:val="0"/>
                  <w:tcMar>
                    <w:top w:w="10" w:type="dxa"/>
                    <w:left w:w="10" w:type="dxa"/>
                    <w:bottom w:w="0" w:type="dxa"/>
                    <w:right w:w="10" w:type="dxa"/>
                  </w:tcMar>
                  <w:vAlign w:val="center"/>
                </w:tcPr>
                <w:p w14:paraId="72189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生产废水</w:t>
                  </w:r>
                </w:p>
              </w:tc>
              <w:tc>
                <w:tcPr>
                  <w:tcW w:w="2596" w:type="pct"/>
                  <w:noWrap w:val="0"/>
                  <w:tcMar>
                    <w:top w:w="10" w:type="dxa"/>
                    <w:left w:w="10" w:type="dxa"/>
                    <w:bottom w:w="0" w:type="dxa"/>
                    <w:right w:w="10" w:type="dxa"/>
                  </w:tcMar>
                  <w:vAlign w:val="center"/>
                </w:tcPr>
                <w:p w14:paraId="59966F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生产过程无工艺废水产生，抑尘洒水自然蒸发</w:t>
                  </w:r>
                  <w:r>
                    <w:rPr>
                      <w:rFonts w:hint="eastAsia" w:cs="Times New Roman"/>
                      <w:color w:val="000000" w:themeColor="text1"/>
                      <w:kern w:val="0"/>
                      <w:sz w:val="21"/>
                      <w:szCs w:val="21"/>
                      <w:highlight w:val="none"/>
                      <w:lang w:eastAsia="zh-CN"/>
                      <w14:textFill>
                        <w14:solidFill>
                          <w14:schemeClr w14:val="tx1"/>
                        </w14:solidFill>
                      </w14:textFill>
                    </w:rPr>
                    <w:t>。</w:t>
                  </w:r>
                </w:p>
              </w:tc>
              <w:tc>
                <w:tcPr>
                  <w:tcW w:w="1205" w:type="pct"/>
                  <w:vMerge w:val="restart"/>
                  <w:noWrap w:val="0"/>
                  <w:tcMar>
                    <w:top w:w="10" w:type="dxa"/>
                    <w:left w:w="10" w:type="dxa"/>
                    <w:bottom w:w="0" w:type="dxa"/>
                    <w:right w:w="10" w:type="dxa"/>
                  </w:tcMar>
                  <w:vAlign w:val="center"/>
                </w:tcPr>
                <w:p w14:paraId="4D91B0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不外排。</w:t>
                  </w:r>
                </w:p>
              </w:tc>
            </w:tr>
            <w:tr w14:paraId="0D61D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3" w:type="pct"/>
                  <w:vMerge w:val="continue"/>
                  <w:noWrap w:val="0"/>
                  <w:tcMar>
                    <w:top w:w="10" w:type="dxa"/>
                    <w:left w:w="10" w:type="dxa"/>
                    <w:bottom w:w="0" w:type="dxa"/>
                    <w:right w:w="10" w:type="dxa"/>
                  </w:tcMar>
                  <w:vAlign w:val="center"/>
                </w:tcPr>
                <w:p w14:paraId="778C6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814" w:type="pct"/>
                  <w:noWrap w:val="0"/>
                  <w:tcMar>
                    <w:top w:w="10" w:type="dxa"/>
                    <w:left w:w="10" w:type="dxa"/>
                    <w:bottom w:w="0" w:type="dxa"/>
                    <w:right w:w="10" w:type="dxa"/>
                  </w:tcMar>
                  <w:vAlign w:val="center"/>
                </w:tcPr>
                <w:p w14:paraId="314919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待检区渗滤液</w:t>
                  </w:r>
                </w:p>
              </w:tc>
              <w:tc>
                <w:tcPr>
                  <w:tcW w:w="2596" w:type="pct"/>
                  <w:noWrap w:val="0"/>
                  <w:tcMar>
                    <w:top w:w="10" w:type="dxa"/>
                    <w:left w:w="10" w:type="dxa"/>
                    <w:bottom w:w="0" w:type="dxa"/>
                    <w:right w:w="10" w:type="dxa"/>
                  </w:tcMar>
                  <w:vAlign w:val="center"/>
                </w:tcPr>
                <w:p w14:paraId="0D5913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待检区车间内四周设置导流沟收集渗滤液，渗滤液经导流沟收集后暂存于租赁场地已建的300m</w:t>
                  </w:r>
                  <w:r>
                    <w:rPr>
                      <w:rFonts w:hint="eastAsia" w:cs="Times New Roman"/>
                      <w:color w:val="000000" w:themeColor="text1"/>
                      <w:kern w:val="0"/>
                      <w:sz w:val="21"/>
                      <w:szCs w:val="21"/>
                      <w:highlight w:val="none"/>
                      <w:vertAlign w:val="superscript"/>
                      <w:lang w:val="en-US" w:eastAsia="zh-CN"/>
                      <w14:textFill>
                        <w14:solidFill>
                          <w14:schemeClr w14:val="tx1"/>
                        </w14:solidFill>
                      </w14:textFill>
                    </w:rPr>
                    <w:t>3</w:t>
                  </w:r>
                  <w:r>
                    <w:rPr>
                      <w:rFonts w:hint="eastAsia" w:cs="Times New Roman"/>
                      <w:color w:val="000000" w:themeColor="text1"/>
                      <w:kern w:val="0"/>
                      <w:sz w:val="21"/>
                      <w:szCs w:val="21"/>
                      <w:highlight w:val="none"/>
                      <w:lang w:val="en-US" w:eastAsia="zh-CN"/>
                      <w14:textFill>
                        <w14:solidFill>
                          <w14:schemeClr w14:val="tx1"/>
                        </w14:solidFill>
                      </w14:textFill>
                    </w:rPr>
                    <w:t>收集池内，回用于待检区车间内洒水降尘。</w:t>
                  </w:r>
                </w:p>
              </w:tc>
              <w:tc>
                <w:tcPr>
                  <w:tcW w:w="1205" w:type="pct"/>
                  <w:vMerge w:val="continue"/>
                  <w:noWrap w:val="0"/>
                  <w:tcMar>
                    <w:top w:w="10" w:type="dxa"/>
                    <w:left w:w="10" w:type="dxa"/>
                    <w:bottom w:w="0" w:type="dxa"/>
                    <w:right w:w="10" w:type="dxa"/>
                  </w:tcMar>
                  <w:vAlign w:val="center"/>
                </w:tcPr>
                <w:p w14:paraId="38CC95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29146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3" w:type="pct"/>
                  <w:vMerge w:val="continue"/>
                  <w:noWrap w:val="0"/>
                  <w:tcMar>
                    <w:top w:w="10" w:type="dxa"/>
                    <w:left w:w="10" w:type="dxa"/>
                    <w:bottom w:w="0" w:type="dxa"/>
                    <w:right w:w="10" w:type="dxa"/>
                  </w:tcMar>
                  <w:vAlign w:val="center"/>
                </w:tcPr>
                <w:p w14:paraId="2365FD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814" w:type="pct"/>
                  <w:noWrap w:val="0"/>
                  <w:tcMar>
                    <w:top w:w="10" w:type="dxa"/>
                    <w:left w:w="10" w:type="dxa"/>
                    <w:bottom w:w="0" w:type="dxa"/>
                    <w:right w:w="10" w:type="dxa"/>
                  </w:tcMar>
                  <w:vAlign w:val="center"/>
                </w:tcPr>
                <w:p w14:paraId="7F96EA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生活污水</w:t>
                  </w:r>
                </w:p>
              </w:tc>
              <w:tc>
                <w:tcPr>
                  <w:tcW w:w="2596" w:type="pct"/>
                  <w:noWrap w:val="0"/>
                  <w:tcMar>
                    <w:top w:w="10" w:type="dxa"/>
                    <w:left w:w="10" w:type="dxa"/>
                    <w:bottom w:w="0" w:type="dxa"/>
                    <w:right w:w="10" w:type="dxa"/>
                  </w:tcMar>
                  <w:vAlign w:val="center"/>
                </w:tcPr>
                <w:p w14:paraId="3EA492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员工盥洗废水及如厕废水均依托租赁场地原有化粪池处理后，定期由周边居民清掏肥田。</w:t>
                  </w:r>
                </w:p>
              </w:tc>
              <w:tc>
                <w:tcPr>
                  <w:tcW w:w="1205" w:type="pct"/>
                  <w:vMerge w:val="continue"/>
                  <w:noWrap w:val="0"/>
                  <w:tcMar>
                    <w:top w:w="10" w:type="dxa"/>
                    <w:left w:w="10" w:type="dxa"/>
                    <w:bottom w:w="0" w:type="dxa"/>
                    <w:right w:w="10" w:type="dxa"/>
                  </w:tcMar>
                  <w:vAlign w:val="center"/>
                </w:tcPr>
                <w:p w14:paraId="31D4D0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00FA7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3" w:type="pct"/>
                  <w:vMerge w:val="restart"/>
                  <w:noWrap w:val="0"/>
                  <w:tcMar>
                    <w:top w:w="10" w:type="dxa"/>
                    <w:left w:w="10" w:type="dxa"/>
                    <w:bottom w:w="0" w:type="dxa"/>
                    <w:right w:w="10" w:type="dxa"/>
                  </w:tcMar>
                  <w:vAlign w:val="center"/>
                </w:tcPr>
                <w:p w14:paraId="49428D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固体废弃物</w:t>
                  </w:r>
                </w:p>
              </w:tc>
              <w:tc>
                <w:tcPr>
                  <w:tcW w:w="814" w:type="pct"/>
                  <w:noWrap w:val="0"/>
                  <w:tcMar>
                    <w:top w:w="10" w:type="dxa"/>
                    <w:left w:w="10" w:type="dxa"/>
                    <w:bottom w:w="0" w:type="dxa"/>
                    <w:right w:w="10" w:type="dxa"/>
                  </w:tcMar>
                  <w:vAlign w:val="center"/>
                </w:tcPr>
                <w:p w14:paraId="504C22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生活垃圾</w:t>
                  </w:r>
                </w:p>
              </w:tc>
              <w:tc>
                <w:tcPr>
                  <w:tcW w:w="2596" w:type="pct"/>
                  <w:noWrap w:val="0"/>
                  <w:tcMar>
                    <w:top w:w="10" w:type="dxa"/>
                    <w:left w:w="10" w:type="dxa"/>
                    <w:bottom w:w="0" w:type="dxa"/>
                    <w:right w:w="10" w:type="dxa"/>
                  </w:tcMar>
                  <w:vAlign w:val="center"/>
                </w:tcPr>
                <w:p w14:paraId="48AD6E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设置若干垃圾桶，生活垃圾统一收集后委托环卫部门定期清运</w:t>
                  </w:r>
                </w:p>
              </w:tc>
              <w:tc>
                <w:tcPr>
                  <w:tcW w:w="1205" w:type="pct"/>
                  <w:vMerge w:val="restart"/>
                  <w:noWrap w:val="0"/>
                  <w:tcMar>
                    <w:top w:w="10" w:type="dxa"/>
                    <w:left w:w="10" w:type="dxa"/>
                    <w:bottom w:w="0" w:type="dxa"/>
                    <w:right w:w="10" w:type="dxa"/>
                  </w:tcMar>
                  <w:vAlign w:val="center"/>
                </w:tcPr>
                <w:p w14:paraId="10E990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固废处置率为100%。</w:t>
                  </w:r>
                </w:p>
              </w:tc>
            </w:tr>
            <w:tr w14:paraId="0F741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3" w:type="pct"/>
                  <w:vMerge w:val="continue"/>
                  <w:noWrap w:val="0"/>
                  <w:tcMar>
                    <w:top w:w="10" w:type="dxa"/>
                    <w:left w:w="10" w:type="dxa"/>
                    <w:bottom w:w="0" w:type="dxa"/>
                    <w:right w:w="10" w:type="dxa"/>
                  </w:tcMar>
                  <w:vAlign w:val="center"/>
                </w:tcPr>
                <w:p w14:paraId="291FB8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814" w:type="pct"/>
                  <w:noWrap w:val="0"/>
                  <w:tcMar>
                    <w:top w:w="10" w:type="dxa"/>
                    <w:left w:w="10" w:type="dxa"/>
                    <w:bottom w:w="0" w:type="dxa"/>
                    <w:right w:w="10" w:type="dxa"/>
                  </w:tcMar>
                  <w:vAlign w:val="center"/>
                </w:tcPr>
                <w:p w14:paraId="7F909D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不合格改性磷石膏</w:t>
                  </w:r>
                </w:p>
              </w:tc>
              <w:tc>
                <w:tcPr>
                  <w:tcW w:w="2596" w:type="pct"/>
                  <w:noWrap w:val="0"/>
                  <w:tcMar>
                    <w:top w:w="10" w:type="dxa"/>
                    <w:left w:w="10" w:type="dxa"/>
                    <w:bottom w:w="0" w:type="dxa"/>
                    <w:right w:w="10" w:type="dxa"/>
                  </w:tcMar>
                  <w:vAlign w:val="center"/>
                </w:tcPr>
                <w:p w14:paraId="695B9B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检测不合格产品全部返回搅拌机重新改性，直至达标</w:t>
                  </w:r>
                </w:p>
              </w:tc>
              <w:tc>
                <w:tcPr>
                  <w:tcW w:w="1205" w:type="pct"/>
                  <w:vMerge w:val="continue"/>
                  <w:noWrap w:val="0"/>
                  <w:tcMar>
                    <w:top w:w="10" w:type="dxa"/>
                    <w:left w:w="10" w:type="dxa"/>
                    <w:bottom w:w="0" w:type="dxa"/>
                    <w:right w:w="10" w:type="dxa"/>
                  </w:tcMar>
                  <w:vAlign w:val="center"/>
                </w:tcPr>
                <w:p w14:paraId="1B3496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p>
              </w:tc>
            </w:tr>
            <w:tr w14:paraId="1BE4C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3" w:type="pct"/>
                  <w:vMerge w:val="continue"/>
                  <w:noWrap w:val="0"/>
                  <w:tcMar>
                    <w:top w:w="10" w:type="dxa"/>
                    <w:left w:w="10" w:type="dxa"/>
                    <w:bottom w:w="0" w:type="dxa"/>
                    <w:right w:w="10" w:type="dxa"/>
                  </w:tcMar>
                  <w:vAlign w:val="center"/>
                </w:tcPr>
                <w:p w14:paraId="7E19F9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814" w:type="pct"/>
                  <w:noWrap w:val="0"/>
                  <w:tcMar>
                    <w:top w:w="10" w:type="dxa"/>
                    <w:left w:w="10" w:type="dxa"/>
                    <w:bottom w:w="0" w:type="dxa"/>
                    <w:right w:w="10" w:type="dxa"/>
                  </w:tcMar>
                  <w:vAlign w:val="center"/>
                </w:tcPr>
                <w:p w14:paraId="261890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危险废物（废机油）</w:t>
                  </w:r>
                </w:p>
              </w:tc>
              <w:tc>
                <w:tcPr>
                  <w:tcW w:w="2596" w:type="pct"/>
                  <w:noWrap w:val="0"/>
                  <w:tcMar>
                    <w:top w:w="10" w:type="dxa"/>
                    <w:left w:w="10" w:type="dxa"/>
                    <w:bottom w:w="0" w:type="dxa"/>
                    <w:right w:w="10" w:type="dxa"/>
                  </w:tcMar>
                  <w:vAlign w:val="center"/>
                </w:tcPr>
                <w:p w14:paraId="54D4A3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机械维修产生的废机油（HW08），分类收集后暂存于新建</w:t>
                  </w:r>
                  <w:r>
                    <w:rPr>
                      <w:rFonts w:hint="eastAsia" w:cs="Times New Roman"/>
                      <w:color w:val="000000" w:themeColor="text1"/>
                      <w:sz w:val="21"/>
                      <w:szCs w:val="21"/>
                      <w:highlight w:val="none"/>
                      <w:lang w:val="en-US" w:eastAsia="zh-CN"/>
                      <w14:textFill>
                        <w14:solidFill>
                          <w14:schemeClr w14:val="tx1"/>
                        </w14:solidFill>
                      </w14:textFill>
                    </w:rPr>
                    <w:t>的10m</w:t>
                  </w:r>
                  <w:r>
                    <w:rPr>
                      <w:rFonts w:hint="eastAsia" w:cs="Times New Roman"/>
                      <w:color w:val="000000" w:themeColor="text1"/>
                      <w:sz w:val="21"/>
                      <w:szCs w:val="21"/>
                      <w:highlight w:val="none"/>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危废</w:t>
                  </w:r>
                  <w:r>
                    <w:rPr>
                      <w:rFonts w:hint="eastAsia" w:cs="Times New Roman"/>
                      <w:color w:val="000000" w:themeColor="text1"/>
                      <w:sz w:val="21"/>
                      <w:szCs w:val="21"/>
                      <w:highlight w:val="none"/>
                      <w:lang w:val="en-US" w:eastAsia="zh-CN"/>
                      <w14:textFill>
                        <w14:solidFill>
                          <w14:schemeClr w14:val="tx1"/>
                        </w14:solidFill>
                      </w14:textFill>
                    </w:rPr>
                    <w:t>贮存库</w:t>
                  </w:r>
                  <w:r>
                    <w:rPr>
                      <w:rFonts w:hint="default" w:ascii="Times New Roman" w:hAnsi="Times New Roman" w:cs="Times New Roman"/>
                      <w:color w:val="000000" w:themeColor="text1"/>
                      <w:sz w:val="21"/>
                      <w:szCs w:val="21"/>
                      <w:highlight w:val="none"/>
                      <w14:textFill>
                        <w14:solidFill>
                          <w14:schemeClr w14:val="tx1"/>
                        </w14:solidFill>
                      </w14:textFill>
                    </w:rPr>
                    <w:t>，定期委托有资质单位处置</w:t>
                  </w:r>
                </w:p>
              </w:tc>
              <w:tc>
                <w:tcPr>
                  <w:tcW w:w="1205" w:type="pct"/>
                  <w:noWrap w:val="0"/>
                  <w:tcMar>
                    <w:top w:w="10" w:type="dxa"/>
                    <w:left w:w="10" w:type="dxa"/>
                    <w:bottom w:w="0" w:type="dxa"/>
                    <w:right w:w="10" w:type="dxa"/>
                  </w:tcMar>
                  <w:vAlign w:val="center"/>
                </w:tcPr>
                <w:p w14:paraId="2CC516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满足《危险废物贮存污染控制标准》（GB 18597-2023）</w:t>
                  </w:r>
                </w:p>
              </w:tc>
            </w:tr>
            <w:tr w14:paraId="4C1A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3" w:type="pct"/>
                  <w:vMerge w:val="continue"/>
                  <w:noWrap w:val="0"/>
                  <w:tcMar>
                    <w:top w:w="10" w:type="dxa"/>
                    <w:left w:w="10" w:type="dxa"/>
                    <w:bottom w:w="0" w:type="dxa"/>
                    <w:right w:w="10" w:type="dxa"/>
                  </w:tcMar>
                  <w:vAlign w:val="center"/>
                </w:tcPr>
                <w:p w14:paraId="15DDBC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p>
              </w:tc>
              <w:tc>
                <w:tcPr>
                  <w:tcW w:w="814" w:type="pct"/>
                  <w:noWrap w:val="0"/>
                  <w:tcMar>
                    <w:top w:w="10" w:type="dxa"/>
                    <w:left w:w="10" w:type="dxa"/>
                    <w:bottom w:w="0" w:type="dxa"/>
                    <w:right w:w="10" w:type="dxa"/>
                  </w:tcMar>
                  <w:vAlign w:val="center"/>
                </w:tcPr>
                <w:p w14:paraId="272180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厂区防渗</w:t>
                  </w:r>
                </w:p>
              </w:tc>
              <w:tc>
                <w:tcPr>
                  <w:tcW w:w="2596" w:type="pct"/>
                  <w:noWrap w:val="0"/>
                  <w:tcMar>
                    <w:top w:w="10" w:type="dxa"/>
                    <w:left w:w="10" w:type="dxa"/>
                    <w:bottom w:w="0" w:type="dxa"/>
                    <w:right w:w="10" w:type="dxa"/>
                  </w:tcMar>
                  <w:vAlign w:val="center"/>
                </w:tcPr>
                <w:p w14:paraId="6523FD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①重点防渗区（改性车间、</w:t>
                  </w:r>
                  <w:r>
                    <w:rPr>
                      <w:rFonts w:hint="eastAsia" w:cs="Times New Roman"/>
                      <w:color w:val="000000" w:themeColor="text1"/>
                      <w:sz w:val="21"/>
                      <w:szCs w:val="21"/>
                      <w:highlight w:val="none"/>
                      <w:lang w:val="en-US" w:eastAsia="zh-CN"/>
                      <w14:textFill>
                        <w14:solidFill>
                          <w14:schemeClr w14:val="tx1"/>
                        </w14:solidFill>
                      </w14:textFill>
                    </w:rPr>
                    <w:t>待检区、</w:t>
                  </w:r>
                  <w:r>
                    <w:rPr>
                      <w:rFonts w:hint="default" w:ascii="Times New Roman" w:hAnsi="Times New Roman" w:cs="Times New Roman"/>
                      <w:color w:val="000000" w:themeColor="text1"/>
                      <w:sz w:val="21"/>
                      <w:szCs w:val="21"/>
                      <w:highlight w:val="none"/>
                      <w14:textFill>
                        <w14:solidFill>
                          <w14:schemeClr w14:val="tx1"/>
                        </w14:solidFill>
                      </w14:textFill>
                    </w:rPr>
                    <w:t>危废暂存间）：粘土压实层（≥0.75 m，K≤1×10⁻⁷ cm/s）+C30混凝土（300 mm，P8）</w:t>
                  </w:r>
                  <w:r>
                    <w:rPr>
                      <w:rFonts w:hint="eastAsia" w:cs="Times New Roman"/>
                      <w:color w:val="000000" w:themeColor="text1"/>
                      <w:sz w:val="21"/>
                      <w:szCs w:val="21"/>
                      <w:highlight w:val="none"/>
                      <w:lang w:val="en-US" w:eastAsia="zh-CN"/>
                      <w14:textFill>
                        <w14:solidFill>
                          <w14:schemeClr w14:val="tx1"/>
                        </w14:solidFill>
                      </w14:textFill>
                    </w:rPr>
                    <w:t>+两布一膜②</w:t>
                  </w:r>
                  <w:r>
                    <w:rPr>
                      <w:rFonts w:hint="default" w:ascii="Times New Roman" w:hAnsi="Times New Roman" w:cs="Times New Roman"/>
                      <w:color w:val="000000" w:themeColor="text1"/>
                      <w:sz w:val="21"/>
                      <w:szCs w:val="21"/>
                      <w:highlight w:val="none"/>
                      <w14:textFill>
                        <w14:solidFill>
                          <w14:schemeClr w14:val="tx1"/>
                        </w14:solidFill>
                      </w14:textFill>
                    </w:rPr>
                    <w:t>简单防渗区（配电室、办公区等）：C20混凝土硬化（≥100 mm）</w:t>
                  </w:r>
                  <w:r>
                    <w:rPr>
                      <w:rFonts w:hint="eastAsia" w:cs="Times New Roman"/>
                      <w:color w:val="000000" w:themeColor="text1"/>
                      <w:sz w:val="21"/>
                      <w:szCs w:val="21"/>
                      <w:highlight w:val="none"/>
                      <w:lang w:eastAsia="zh-CN"/>
                      <w14:textFill>
                        <w14:solidFill>
                          <w14:schemeClr w14:val="tx1"/>
                        </w14:solidFill>
                      </w14:textFill>
                    </w:rPr>
                    <w:t>；</w:t>
                  </w:r>
                </w:p>
              </w:tc>
              <w:tc>
                <w:tcPr>
                  <w:tcW w:w="1205" w:type="pct"/>
                  <w:noWrap w:val="0"/>
                  <w:tcMar>
                    <w:top w:w="10" w:type="dxa"/>
                    <w:left w:w="10" w:type="dxa"/>
                    <w:bottom w:w="0" w:type="dxa"/>
                    <w:right w:w="10" w:type="dxa"/>
                  </w:tcMar>
                  <w:vAlign w:val="center"/>
                </w:tcPr>
                <w:p w14:paraId="21330F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满足GB18599-2020防渗要求</w:t>
                  </w:r>
                </w:p>
              </w:tc>
            </w:tr>
          </w:tbl>
          <w:p w14:paraId="5890A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000000" w:themeColor="text1"/>
                <w:sz w:val="20"/>
                <w:szCs w:val="20"/>
                <w:highlight w:val="none"/>
                <w14:textFill>
                  <w14:solidFill>
                    <w14:schemeClr w14:val="tx1"/>
                  </w14:solidFill>
                </w14:textFill>
              </w:rPr>
            </w:pPr>
            <w:r>
              <w:rPr>
                <w:rFonts w:hint="default" w:eastAsia="宋体"/>
                <w:color w:val="000000" w:themeColor="text1"/>
                <w:sz w:val="24"/>
                <w:szCs w:val="24"/>
                <w:highlight w:val="none"/>
                <w:lang w:eastAsia="zh-CN"/>
                <w14:textFill>
                  <w14:solidFill>
                    <w14:schemeClr w14:val="tx1"/>
                  </w14:solidFill>
                </w14:textFill>
              </w:rPr>
              <w:t>建设单位是建设项目竣工环境保护验收的责任主体，应当按照《建设项目竣工环境 保护验收暂行办法》</w:t>
            </w:r>
            <w:r>
              <w:rPr>
                <w:rFonts w:hint="eastAsia" w:eastAsia="宋体"/>
                <w:color w:val="000000" w:themeColor="text1"/>
                <w:sz w:val="24"/>
                <w:szCs w:val="24"/>
                <w:highlight w:val="none"/>
                <w:lang w:eastAsia="zh-CN"/>
                <w14:textFill>
                  <w14:solidFill>
                    <w14:schemeClr w14:val="tx1"/>
                  </w14:solidFill>
                </w14:textFill>
              </w:rPr>
              <w:t>（</w:t>
            </w:r>
            <w:r>
              <w:rPr>
                <w:rFonts w:hint="default" w:eastAsia="宋体"/>
                <w:color w:val="000000" w:themeColor="text1"/>
                <w:sz w:val="24"/>
                <w:szCs w:val="24"/>
                <w:highlight w:val="none"/>
                <w:lang w:eastAsia="zh-CN"/>
                <w14:textFill>
                  <w14:solidFill>
                    <w14:schemeClr w14:val="tx1"/>
                  </w14:solidFill>
                </w14:textFill>
              </w:rPr>
              <w:t>国环规环评〔2017〕4 号</w:t>
            </w:r>
            <w:r>
              <w:rPr>
                <w:rFonts w:hint="eastAsia" w:eastAsia="宋体"/>
                <w:color w:val="000000" w:themeColor="text1"/>
                <w:sz w:val="24"/>
                <w:szCs w:val="24"/>
                <w:highlight w:val="none"/>
                <w:lang w:eastAsia="zh-CN"/>
                <w14:textFill>
                  <w14:solidFill>
                    <w14:schemeClr w14:val="tx1"/>
                  </w14:solidFill>
                </w14:textFill>
              </w:rPr>
              <w:t>）</w:t>
            </w:r>
            <w:r>
              <w:rPr>
                <w:rFonts w:hint="default" w:eastAsia="宋体"/>
                <w:color w:val="000000" w:themeColor="text1"/>
                <w:sz w:val="24"/>
                <w:szCs w:val="24"/>
                <w:highlight w:val="none"/>
                <w:lang w:eastAsia="zh-CN"/>
                <w14:textFill>
                  <w14:solidFill>
                    <w14:schemeClr w14:val="tx1"/>
                  </w14:solidFill>
                </w14:textFill>
              </w:rPr>
              <w:t xml:space="preserve">、《建设项目竣工环境保护验收技术指南 污染影响类》（生态环境部办公厅 2018 </w:t>
            </w:r>
            <w:r>
              <w:rPr>
                <w:rFonts w:hint="eastAsia" w:eastAsia="宋体"/>
                <w:color w:val="000000" w:themeColor="text1"/>
                <w:sz w:val="24"/>
                <w:szCs w:val="24"/>
                <w:highlight w:val="none"/>
                <w:lang w:eastAsia="zh-CN"/>
                <w14:textFill>
                  <w14:solidFill>
                    <w14:schemeClr w14:val="tx1"/>
                  </w14:solidFill>
                </w14:textFill>
              </w:rPr>
              <w:t>年</w:t>
            </w:r>
            <w:r>
              <w:rPr>
                <w:rFonts w:hint="default" w:eastAsia="宋体"/>
                <w:color w:val="000000" w:themeColor="text1"/>
                <w:sz w:val="24"/>
                <w:szCs w:val="24"/>
                <w:highlight w:val="none"/>
                <w:lang w:eastAsia="zh-CN"/>
                <w14:textFill>
                  <w14:solidFill>
                    <w14:schemeClr w14:val="tx1"/>
                  </w14:solidFill>
                </w14:textFill>
              </w:rPr>
              <w:t>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w:t>
            </w:r>
          </w:p>
          <w:p w14:paraId="6AFD9F60">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r>
    </w:tbl>
    <w:p w14:paraId="56CA18D7">
      <w:p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0A4F278B">
      <w:pPr>
        <w:pStyle w:val="40"/>
        <w:spacing w:before="0" w:beforeAutospacing="0" w:after="0" w:afterAutospacing="0"/>
        <w:jc w:val="center"/>
        <w:outlineLvl w:val="0"/>
        <w:rPr>
          <w:b/>
          <w:snapToGrid w:val="0"/>
          <w:sz w:val="30"/>
          <w:szCs w:val="30"/>
        </w:rPr>
      </w:pPr>
      <w:bookmarkStart w:id="18" w:name="_Toc69399406"/>
      <w:r>
        <w:rPr>
          <w:rFonts w:hint="eastAsia"/>
          <w:b/>
          <w:snapToGrid w:val="0"/>
          <w:sz w:val="30"/>
          <w:szCs w:val="30"/>
        </w:rPr>
        <w:t>五、</w:t>
      </w:r>
      <w:bookmarkStart w:id="19" w:name="_Hlk54167917"/>
      <w:r>
        <w:rPr>
          <w:rFonts w:hint="eastAsia"/>
          <w:b/>
          <w:snapToGrid w:val="0"/>
          <w:sz w:val="30"/>
          <w:szCs w:val="30"/>
        </w:rPr>
        <w:t>环境保护措施监督检查清单</w:t>
      </w:r>
      <w:bookmarkEnd w:id="18"/>
      <w:bookmarkEnd w:id="19"/>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31"/>
        <w:gridCol w:w="1223"/>
        <w:gridCol w:w="3615"/>
        <w:gridCol w:w="1686"/>
      </w:tblGrid>
      <w:tr w14:paraId="04B9F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tcBorders>
              <w:tl2br w:val="single" w:color="auto" w:sz="4" w:space="0"/>
            </w:tcBorders>
            <w:noWrap w:val="0"/>
            <w:vAlign w:val="center"/>
          </w:tcPr>
          <w:p w14:paraId="753027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内容</w:t>
            </w:r>
          </w:p>
          <w:p w14:paraId="489B2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要素</w:t>
            </w:r>
          </w:p>
        </w:tc>
        <w:tc>
          <w:tcPr>
            <w:tcW w:w="1631" w:type="dxa"/>
            <w:noWrap w:val="0"/>
            <w:vAlign w:val="center"/>
          </w:tcPr>
          <w:p w14:paraId="5FD8C1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排放口</w:t>
            </w:r>
            <w:r>
              <w:rPr>
                <w:rFonts w:hint="eastAsia" w:cs="Times New Roman"/>
                <w:color w:val="000000"/>
                <w:sz w:val="21"/>
                <w:szCs w:val="21"/>
                <w:lang w:eastAsia="zh-CN"/>
              </w:rPr>
              <w:t>（</w:t>
            </w:r>
            <w:r>
              <w:rPr>
                <w:rFonts w:hint="default" w:ascii="Times New Roman" w:hAnsi="Times New Roman" w:cs="Times New Roman"/>
                <w:color w:val="000000"/>
                <w:sz w:val="21"/>
                <w:szCs w:val="21"/>
              </w:rPr>
              <w:t>编号、</w:t>
            </w:r>
          </w:p>
          <w:p w14:paraId="4CAE9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名称</w:t>
            </w:r>
            <w:r>
              <w:rPr>
                <w:rFonts w:hint="eastAsia" w:cs="Times New Roman"/>
                <w:color w:val="000000"/>
                <w:sz w:val="21"/>
                <w:szCs w:val="21"/>
                <w:lang w:eastAsia="zh-CN"/>
              </w:rPr>
              <w:t>）</w:t>
            </w:r>
            <w:r>
              <w:rPr>
                <w:rFonts w:hint="default" w:ascii="Times New Roman" w:hAnsi="Times New Roman" w:cs="Times New Roman"/>
                <w:color w:val="000000"/>
                <w:sz w:val="21"/>
                <w:szCs w:val="21"/>
              </w:rPr>
              <w:t>/污染源</w:t>
            </w:r>
          </w:p>
        </w:tc>
        <w:tc>
          <w:tcPr>
            <w:tcW w:w="1223" w:type="dxa"/>
            <w:noWrap w:val="0"/>
            <w:vAlign w:val="center"/>
          </w:tcPr>
          <w:p w14:paraId="3859F3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污染物项目</w:t>
            </w:r>
          </w:p>
        </w:tc>
        <w:tc>
          <w:tcPr>
            <w:tcW w:w="3615" w:type="dxa"/>
            <w:noWrap w:val="0"/>
            <w:vAlign w:val="center"/>
          </w:tcPr>
          <w:p w14:paraId="1C4A8F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环境保护措施</w:t>
            </w:r>
          </w:p>
        </w:tc>
        <w:tc>
          <w:tcPr>
            <w:tcW w:w="1686" w:type="dxa"/>
            <w:noWrap w:val="0"/>
            <w:vAlign w:val="center"/>
          </w:tcPr>
          <w:p w14:paraId="283B3C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执行标准</w:t>
            </w:r>
          </w:p>
        </w:tc>
      </w:tr>
      <w:tr w14:paraId="631CA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restart"/>
            <w:noWrap w:val="0"/>
            <w:vAlign w:val="center"/>
          </w:tcPr>
          <w:p w14:paraId="6F2847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大气环境</w:t>
            </w:r>
          </w:p>
        </w:tc>
        <w:tc>
          <w:tcPr>
            <w:tcW w:w="1631" w:type="dxa"/>
            <w:noWrap w:val="0"/>
            <w:vAlign w:val="center"/>
          </w:tcPr>
          <w:p w14:paraId="243858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破碎扬尘</w:t>
            </w:r>
          </w:p>
        </w:tc>
        <w:tc>
          <w:tcPr>
            <w:tcW w:w="1223" w:type="dxa"/>
            <w:noWrap w:val="0"/>
            <w:vAlign w:val="center"/>
          </w:tcPr>
          <w:p w14:paraId="7FDA5F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颗粒物</w:t>
            </w:r>
          </w:p>
        </w:tc>
        <w:tc>
          <w:tcPr>
            <w:tcW w:w="3615" w:type="dxa"/>
            <w:noWrap w:val="0"/>
            <w:vAlign w:val="center"/>
          </w:tcPr>
          <w:p w14:paraId="42EC27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（1）破碎设备设置于全封闭厂房内；</w:t>
            </w:r>
          </w:p>
          <w:p w14:paraId="24BC2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（2）破碎口</w:t>
            </w:r>
            <w:r>
              <w:rPr>
                <w:rFonts w:hint="eastAsia" w:cs="Times New Roman"/>
                <w:color w:val="000000"/>
                <w:sz w:val="21"/>
                <w:szCs w:val="21"/>
                <w:lang w:eastAsia="zh-CN"/>
              </w:rPr>
              <w:t>设置</w:t>
            </w:r>
            <w:r>
              <w:rPr>
                <w:rFonts w:hint="default" w:ascii="Times New Roman" w:hAnsi="Times New Roman" w:cs="Times New Roman"/>
                <w:color w:val="000000"/>
                <w:sz w:val="21"/>
                <w:szCs w:val="21"/>
              </w:rPr>
              <w:t>固定喷淋设施；</w:t>
            </w:r>
          </w:p>
          <w:p w14:paraId="1E524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（3）控制磷石膏颗粒≤60mm。</w:t>
            </w:r>
          </w:p>
        </w:tc>
        <w:tc>
          <w:tcPr>
            <w:tcW w:w="1686" w:type="dxa"/>
            <w:vMerge w:val="restart"/>
            <w:noWrap w:val="0"/>
            <w:vAlign w:val="center"/>
          </w:tcPr>
          <w:p w14:paraId="675A7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eastAsia="宋体" w:cs="Times New Roman"/>
                <w:bCs/>
                <w:color w:val="auto"/>
                <w:sz w:val="21"/>
                <w:szCs w:val="21"/>
                <w:lang w:eastAsia="zh-CN"/>
              </w:rPr>
              <w:t>《大气污染物综合排放标准》（GB16297-1996）表2中无组织排放监控浓度限值</w:t>
            </w:r>
          </w:p>
        </w:tc>
      </w:tr>
      <w:tr w14:paraId="6BC4F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13EF08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p>
        </w:tc>
        <w:tc>
          <w:tcPr>
            <w:tcW w:w="1631" w:type="dxa"/>
            <w:noWrap w:val="0"/>
            <w:vAlign w:val="center"/>
          </w:tcPr>
          <w:p w14:paraId="05CE68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运输扬尘</w:t>
            </w:r>
          </w:p>
        </w:tc>
        <w:tc>
          <w:tcPr>
            <w:tcW w:w="1223" w:type="dxa"/>
            <w:noWrap w:val="0"/>
            <w:vAlign w:val="center"/>
          </w:tcPr>
          <w:p w14:paraId="21689D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颗粒物</w:t>
            </w:r>
          </w:p>
        </w:tc>
        <w:tc>
          <w:tcPr>
            <w:tcW w:w="3615" w:type="dxa"/>
            <w:noWrap w:val="0"/>
            <w:vAlign w:val="center"/>
          </w:tcPr>
          <w:p w14:paraId="6C2BE8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（2）运输车辆加盖篷布密闭运输，车速≤15km/h；</w:t>
            </w:r>
          </w:p>
          <w:p w14:paraId="0A8A6B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（3）运输道路每日洒水≥4次；</w:t>
            </w:r>
          </w:p>
        </w:tc>
        <w:tc>
          <w:tcPr>
            <w:tcW w:w="1686" w:type="dxa"/>
            <w:vMerge w:val="continue"/>
            <w:noWrap w:val="0"/>
            <w:vAlign w:val="center"/>
          </w:tcPr>
          <w:p w14:paraId="7AB296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p>
        </w:tc>
      </w:tr>
      <w:tr w14:paraId="12887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07F3AF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p>
        </w:tc>
        <w:tc>
          <w:tcPr>
            <w:tcW w:w="1631" w:type="dxa"/>
            <w:noWrap w:val="0"/>
            <w:vAlign w:val="center"/>
          </w:tcPr>
          <w:p w14:paraId="3E452B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改性投料、出料扬尘</w:t>
            </w:r>
          </w:p>
        </w:tc>
        <w:tc>
          <w:tcPr>
            <w:tcW w:w="1223" w:type="dxa"/>
            <w:noWrap w:val="0"/>
            <w:vAlign w:val="center"/>
          </w:tcPr>
          <w:p w14:paraId="6E04E1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颗粒物</w:t>
            </w:r>
          </w:p>
        </w:tc>
        <w:tc>
          <w:tcPr>
            <w:tcW w:w="3615" w:type="dxa"/>
            <w:noWrap w:val="0"/>
            <w:vAlign w:val="center"/>
          </w:tcPr>
          <w:p w14:paraId="6E9E12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（1）投料/出料口安装喷淋降尘设施；</w:t>
            </w:r>
          </w:p>
          <w:p w14:paraId="0D501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（2）改性车间全封闭（</w:t>
            </w:r>
            <w:r>
              <w:rPr>
                <w:rFonts w:hint="eastAsia" w:cs="Times New Roman"/>
                <w:color w:val="000000"/>
                <w:sz w:val="21"/>
                <w:szCs w:val="21"/>
                <w:lang w:eastAsia="zh-CN"/>
              </w:rPr>
              <w:t>1930</w:t>
            </w:r>
            <w:r>
              <w:rPr>
                <w:rFonts w:hint="default" w:ascii="Times New Roman" w:hAnsi="Times New Roman" w:cs="Times New Roman"/>
                <w:color w:val="000000"/>
                <w:sz w:val="21"/>
                <w:szCs w:val="21"/>
              </w:rPr>
              <w:t>m²钢结构厂房）</w:t>
            </w:r>
            <w:r>
              <w:rPr>
                <w:rFonts w:hint="eastAsia" w:cs="Times New Roman"/>
                <w:color w:val="000000"/>
                <w:sz w:val="21"/>
                <w:szCs w:val="21"/>
                <w:lang w:eastAsia="zh-CN"/>
              </w:rPr>
              <w:t>，</w:t>
            </w:r>
            <w:r>
              <w:rPr>
                <w:rFonts w:hint="eastAsia" w:cs="Times New Roman"/>
                <w:color w:val="000000"/>
                <w:sz w:val="21"/>
                <w:szCs w:val="21"/>
                <w:lang w:val="en-US" w:eastAsia="zh-CN"/>
              </w:rPr>
              <w:t>车间内安装喷雾降尘装置</w:t>
            </w:r>
            <w:r>
              <w:rPr>
                <w:rFonts w:hint="default" w:ascii="Times New Roman" w:hAnsi="Times New Roman" w:cs="Times New Roman"/>
                <w:color w:val="000000"/>
                <w:sz w:val="21"/>
                <w:szCs w:val="21"/>
              </w:rPr>
              <w:t>；</w:t>
            </w:r>
          </w:p>
          <w:p w14:paraId="10BCEF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（3）设备设置封闭外壳；</w:t>
            </w:r>
          </w:p>
        </w:tc>
        <w:tc>
          <w:tcPr>
            <w:tcW w:w="1686" w:type="dxa"/>
            <w:vMerge w:val="continue"/>
            <w:noWrap w:val="0"/>
            <w:vAlign w:val="center"/>
          </w:tcPr>
          <w:p w14:paraId="3130F0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p>
        </w:tc>
      </w:tr>
      <w:tr w14:paraId="72786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4EA25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p>
        </w:tc>
        <w:tc>
          <w:tcPr>
            <w:tcW w:w="1631" w:type="dxa"/>
            <w:noWrap w:val="0"/>
            <w:vAlign w:val="center"/>
          </w:tcPr>
          <w:p w14:paraId="416248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机械及汽车尾气</w:t>
            </w:r>
          </w:p>
        </w:tc>
        <w:tc>
          <w:tcPr>
            <w:tcW w:w="1223" w:type="dxa"/>
            <w:noWrap w:val="0"/>
            <w:vAlign w:val="center"/>
          </w:tcPr>
          <w:p w14:paraId="5DDFC0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颗粒物、NO</w:t>
            </w:r>
            <w:r>
              <w:rPr>
                <w:rFonts w:hint="default" w:ascii="Times New Roman" w:hAnsi="Times New Roman" w:cs="Times New Roman"/>
                <w:color w:val="000000"/>
                <w:kern w:val="0"/>
                <w:sz w:val="21"/>
                <w:szCs w:val="21"/>
                <w:vertAlign w:val="subscript"/>
              </w:rPr>
              <w:t>x</w:t>
            </w:r>
            <w:r>
              <w:rPr>
                <w:rFonts w:hint="default" w:ascii="Times New Roman" w:hAnsi="Times New Roman" w:cs="Times New Roman"/>
                <w:color w:val="000000"/>
                <w:kern w:val="0"/>
                <w:sz w:val="21"/>
                <w:szCs w:val="21"/>
              </w:rPr>
              <w:t>、SO</w:t>
            </w:r>
            <w:r>
              <w:rPr>
                <w:rFonts w:hint="default" w:ascii="Times New Roman" w:hAnsi="Times New Roman" w:cs="Times New Roman"/>
                <w:color w:val="000000"/>
                <w:kern w:val="0"/>
                <w:sz w:val="21"/>
                <w:szCs w:val="21"/>
                <w:vertAlign w:val="subscript"/>
              </w:rPr>
              <w:t>2</w:t>
            </w:r>
          </w:p>
        </w:tc>
        <w:tc>
          <w:tcPr>
            <w:tcW w:w="3615" w:type="dxa"/>
            <w:noWrap w:val="0"/>
            <w:vAlign w:val="center"/>
          </w:tcPr>
          <w:p w14:paraId="259F7C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（1）选用符合国六排放标准的柴油设备；</w:t>
            </w:r>
          </w:p>
          <w:p w14:paraId="0751D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（2）定期维护保养，保证设备良好工况；</w:t>
            </w:r>
          </w:p>
          <w:p w14:paraId="38D31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（3）严禁使用尾气超标车辆。</w:t>
            </w:r>
          </w:p>
        </w:tc>
        <w:tc>
          <w:tcPr>
            <w:tcW w:w="1686" w:type="dxa"/>
            <w:vMerge w:val="continue"/>
            <w:noWrap w:val="0"/>
            <w:vAlign w:val="center"/>
          </w:tcPr>
          <w:p w14:paraId="658B5A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p>
        </w:tc>
      </w:tr>
      <w:tr w14:paraId="5D302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restart"/>
            <w:noWrap w:val="0"/>
            <w:vAlign w:val="center"/>
          </w:tcPr>
          <w:p w14:paraId="7B96F4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水环境</w:t>
            </w:r>
          </w:p>
        </w:tc>
        <w:tc>
          <w:tcPr>
            <w:tcW w:w="1631" w:type="dxa"/>
            <w:noWrap w:val="0"/>
            <w:vAlign w:val="center"/>
          </w:tcPr>
          <w:p w14:paraId="12C2E1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洒水降尘废水</w:t>
            </w:r>
          </w:p>
        </w:tc>
        <w:tc>
          <w:tcPr>
            <w:tcW w:w="1223" w:type="dxa"/>
            <w:noWrap w:val="0"/>
            <w:vAlign w:val="center"/>
          </w:tcPr>
          <w:p w14:paraId="050005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3615" w:type="dxa"/>
            <w:noWrap w:val="0"/>
            <w:vAlign w:val="center"/>
          </w:tcPr>
          <w:p w14:paraId="667D9F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全部蒸发损耗，无废水产生。</w:t>
            </w:r>
          </w:p>
        </w:tc>
        <w:tc>
          <w:tcPr>
            <w:tcW w:w="1686" w:type="dxa"/>
            <w:noWrap w:val="0"/>
            <w:vAlign w:val="center"/>
          </w:tcPr>
          <w:p w14:paraId="2B82B9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不外排</w:t>
            </w:r>
          </w:p>
        </w:tc>
      </w:tr>
      <w:tr w14:paraId="30E2C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0BFB39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p>
        </w:tc>
        <w:tc>
          <w:tcPr>
            <w:tcW w:w="1631" w:type="dxa"/>
            <w:noWrap w:val="0"/>
            <w:vAlign w:val="center"/>
          </w:tcPr>
          <w:p w14:paraId="236EE0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lang w:val="en-US" w:eastAsia="zh-CN"/>
              </w:rPr>
              <w:t>初期</w:t>
            </w:r>
            <w:r>
              <w:rPr>
                <w:rFonts w:hint="default" w:ascii="Times New Roman" w:hAnsi="Times New Roman" w:cs="Times New Roman"/>
                <w:color w:val="000000"/>
                <w:sz w:val="21"/>
                <w:szCs w:val="21"/>
              </w:rPr>
              <w:t>雨水</w:t>
            </w:r>
          </w:p>
        </w:tc>
        <w:tc>
          <w:tcPr>
            <w:tcW w:w="1223" w:type="dxa"/>
            <w:noWrap w:val="0"/>
            <w:vAlign w:val="center"/>
          </w:tcPr>
          <w:p w14:paraId="5CF35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sz w:val="21"/>
                <w:szCs w:val="21"/>
              </w:rPr>
              <w:t>SS、氟化物</w:t>
            </w:r>
          </w:p>
        </w:tc>
        <w:tc>
          <w:tcPr>
            <w:tcW w:w="3615" w:type="dxa"/>
            <w:noWrap w:val="0"/>
            <w:vAlign w:val="center"/>
          </w:tcPr>
          <w:p w14:paraId="7C9EC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eastAsia" w:ascii="Times New Roman" w:hAnsi="Times New Roman" w:eastAsia="宋体" w:cs="Times New Roman"/>
                <w:color w:val="auto"/>
                <w:sz w:val="21"/>
                <w:szCs w:val="21"/>
                <w:lang w:eastAsia="zh-CN"/>
              </w:rPr>
              <w:t>初期雨水</w:t>
            </w:r>
            <w:r>
              <w:rPr>
                <w:rFonts w:hint="eastAsia" w:ascii="Times New Roman" w:hAnsi="Times New Roman" w:eastAsia="宋体" w:cs="Times New Roman"/>
                <w:color w:val="auto"/>
                <w:sz w:val="21"/>
                <w:szCs w:val="21"/>
                <w:lang w:val="en-US" w:eastAsia="zh-CN"/>
              </w:rPr>
              <w:t>收集于新建的280m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的初期雨水收集池内，</w:t>
            </w:r>
            <w:r>
              <w:rPr>
                <w:rFonts w:hint="default" w:ascii="Times New Roman" w:hAnsi="Times New Roman" w:eastAsia="宋体" w:cs="Times New Roman"/>
                <w:color w:val="auto"/>
                <w:sz w:val="21"/>
                <w:szCs w:val="21"/>
                <w:lang w:eastAsia="zh-CN"/>
              </w:rPr>
              <w:t>经沉淀</w:t>
            </w:r>
            <w:r>
              <w:rPr>
                <w:rFonts w:hint="eastAsia" w:ascii="Times New Roman" w:hAnsi="Times New Roman" w:eastAsia="宋体" w:cs="Times New Roman"/>
                <w:color w:val="auto"/>
                <w:sz w:val="21"/>
                <w:szCs w:val="21"/>
                <w:lang w:eastAsia="zh-CN"/>
              </w:rPr>
              <w:t>处理</w:t>
            </w:r>
            <w:r>
              <w:rPr>
                <w:rFonts w:hint="default" w:ascii="Times New Roman" w:hAnsi="Times New Roman" w:eastAsia="宋体" w:cs="Times New Roman"/>
                <w:color w:val="auto"/>
                <w:sz w:val="21"/>
                <w:szCs w:val="21"/>
                <w:lang w:eastAsia="zh-CN"/>
              </w:rPr>
              <w:t>后</w:t>
            </w:r>
            <w:r>
              <w:rPr>
                <w:rFonts w:hint="eastAsia" w:ascii="Times New Roman" w:hAnsi="Times New Roman" w:eastAsia="宋体" w:cs="Times New Roman"/>
                <w:color w:val="auto"/>
                <w:sz w:val="21"/>
                <w:szCs w:val="21"/>
                <w:lang w:eastAsia="zh-CN"/>
              </w:rPr>
              <w:t>回用于厂区降尘</w:t>
            </w:r>
          </w:p>
        </w:tc>
        <w:tc>
          <w:tcPr>
            <w:tcW w:w="1686" w:type="dxa"/>
            <w:noWrap w:val="0"/>
            <w:vAlign w:val="center"/>
          </w:tcPr>
          <w:p w14:paraId="0E39A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sz w:val="21"/>
                <w:szCs w:val="21"/>
              </w:rPr>
              <w:t>《城市污水再生利用 城市杂用水水质》（GB/T 18920-2020）</w:t>
            </w:r>
            <w:r>
              <w:rPr>
                <w:rFonts w:hint="eastAsia" w:cs="Times New Roman"/>
                <w:color w:val="000000"/>
                <w:sz w:val="21"/>
                <w:szCs w:val="21"/>
                <w:lang w:eastAsia="zh-CN"/>
              </w:rPr>
              <w:t>“</w:t>
            </w:r>
            <w:r>
              <w:rPr>
                <w:rFonts w:hint="default" w:ascii="Times New Roman" w:hAnsi="Times New Roman" w:cs="Times New Roman"/>
                <w:color w:val="000000"/>
                <w:sz w:val="21"/>
                <w:szCs w:val="21"/>
              </w:rPr>
              <w:t>道路清扫</w:t>
            </w:r>
            <w:r>
              <w:rPr>
                <w:rFonts w:hint="eastAsia" w:cs="Times New Roman"/>
                <w:color w:val="000000"/>
                <w:sz w:val="21"/>
                <w:szCs w:val="21"/>
                <w:lang w:eastAsia="zh-CN"/>
              </w:rPr>
              <w:t>”</w:t>
            </w:r>
            <w:r>
              <w:rPr>
                <w:rFonts w:hint="default" w:ascii="Times New Roman" w:hAnsi="Times New Roman" w:cs="Times New Roman"/>
                <w:color w:val="000000"/>
                <w:sz w:val="21"/>
                <w:szCs w:val="21"/>
              </w:rPr>
              <w:t>标准</w:t>
            </w:r>
          </w:p>
        </w:tc>
      </w:tr>
      <w:tr w14:paraId="71C4D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109433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p>
        </w:tc>
        <w:tc>
          <w:tcPr>
            <w:tcW w:w="1631" w:type="dxa"/>
            <w:noWrap w:val="0"/>
            <w:vAlign w:val="center"/>
          </w:tcPr>
          <w:p w14:paraId="0294B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车辆冲洗废水</w:t>
            </w:r>
          </w:p>
        </w:tc>
        <w:tc>
          <w:tcPr>
            <w:tcW w:w="1223" w:type="dxa"/>
            <w:noWrap w:val="0"/>
            <w:vAlign w:val="center"/>
          </w:tcPr>
          <w:p w14:paraId="4ED39C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SS</w:t>
            </w:r>
          </w:p>
        </w:tc>
        <w:tc>
          <w:tcPr>
            <w:tcW w:w="3615" w:type="dxa"/>
            <w:noWrap w:val="0"/>
            <w:vAlign w:val="center"/>
          </w:tcPr>
          <w:p w14:paraId="612C2E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设置沉淀池（5m³），废水沉淀后循环使用，定期补充损耗，不外排</w:t>
            </w:r>
          </w:p>
        </w:tc>
        <w:tc>
          <w:tcPr>
            <w:tcW w:w="1686" w:type="dxa"/>
            <w:noWrap w:val="0"/>
            <w:vAlign w:val="center"/>
          </w:tcPr>
          <w:p w14:paraId="19ABB2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不外排</w:t>
            </w:r>
          </w:p>
        </w:tc>
      </w:tr>
      <w:tr w14:paraId="43819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noWrap w:val="0"/>
            <w:vAlign w:val="center"/>
          </w:tcPr>
          <w:p w14:paraId="738C5C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声环境</w:t>
            </w:r>
          </w:p>
        </w:tc>
        <w:tc>
          <w:tcPr>
            <w:tcW w:w="1631" w:type="dxa"/>
            <w:noWrap w:val="0"/>
            <w:vAlign w:val="center"/>
          </w:tcPr>
          <w:p w14:paraId="197A0E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设备运行</w:t>
            </w:r>
          </w:p>
        </w:tc>
        <w:tc>
          <w:tcPr>
            <w:tcW w:w="1223" w:type="dxa"/>
            <w:noWrap w:val="0"/>
            <w:vAlign w:val="center"/>
          </w:tcPr>
          <w:p w14:paraId="40A3B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噪声</w:t>
            </w:r>
          </w:p>
        </w:tc>
        <w:tc>
          <w:tcPr>
            <w:tcW w:w="3615" w:type="dxa"/>
            <w:noWrap w:val="0"/>
            <w:vAlign w:val="center"/>
          </w:tcPr>
          <w:p w14:paraId="227B6D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（1）仅白天作业（08:00-18:00），夜间不作业；</w:t>
            </w:r>
          </w:p>
          <w:p w14:paraId="2BC417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（2）选用低噪声设备，设备基础减振；</w:t>
            </w:r>
          </w:p>
          <w:p w14:paraId="34E8D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（3）车辆限速15km/h，禁止鸣笛；</w:t>
            </w:r>
          </w:p>
          <w:p w14:paraId="5E1061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（4）高噪声设备远离敏感点布置。</w:t>
            </w:r>
          </w:p>
        </w:tc>
        <w:tc>
          <w:tcPr>
            <w:tcW w:w="1686" w:type="dxa"/>
            <w:noWrap w:val="0"/>
            <w:vAlign w:val="center"/>
          </w:tcPr>
          <w:p w14:paraId="364F6B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《工业企业厂界环境噪声排放标准》（GB12348-2008）2类</w:t>
            </w:r>
          </w:p>
        </w:tc>
      </w:tr>
      <w:tr w14:paraId="148B9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noWrap w:val="0"/>
            <w:vAlign w:val="center"/>
          </w:tcPr>
          <w:p w14:paraId="7E017D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电磁辐射</w:t>
            </w:r>
          </w:p>
        </w:tc>
        <w:tc>
          <w:tcPr>
            <w:tcW w:w="1631" w:type="dxa"/>
            <w:noWrap w:val="0"/>
            <w:vAlign w:val="center"/>
          </w:tcPr>
          <w:p w14:paraId="3ACECD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c>
          <w:tcPr>
            <w:tcW w:w="1223" w:type="dxa"/>
            <w:noWrap w:val="0"/>
            <w:vAlign w:val="center"/>
          </w:tcPr>
          <w:p w14:paraId="7445D5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c>
          <w:tcPr>
            <w:tcW w:w="3615" w:type="dxa"/>
            <w:noWrap w:val="0"/>
            <w:vAlign w:val="center"/>
          </w:tcPr>
          <w:p w14:paraId="332678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c>
          <w:tcPr>
            <w:tcW w:w="1686" w:type="dxa"/>
            <w:noWrap w:val="0"/>
            <w:vAlign w:val="center"/>
          </w:tcPr>
          <w:p w14:paraId="07806A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r>
      <w:tr w14:paraId="0A784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restart"/>
            <w:noWrap w:val="0"/>
            <w:vAlign w:val="center"/>
          </w:tcPr>
          <w:p w14:paraId="71BE67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固体废物</w:t>
            </w:r>
          </w:p>
        </w:tc>
        <w:tc>
          <w:tcPr>
            <w:tcW w:w="1631" w:type="dxa"/>
            <w:noWrap w:val="0"/>
            <w:vAlign w:val="center"/>
          </w:tcPr>
          <w:p w14:paraId="393796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生活垃圾</w:t>
            </w:r>
          </w:p>
        </w:tc>
        <w:tc>
          <w:tcPr>
            <w:tcW w:w="1223" w:type="dxa"/>
            <w:noWrap w:val="0"/>
            <w:vAlign w:val="center"/>
          </w:tcPr>
          <w:p w14:paraId="4E791C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一般固废</w:t>
            </w:r>
          </w:p>
        </w:tc>
        <w:tc>
          <w:tcPr>
            <w:tcW w:w="3615" w:type="dxa"/>
            <w:noWrap w:val="0"/>
            <w:vAlign w:val="center"/>
          </w:tcPr>
          <w:p w14:paraId="3D58F8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设置垃圾桶集中收集，委托环卫部门定期清运。</w:t>
            </w:r>
          </w:p>
        </w:tc>
        <w:tc>
          <w:tcPr>
            <w:tcW w:w="1686" w:type="dxa"/>
            <w:noWrap w:val="0"/>
            <w:vAlign w:val="center"/>
          </w:tcPr>
          <w:p w14:paraId="74E61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《一般工业固体废物贮存和填埋污染控制标准》（GB18599-2020）</w:t>
            </w:r>
          </w:p>
        </w:tc>
      </w:tr>
      <w:tr w14:paraId="402FD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7D63F3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p>
        </w:tc>
        <w:tc>
          <w:tcPr>
            <w:tcW w:w="1631" w:type="dxa"/>
            <w:noWrap w:val="0"/>
            <w:vAlign w:val="center"/>
          </w:tcPr>
          <w:p w14:paraId="4C93C5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不合格改性磷石膏</w:t>
            </w:r>
          </w:p>
        </w:tc>
        <w:tc>
          <w:tcPr>
            <w:tcW w:w="1223" w:type="dxa"/>
            <w:noWrap w:val="0"/>
            <w:vAlign w:val="center"/>
          </w:tcPr>
          <w:p w14:paraId="663AB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3615" w:type="dxa"/>
            <w:noWrap w:val="0"/>
            <w:vAlign w:val="center"/>
          </w:tcPr>
          <w:p w14:paraId="65912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检测不合格产品全部返回搅拌机重新改性，直至满足《改性磷石膏用于矿山废弃地生态修复回填技术规范》（DB53/T 1269-2024）要求，不作为固废外排。</w:t>
            </w:r>
          </w:p>
        </w:tc>
        <w:tc>
          <w:tcPr>
            <w:tcW w:w="1686" w:type="dxa"/>
            <w:noWrap w:val="0"/>
            <w:vAlign w:val="center"/>
          </w:tcPr>
          <w:p w14:paraId="6E2617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r>
      <w:tr w14:paraId="152F4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vMerge w:val="continue"/>
            <w:noWrap w:val="0"/>
            <w:vAlign w:val="center"/>
          </w:tcPr>
          <w:p w14:paraId="067239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p>
        </w:tc>
        <w:tc>
          <w:tcPr>
            <w:tcW w:w="1631" w:type="dxa"/>
            <w:noWrap w:val="0"/>
            <w:vAlign w:val="center"/>
          </w:tcPr>
          <w:p w14:paraId="5AB70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设备维修</w:t>
            </w:r>
          </w:p>
        </w:tc>
        <w:tc>
          <w:tcPr>
            <w:tcW w:w="1223" w:type="dxa"/>
            <w:noWrap w:val="0"/>
            <w:vAlign w:val="center"/>
          </w:tcPr>
          <w:p w14:paraId="6E75EA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废机油（HW08）</w:t>
            </w:r>
          </w:p>
        </w:tc>
        <w:tc>
          <w:tcPr>
            <w:tcW w:w="3615" w:type="dxa"/>
            <w:noWrap w:val="0"/>
            <w:vAlign w:val="center"/>
          </w:tcPr>
          <w:p w14:paraId="2C2021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①新建专用危废暂存间（重点防渗区），地面防渗防腐；②分类收集、专用容器盛装；③定期委托有资质单位处置；④建立台账，执行转移联单制度</w:t>
            </w:r>
          </w:p>
        </w:tc>
        <w:tc>
          <w:tcPr>
            <w:tcW w:w="1686" w:type="dxa"/>
            <w:noWrap w:val="0"/>
            <w:vAlign w:val="center"/>
          </w:tcPr>
          <w:p w14:paraId="58BF27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sz w:val="21"/>
                <w:szCs w:val="21"/>
              </w:rPr>
              <w:t>《危险废物贮存污染控制标准》（GB 18597-2023）</w:t>
            </w:r>
          </w:p>
        </w:tc>
      </w:tr>
      <w:tr w14:paraId="304DF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noWrap w:val="0"/>
            <w:vAlign w:val="center"/>
          </w:tcPr>
          <w:p w14:paraId="304A86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土壤及地下水污染防治措施</w:t>
            </w:r>
          </w:p>
        </w:tc>
        <w:tc>
          <w:tcPr>
            <w:tcW w:w="1631" w:type="dxa"/>
            <w:noWrap w:val="0"/>
            <w:vAlign w:val="center"/>
          </w:tcPr>
          <w:p w14:paraId="4C8B6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改性车间</w:t>
            </w:r>
            <w:r>
              <w:rPr>
                <w:rFonts w:hint="default" w:ascii="Times New Roman" w:hAnsi="Times New Roman" w:cs="Times New Roman"/>
                <w:color w:val="000000"/>
                <w:sz w:val="21"/>
                <w:szCs w:val="21"/>
                <w:lang w:eastAsia="zh-CN"/>
              </w:rPr>
              <w:t>、</w:t>
            </w:r>
            <w:r>
              <w:rPr>
                <w:rFonts w:hint="eastAsia" w:cs="Times New Roman"/>
                <w:color w:val="000000"/>
                <w:sz w:val="21"/>
                <w:szCs w:val="21"/>
                <w:lang w:val="en-US" w:eastAsia="zh-CN"/>
              </w:rPr>
              <w:t>待检区、</w:t>
            </w:r>
            <w:r>
              <w:rPr>
                <w:rFonts w:hint="default" w:ascii="Times New Roman" w:hAnsi="Times New Roman" w:cs="Times New Roman"/>
                <w:color w:val="000000"/>
                <w:sz w:val="21"/>
                <w:szCs w:val="21"/>
                <w:lang w:val="en-US" w:eastAsia="zh-CN"/>
              </w:rPr>
              <w:t>危废暂存间</w:t>
            </w:r>
            <w:r>
              <w:rPr>
                <w:rFonts w:hint="default" w:ascii="Times New Roman" w:hAnsi="Times New Roman" w:cs="Times New Roman"/>
                <w:color w:val="000000"/>
                <w:sz w:val="21"/>
                <w:szCs w:val="21"/>
              </w:rPr>
              <w:t>（重点防渗区）</w:t>
            </w:r>
            <w:r>
              <w:rPr>
                <w:rFonts w:hint="default" w:ascii="Times New Roman" w:hAnsi="Times New Roman" w:cs="Times New Roman"/>
                <w:color w:val="000000"/>
                <w:sz w:val="21"/>
                <w:szCs w:val="21"/>
                <w:lang w:eastAsia="zh-CN"/>
              </w:rPr>
              <w:t>：</w:t>
            </w:r>
          </w:p>
        </w:tc>
        <w:tc>
          <w:tcPr>
            <w:tcW w:w="1223" w:type="dxa"/>
            <w:noWrap w:val="0"/>
            <w:vAlign w:val="center"/>
          </w:tcPr>
          <w:p w14:paraId="745039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3615" w:type="dxa"/>
            <w:noWrap w:val="0"/>
            <w:vAlign w:val="center"/>
          </w:tcPr>
          <w:p w14:paraId="631FDB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粘土压实层（≥0.75 m，K≤1×10⁻⁷ cm/s）+C30混凝土（300 mm，P8）</w:t>
            </w:r>
          </w:p>
        </w:tc>
        <w:tc>
          <w:tcPr>
            <w:tcW w:w="1686" w:type="dxa"/>
            <w:noWrap w:val="0"/>
            <w:vAlign w:val="center"/>
          </w:tcPr>
          <w:p w14:paraId="63FA91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rPr>
              <w:t>《一般工业固体废物贮存和填埋污染控制标准》（GB18599-2020）</w:t>
            </w:r>
          </w:p>
        </w:tc>
      </w:tr>
      <w:tr w14:paraId="75523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noWrap w:val="0"/>
            <w:vAlign w:val="center"/>
          </w:tcPr>
          <w:p w14:paraId="323CC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pacing w:val="-8"/>
                <w:kern w:val="0"/>
                <w:sz w:val="21"/>
                <w:szCs w:val="21"/>
              </w:rPr>
            </w:pPr>
            <w:r>
              <w:rPr>
                <w:rFonts w:hint="default" w:ascii="Times New Roman" w:hAnsi="Times New Roman" w:cs="Times New Roman"/>
                <w:color w:val="000000"/>
                <w:spacing w:val="-8"/>
                <w:kern w:val="0"/>
                <w:sz w:val="21"/>
                <w:szCs w:val="21"/>
              </w:rPr>
              <w:t>环境风险防范措施</w:t>
            </w:r>
          </w:p>
        </w:tc>
        <w:tc>
          <w:tcPr>
            <w:tcW w:w="8155" w:type="dxa"/>
            <w:gridSpan w:val="4"/>
            <w:noWrap w:val="0"/>
            <w:vAlign w:val="center"/>
          </w:tcPr>
          <w:p w14:paraId="12A234A8">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项目危险物质</w:t>
            </w:r>
            <w:r>
              <w:rPr>
                <w:rFonts w:hint="eastAsia" w:ascii="Times New Roman" w:hAnsi="Times New Roman" w:eastAsia="宋体" w:cs="Times New Roman"/>
                <w:color w:val="auto"/>
                <w:sz w:val="21"/>
                <w:szCs w:val="21"/>
                <w:lang w:eastAsia="zh-CN"/>
              </w:rPr>
              <w:t>为废机油、废含油手套及抹布</w:t>
            </w:r>
            <w:r>
              <w:rPr>
                <w:rFonts w:hint="default" w:ascii="Times New Roman" w:hAnsi="Times New Roman" w:eastAsia="宋体" w:cs="Times New Roman"/>
                <w:color w:val="auto"/>
                <w:sz w:val="21"/>
                <w:szCs w:val="21"/>
                <w:lang w:eastAsia="zh-CN"/>
              </w:rPr>
              <w:t>，为了防止生产中出现危险，项目防范措施如下：</w:t>
            </w:r>
          </w:p>
          <w:p w14:paraId="73CAD031">
            <w:pPr>
              <w:keepNext w:val="0"/>
              <w:keepLines w:val="0"/>
              <w:suppressLineNumbers w:val="0"/>
              <w:kinsoku/>
              <w:overflowPunct w:val="0"/>
              <w:autoSpaceDE/>
              <w:autoSpaceDN/>
              <w:adjustRightInd/>
              <w:snapToGrid/>
              <w:spacing w:before="0" w:beforeAutospacing="0" w:after="0" w:afterAutospacing="0"/>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①定期检查废机油储存罐体是否完好，如出现损坏需及时更换和维修</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及时收集</w:t>
            </w:r>
            <w:r>
              <w:rPr>
                <w:rFonts w:hint="default" w:ascii="Times New Roman" w:hAnsi="Times New Roman" w:eastAsia="宋体" w:cs="Times New Roman"/>
                <w:color w:val="auto"/>
                <w:sz w:val="21"/>
                <w:szCs w:val="21"/>
                <w:lang w:eastAsia="zh-CN"/>
              </w:rPr>
              <w:t>废含油手套及抹布。</w:t>
            </w:r>
          </w:p>
          <w:p w14:paraId="46A1ECB9">
            <w:pPr>
              <w:keepNext w:val="0"/>
              <w:keepLines w:val="0"/>
              <w:suppressLineNumbers w:val="0"/>
              <w:kinsoku/>
              <w:overflowPunct w:val="0"/>
              <w:autoSpaceDE/>
              <w:autoSpaceDN/>
              <w:adjustRightInd/>
              <w:snapToGrid/>
              <w:spacing w:before="0" w:beforeAutospacing="0" w:after="0" w:afterAutospacing="0"/>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②定期检查危废贮存库地面及</w:t>
            </w:r>
            <w:r>
              <w:rPr>
                <w:rFonts w:hint="eastAsia" w:ascii="Times New Roman" w:hAnsi="Times New Roman" w:eastAsia="宋体" w:cs="Times New Roman"/>
                <w:color w:val="auto"/>
                <w:sz w:val="21"/>
                <w:szCs w:val="21"/>
                <w:lang w:eastAsia="zh-CN"/>
              </w:rPr>
              <w:t>围堰</w:t>
            </w:r>
            <w:r>
              <w:rPr>
                <w:rFonts w:hint="default" w:ascii="Times New Roman" w:hAnsi="Times New Roman" w:eastAsia="宋体" w:cs="Times New Roman"/>
                <w:color w:val="auto"/>
                <w:sz w:val="21"/>
                <w:szCs w:val="21"/>
                <w:lang w:eastAsia="zh-CN"/>
              </w:rPr>
              <w:t>是否完好，如出现破损需及时修补，以保证达到重点防渗要求。</w:t>
            </w:r>
          </w:p>
          <w:p w14:paraId="4D035809">
            <w:pPr>
              <w:keepNext w:val="0"/>
              <w:keepLines w:val="0"/>
              <w:suppressLineNumbers w:val="0"/>
              <w:kinsoku/>
              <w:overflowPunct w:val="0"/>
              <w:autoSpaceDE/>
              <w:autoSpaceDN/>
              <w:adjustRightInd/>
              <w:snapToGrid/>
              <w:spacing w:before="0" w:beforeAutospacing="0" w:after="0" w:afterAutospacing="0"/>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③加强火源管理，杜绝火种，严禁闲杂人员入内；设置醒目的防火、禁止吸烟及明火标志，危废贮存库禁止一切火源（包括高热源）。</w:t>
            </w:r>
          </w:p>
          <w:p w14:paraId="14554184">
            <w:pPr>
              <w:keepNext w:val="0"/>
              <w:keepLines w:val="0"/>
              <w:suppressLineNumbers w:val="0"/>
              <w:kinsoku/>
              <w:overflowPunct w:val="0"/>
              <w:autoSpaceDE/>
              <w:autoSpaceDN/>
              <w:adjustRightInd/>
              <w:snapToGrid/>
              <w:spacing w:before="0" w:beforeAutospacing="0" w:after="0" w:afterAutospacing="0"/>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④在场内区内配备相应的灭火器材，且确保数量和质量上过关。</w:t>
            </w:r>
          </w:p>
          <w:p w14:paraId="25BF1C2D">
            <w:pPr>
              <w:keepNext w:val="0"/>
              <w:keepLines w:val="0"/>
              <w:suppressLineNumbers w:val="0"/>
              <w:kinsoku/>
              <w:overflowPunct w:val="0"/>
              <w:autoSpaceDE/>
              <w:autoSpaceDN/>
              <w:adjustRightInd/>
              <w:snapToGrid/>
              <w:spacing w:before="0" w:beforeAutospacing="0" w:after="0" w:afterAutospacing="0"/>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⑤工作人员要熟练掌握操作技术和防火安全管理规定。</w:t>
            </w:r>
          </w:p>
          <w:p w14:paraId="2FA8BF2B">
            <w:pPr>
              <w:keepNext w:val="0"/>
              <w:keepLines w:val="0"/>
              <w:suppressLineNumbers w:val="0"/>
              <w:kinsoku/>
              <w:overflowPunct w:val="0"/>
              <w:autoSpaceDE/>
              <w:autoSpaceDN/>
              <w:adjustRightInd/>
              <w:snapToGrid/>
              <w:spacing w:before="0" w:beforeAutospacing="0" w:after="0" w:afterAutospacing="0"/>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⑥制定灭火和应急疏散预案，同时设置安全疏散通道。灭火器应布置在明显便于取用的地方，并定期维护检查，确保能正常使用。</w:t>
            </w:r>
          </w:p>
          <w:p w14:paraId="77BA9FC5">
            <w:pPr>
              <w:keepNext w:val="0"/>
              <w:keepLines w:val="0"/>
              <w:suppressLineNumbers w:val="0"/>
              <w:kinsoku/>
              <w:overflowPunct w:val="0"/>
              <w:autoSpaceDE/>
              <w:autoSpaceDN/>
              <w:adjustRightInd/>
              <w:snapToGrid/>
              <w:spacing w:before="0" w:beforeAutospacing="0" w:after="0" w:afterAutospacing="0"/>
              <w:ind w:left="0" w:right="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⑦制定和落实防火安全责任制及消防安全规章制度，除加强对员工的消防知识培训，对消防安全责任人及员工也定期进行消防知识培训，消防安全管理人员持证上岗。</w:t>
            </w:r>
          </w:p>
          <w:p w14:paraId="2740A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eastAsia="宋体" w:cs="Times New Roman"/>
                <w:color w:val="auto"/>
                <w:sz w:val="21"/>
                <w:szCs w:val="21"/>
                <w:lang w:eastAsia="zh-CN"/>
              </w:rPr>
              <w:t>⑧如果发生火灾，应迅速撤离人员至上风处，禁止无关人员进入污染区。</w:t>
            </w:r>
          </w:p>
        </w:tc>
      </w:tr>
      <w:tr w14:paraId="279A2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dxa"/>
            <w:noWrap w:val="0"/>
            <w:vAlign w:val="center"/>
          </w:tcPr>
          <w:p w14:paraId="34B68D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spacing w:val="-8"/>
                <w:kern w:val="0"/>
                <w:sz w:val="21"/>
                <w:szCs w:val="21"/>
              </w:rPr>
            </w:pPr>
            <w:r>
              <w:rPr>
                <w:rFonts w:hint="default" w:ascii="Times New Roman" w:hAnsi="Times New Roman" w:cs="Times New Roman"/>
                <w:color w:val="000000"/>
                <w:spacing w:val="-8"/>
                <w:kern w:val="0"/>
                <w:sz w:val="21"/>
                <w:szCs w:val="21"/>
              </w:rPr>
              <w:t>其他环境管理要求</w:t>
            </w:r>
          </w:p>
        </w:tc>
        <w:tc>
          <w:tcPr>
            <w:tcW w:w="8155" w:type="dxa"/>
            <w:gridSpan w:val="4"/>
            <w:noWrap w:val="0"/>
            <w:vAlign w:val="center"/>
          </w:tcPr>
          <w:p w14:paraId="6FCF86FD">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bCs/>
                <w:color w:val="auto"/>
                <w:sz w:val="21"/>
                <w:szCs w:val="21"/>
                <w:lang w:eastAsia="zh-CN"/>
              </w:rPr>
              <w:t>1</w:t>
            </w:r>
            <w:r>
              <w:rPr>
                <w:rFonts w:hint="eastAsia" w:ascii="Times New Roman" w:hAnsi="Times New Roman" w:eastAsia="宋体" w:cs="Times New Roman"/>
                <w:b/>
                <w:bCs/>
                <w:color w:val="auto"/>
                <w:sz w:val="21"/>
                <w:szCs w:val="21"/>
                <w:lang w:eastAsia="zh-CN"/>
              </w:rPr>
              <w:t>、排</w:t>
            </w:r>
            <w:r>
              <w:rPr>
                <w:rFonts w:hint="default" w:ascii="Times New Roman" w:hAnsi="Times New Roman" w:eastAsia="宋体" w:cs="Times New Roman"/>
                <w:b/>
                <w:bCs/>
                <w:color w:val="auto"/>
                <w:sz w:val="21"/>
                <w:szCs w:val="21"/>
                <w:lang w:eastAsia="zh-CN"/>
              </w:rPr>
              <w:t>污许可证申报及排污口信息</w:t>
            </w:r>
          </w:p>
          <w:p w14:paraId="01E3080D">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根据《固定污染源排污许可分类管理名录》（2019年版）第四条规定，新建排污单位应当在启动生产设施或者发生实际排污之前申请取得排污许可证或者填报排污登记表。</w:t>
            </w:r>
          </w:p>
          <w:p w14:paraId="7DB87C70">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项目需要申领排污许可证。</w:t>
            </w:r>
          </w:p>
          <w:p w14:paraId="48A08551">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bCs/>
                <w:color w:val="auto"/>
                <w:sz w:val="21"/>
                <w:szCs w:val="21"/>
                <w:lang w:eastAsia="zh-CN"/>
              </w:rPr>
              <w:t>2、运营期环境管理</w:t>
            </w:r>
          </w:p>
          <w:p w14:paraId="51274BA4">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（1）建立环境管理专业机构：组织</w:t>
            </w:r>
            <w:r>
              <w:rPr>
                <w:rFonts w:hint="eastAsia" w:ascii="Times New Roman" w:hAnsi="Times New Roman" w:eastAsia="宋体" w:cs="Times New Roman"/>
                <w:color w:val="auto"/>
                <w:sz w:val="21"/>
                <w:szCs w:val="21"/>
                <w:lang w:eastAsia="zh-CN"/>
              </w:rPr>
              <w:t>人员进行</w:t>
            </w:r>
            <w:r>
              <w:rPr>
                <w:rFonts w:hint="default" w:ascii="Times New Roman" w:hAnsi="Times New Roman" w:eastAsia="宋体" w:cs="Times New Roman"/>
                <w:color w:val="auto"/>
                <w:sz w:val="21"/>
                <w:szCs w:val="21"/>
                <w:lang w:eastAsia="zh-CN"/>
              </w:rPr>
              <w:t>环境保护专业技术培训，组织、配合有资质环境监测部门开展污染源监测，编制环境保护验收报告，</w:t>
            </w:r>
            <w:r>
              <w:rPr>
                <w:rFonts w:hint="eastAsia" w:ascii="Times New Roman" w:hAnsi="Times New Roman" w:eastAsia="宋体" w:cs="Times New Roman"/>
                <w:color w:val="auto"/>
                <w:sz w:val="21"/>
                <w:szCs w:val="21"/>
                <w:lang w:eastAsia="zh-CN"/>
              </w:rPr>
              <w:t>组织</w:t>
            </w:r>
            <w:r>
              <w:rPr>
                <w:rFonts w:hint="default" w:ascii="Times New Roman" w:hAnsi="Times New Roman" w:eastAsia="宋体" w:cs="Times New Roman"/>
                <w:color w:val="auto"/>
                <w:sz w:val="21"/>
                <w:szCs w:val="21"/>
                <w:lang w:eastAsia="zh-CN"/>
              </w:rPr>
              <w:t>工程竣工验收。</w:t>
            </w:r>
          </w:p>
          <w:p w14:paraId="6B8DBCE6">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（2）加强环保宣传，</w:t>
            </w:r>
            <w:r>
              <w:rPr>
                <w:rFonts w:hint="eastAsia" w:ascii="Times New Roman" w:hAnsi="Times New Roman" w:eastAsia="宋体" w:cs="Times New Roman"/>
                <w:color w:val="auto"/>
                <w:sz w:val="21"/>
                <w:szCs w:val="21"/>
                <w:lang w:eastAsia="zh-CN"/>
              </w:rPr>
              <w:t>增强</w:t>
            </w:r>
            <w:r>
              <w:rPr>
                <w:rFonts w:hint="default" w:ascii="Times New Roman" w:hAnsi="Times New Roman" w:eastAsia="宋体" w:cs="Times New Roman"/>
                <w:color w:val="auto"/>
                <w:sz w:val="21"/>
                <w:szCs w:val="21"/>
                <w:lang w:eastAsia="zh-CN"/>
              </w:rPr>
              <w:t>环境意识：加强对全厂职工环保</w:t>
            </w:r>
            <w:r>
              <w:rPr>
                <w:rFonts w:hint="eastAsia" w:ascii="Times New Roman" w:hAnsi="Times New Roman" w:eastAsia="宋体" w:cs="Times New Roman"/>
                <w:color w:val="auto"/>
                <w:sz w:val="21"/>
                <w:szCs w:val="21"/>
                <w:lang w:eastAsia="zh-CN"/>
              </w:rPr>
              <w:t>法律法规</w:t>
            </w:r>
            <w:r>
              <w:rPr>
                <w:rFonts w:hint="default" w:ascii="Times New Roman" w:hAnsi="Times New Roman" w:eastAsia="宋体" w:cs="Times New Roman"/>
                <w:color w:val="auto"/>
                <w:sz w:val="21"/>
                <w:szCs w:val="21"/>
                <w:lang w:eastAsia="zh-CN"/>
              </w:rPr>
              <w:t>宣传，</w:t>
            </w:r>
            <w:r>
              <w:rPr>
                <w:rFonts w:hint="eastAsia" w:ascii="Times New Roman" w:hAnsi="Times New Roman" w:eastAsia="宋体" w:cs="Times New Roman"/>
                <w:color w:val="auto"/>
                <w:sz w:val="21"/>
                <w:szCs w:val="21"/>
                <w:lang w:eastAsia="zh-CN"/>
              </w:rPr>
              <w:t>增强</w:t>
            </w:r>
            <w:r>
              <w:rPr>
                <w:rFonts w:hint="default" w:ascii="Times New Roman" w:hAnsi="Times New Roman" w:eastAsia="宋体" w:cs="Times New Roman"/>
                <w:color w:val="auto"/>
                <w:sz w:val="21"/>
                <w:szCs w:val="21"/>
                <w:lang w:eastAsia="zh-CN"/>
              </w:rPr>
              <w:t>全厂职工的环保意识，在实际生产中能自觉遵守国家有关的环保</w:t>
            </w:r>
            <w:r>
              <w:rPr>
                <w:rFonts w:hint="eastAsia" w:ascii="Times New Roman" w:hAnsi="Times New Roman" w:eastAsia="宋体" w:cs="Times New Roman"/>
                <w:color w:val="auto"/>
                <w:sz w:val="21"/>
                <w:szCs w:val="21"/>
                <w:lang w:eastAsia="zh-CN"/>
              </w:rPr>
              <w:t>法律法规</w:t>
            </w:r>
            <w:r>
              <w:rPr>
                <w:rFonts w:hint="default" w:ascii="Times New Roman" w:hAnsi="Times New Roman" w:eastAsia="宋体" w:cs="Times New Roman"/>
                <w:color w:val="auto"/>
                <w:sz w:val="21"/>
                <w:szCs w:val="21"/>
                <w:lang w:eastAsia="zh-CN"/>
              </w:rPr>
              <w:t>和企业内部制定的环保管理制度。</w:t>
            </w:r>
          </w:p>
          <w:p w14:paraId="3794BA18">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（3）建立健全环保管理规章制度和监督机制：建立健全有约束力的、奖惩分明的环保管理规章制度，完善环保指标的监督和考核机制。要做到有规必行，违规必罚。</w:t>
            </w:r>
          </w:p>
          <w:p w14:paraId="5FB3EBFB">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（4）严格遵守环保“三同时”规定：建设项目环保设施必须与主体工程同时设计，同时施工，同时投入运行。</w:t>
            </w:r>
          </w:p>
          <w:p w14:paraId="1470DE0B">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5）加强对环保设施的运行管理：项目在生产过程中应定岗定职，培训上岗。要严格按操作规程进行操作，必须保证污染治理设施的正常运行，从而确保污染物浓度及总量达标排放。定期对污染治理设施进行检修维护，以保证污染处理设施正常运转。</w:t>
            </w:r>
          </w:p>
          <w:p w14:paraId="49030803">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bCs/>
                <w:color w:val="auto"/>
                <w:sz w:val="21"/>
                <w:szCs w:val="21"/>
                <w:lang w:eastAsia="zh-CN"/>
              </w:rPr>
              <w:t>3、环境管理台账的要求</w:t>
            </w:r>
          </w:p>
          <w:p w14:paraId="145747E4">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根据《环境管理台账及排污许可证执行报告技术规范总则（试行）》（HJ944-2018）及相关法律法规和规范要求，本项目在运行过程中应落实环境管理台账记录制度，明确责任人和人员工作职责，包括台账的记录、整理、维护和管理等，并对台账的真实性、完整性和规范性负责。</w:t>
            </w:r>
          </w:p>
          <w:p w14:paraId="736D9F69">
            <w:pPr>
              <w:pStyle w:val="273"/>
              <w:keepNext w:val="0"/>
              <w:keepLines w:val="0"/>
              <w:suppressLineNumbers w:val="0"/>
              <w:kinsoku/>
              <w:overflowPunct w:val="0"/>
              <w:autoSpaceDE/>
              <w:autoSpaceDN/>
              <w:adjustRightInd/>
              <w:snapToGrid/>
              <w:spacing w:before="0" w:beforeAutospacing="0" w:after="0" w:afterAutospacing="0"/>
              <w:ind w:left="0" w:right="0"/>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4、突发环境事件应急预案</w:t>
            </w:r>
          </w:p>
          <w:p w14:paraId="1ACE80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cs="Times New Roman"/>
                <w:color w:val="000000"/>
                <w:kern w:val="0"/>
                <w:sz w:val="21"/>
                <w:szCs w:val="21"/>
              </w:rPr>
            </w:pPr>
            <w:r>
              <w:rPr>
                <w:rFonts w:hint="default" w:ascii="Times New Roman" w:hAnsi="Times New Roman" w:eastAsia="宋体" w:cs="Times New Roman"/>
                <w:color w:val="auto"/>
                <w:sz w:val="21"/>
                <w:szCs w:val="21"/>
                <w:lang w:eastAsia="zh-CN"/>
              </w:rPr>
              <w:t>对照《企业事业单位突发环境事件应急预案备案管理办法（试行）》（环发</w:t>
            </w:r>
            <w:r>
              <w:rPr>
                <w:rFonts w:hint="eastAsia" w:ascii="Times New Roman" w:hAnsi="Times New Roman" w:eastAsia="宋体" w:cs="Times New Roman"/>
                <w:color w:val="auto"/>
                <w:sz w:val="21"/>
                <w:szCs w:val="21"/>
                <w:lang w:eastAsia="zh-CN"/>
              </w:rPr>
              <w:t>〔2015〕4号</w:t>
            </w:r>
            <w:r>
              <w:rPr>
                <w:rFonts w:hint="default" w:ascii="Times New Roman" w:hAnsi="Times New Roman" w:eastAsia="宋体" w:cs="Times New Roman"/>
                <w:color w:val="auto"/>
                <w:sz w:val="21"/>
                <w:szCs w:val="21"/>
                <w:lang w:eastAsia="zh-CN"/>
              </w:rPr>
              <w:t>文）中的要求，编制突发环境事件应急预案并在当地环保部门备案</w:t>
            </w:r>
            <w:r>
              <w:rPr>
                <w:rFonts w:hint="eastAsia" w:ascii="Times New Roman" w:hAnsi="Times New Roman" w:eastAsia="宋体" w:cs="Times New Roman"/>
                <w:color w:val="auto"/>
                <w:sz w:val="21"/>
                <w:szCs w:val="21"/>
                <w:lang w:eastAsia="zh-CN"/>
              </w:rPr>
              <w:t>。</w:t>
            </w:r>
          </w:p>
        </w:tc>
      </w:tr>
    </w:tbl>
    <w:p w14:paraId="0DAD556B">
      <w:pPr>
        <w:pStyle w:val="40"/>
        <w:spacing w:before="0" w:beforeAutospacing="0" w:after="0" w:afterAutospacing="0"/>
        <w:jc w:val="center"/>
        <w:outlineLvl w:val="0"/>
        <w:rPr>
          <w:rFonts w:ascii="黑体" w:hAnsi="黑体" w:eastAsia="黑体"/>
          <w:snapToGrid w:val="0"/>
          <w:szCs w:val="30"/>
        </w:rPr>
      </w:pPr>
      <w:r>
        <w:rPr>
          <w:snapToGrid w:val="0"/>
        </w:rPr>
        <w:br w:type="page"/>
      </w:r>
      <w:bookmarkStart w:id="20" w:name="_Toc69399407"/>
      <w:r>
        <w:rPr>
          <w:rFonts w:hint="eastAsia"/>
          <w:b/>
          <w:snapToGrid w:val="0"/>
          <w:szCs w:val="30"/>
        </w:rPr>
        <w:t>六、结论</w:t>
      </w:r>
      <w:bookmarkEnd w:id="20"/>
    </w:p>
    <w:tbl>
      <w:tblPr>
        <w:tblStyle w:val="4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ABD4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49C0DF05">
            <w:pPr>
              <w:pStyle w:val="11"/>
              <w:keepNext w:val="0"/>
              <w:keepLines w:val="0"/>
              <w:suppressLineNumbers w:val="0"/>
              <w:spacing w:before="0" w:beforeAutospacing="0" w:after="0" w:afterAutospacing="0"/>
              <w:ind w:left="0" w:right="0"/>
              <w:rPr>
                <w:rFonts w:hint="default"/>
                <w:szCs w:val="20"/>
              </w:rPr>
            </w:pPr>
            <w:r>
              <w:rPr>
                <w:rFonts w:hint="eastAsia"/>
                <w:szCs w:val="20"/>
              </w:rPr>
              <w:t>本项目符合国家产业政策，项目选址不涉及自然保护区、水源保护区等环境敏感区，不占用生态红线、基本农田，与周围村庄等敏感目标距离较远，选址合理。建设单位在项目运营过程中应加强环境质量管理，认真落实环境保护措施，废水不外排、废气、噪声可以实现达标排放，固体废物处置可得到妥善处置，对环境影响较小，从环境保护角度分析，该项目的建设是可行的。</w:t>
            </w:r>
          </w:p>
        </w:tc>
      </w:tr>
    </w:tbl>
    <w:p w14:paraId="48BE47B9">
      <w:pPr>
        <w:rPr>
          <w:rFonts w:ascii="宋体"/>
        </w:rPr>
        <w:sectPr>
          <w:footerReference r:id="rId8" w:type="default"/>
          <w:footerReference r:id="rId9" w:type="even"/>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3A5D195B">
      <w:pPr>
        <w:pStyle w:val="40"/>
        <w:adjustRightInd w:val="0"/>
        <w:snapToGrid w:val="0"/>
        <w:spacing w:before="0" w:beforeAutospacing="0" w:after="0" w:afterAutospacing="0"/>
        <w:outlineLvl w:val="9"/>
        <w:rPr>
          <w:rFonts w:ascii="黑体" w:hAnsi="黑体" w:eastAsia="黑体"/>
          <w:snapToGrid w:val="0"/>
          <w:sz w:val="32"/>
          <w:szCs w:val="32"/>
        </w:rPr>
      </w:pPr>
      <w:bookmarkStart w:id="21" w:name="_Toc69399408"/>
      <w:bookmarkStart w:id="22" w:name="_Toc69399409"/>
      <w:r>
        <w:rPr>
          <w:rFonts w:hint="eastAsia" w:ascii="黑体" w:hAnsi="黑体" w:eastAsia="黑体"/>
          <w:snapToGrid w:val="0"/>
          <w:sz w:val="32"/>
          <w:szCs w:val="32"/>
        </w:rPr>
        <w:t>附表</w:t>
      </w:r>
      <w:bookmarkEnd w:id="21"/>
    </w:p>
    <w:p w14:paraId="4F3EE3B9">
      <w:pPr>
        <w:pStyle w:val="40"/>
        <w:adjustRightInd w:val="0"/>
        <w:snapToGrid w:val="0"/>
        <w:spacing w:before="0" w:beforeAutospacing="0" w:after="0" w:afterAutospacing="0"/>
        <w:jc w:val="center"/>
        <w:outlineLvl w:val="9"/>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bookmarkEnd w:id="22"/>
    </w:p>
    <w:tbl>
      <w:tblPr>
        <w:tblStyle w:val="4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941"/>
        <w:gridCol w:w="1895"/>
        <w:gridCol w:w="1290"/>
        <w:gridCol w:w="1605"/>
        <w:gridCol w:w="1631"/>
        <w:gridCol w:w="1606"/>
        <w:gridCol w:w="2131"/>
        <w:gridCol w:w="1101"/>
      </w:tblGrid>
      <w:tr w14:paraId="0AC3B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14:paraId="7E7A9694">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项目</w:t>
            </w:r>
          </w:p>
          <w:p w14:paraId="0CE66B9A">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分类</w:t>
            </w:r>
          </w:p>
        </w:tc>
        <w:tc>
          <w:tcPr>
            <w:tcW w:w="941" w:type="dxa"/>
            <w:noWrap w:val="0"/>
            <w:tcMar>
              <w:left w:w="28" w:type="dxa"/>
              <w:right w:w="28" w:type="dxa"/>
            </w:tcMar>
            <w:vAlign w:val="center"/>
          </w:tcPr>
          <w:p w14:paraId="61140A67">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污染物名称</w:t>
            </w:r>
          </w:p>
        </w:tc>
        <w:tc>
          <w:tcPr>
            <w:tcW w:w="1895" w:type="dxa"/>
            <w:noWrap w:val="0"/>
            <w:tcMar>
              <w:left w:w="28" w:type="dxa"/>
              <w:right w:w="28" w:type="dxa"/>
            </w:tcMar>
            <w:vAlign w:val="center"/>
          </w:tcPr>
          <w:p w14:paraId="726C601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现有工程</w:t>
            </w:r>
          </w:p>
          <w:p w14:paraId="7C8C6719">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排放量（固体废物产生量）</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1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①</w:t>
            </w:r>
            <w:r>
              <w:rPr>
                <w:rFonts w:hint="default" w:ascii="Times New Roman" w:hAnsi="Times New Roman" w:cs="Times New Roman"/>
                <w:sz w:val="24"/>
                <w:szCs w:val="24"/>
              </w:rPr>
              <w:fldChar w:fldCharType="end"/>
            </w:r>
          </w:p>
        </w:tc>
        <w:tc>
          <w:tcPr>
            <w:tcW w:w="1290" w:type="dxa"/>
            <w:noWrap w:val="0"/>
            <w:tcMar>
              <w:left w:w="28" w:type="dxa"/>
              <w:right w:w="28" w:type="dxa"/>
            </w:tcMar>
            <w:vAlign w:val="center"/>
          </w:tcPr>
          <w:p w14:paraId="5E7263C1">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现有工程</w:t>
            </w:r>
          </w:p>
          <w:p w14:paraId="4E70806B">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许可排放量</w:t>
            </w:r>
          </w:p>
          <w:p w14:paraId="7185FDB3">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2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②</w:t>
            </w:r>
            <w:r>
              <w:rPr>
                <w:rFonts w:hint="default" w:ascii="Times New Roman" w:hAnsi="Times New Roman" w:cs="Times New Roman"/>
                <w:sz w:val="24"/>
                <w:szCs w:val="24"/>
              </w:rPr>
              <w:fldChar w:fldCharType="end"/>
            </w:r>
          </w:p>
        </w:tc>
        <w:tc>
          <w:tcPr>
            <w:tcW w:w="1605" w:type="dxa"/>
            <w:noWrap w:val="0"/>
            <w:tcMar>
              <w:left w:w="28" w:type="dxa"/>
              <w:right w:w="28" w:type="dxa"/>
            </w:tcMar>
            <w:vAlign w:val="center"/>
          </w:tcPr>
          <w:p w14:paraId="0EF7F95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在建工程</w:t>
            </w:r>
          </w:p>
          <w:p w14:paraId="6DEFBFF2">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排放量（固体废物产生量）</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3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③</w:t>
            </w:r>
            <w:r>
              <w:rPr>
                <w:rFonts w:hint="default" w:ascii="Times New Roman" w:hAnsi="Times New Roman" w:cs="Times New Roman"/>
                <w:sz w:val="24"/>
                <w:szCs w:val="24"/>
              </w:rPr>
              <w:fldChar w:fldCharType="end"/>
            </w:r>
          </w:p>
        </w:tc>
        <w:tc>
          <w:tcPr>
            <w:tcW w:w="1631" w:type="dxa"/>
            <w:noWrap w:val="0"/>
            <w:tcMar>
              <w:left w:w="28" w:type="dxa"/>
              <w:right w:w="28" w:type="dxa"/>
            </w:tcMar>
            <w:vAlign w:val="center"/>
          </w:tcPr>
          <w:p w14:paraId="7CB5CA2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本项目</w:t>
            </w:r>
          </w:p>
          <w:p w14:paraId="67B4BA1A">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排放量（固体废物产生量）</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4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④</w:t>
            </w:r>
            <w:r>
              <w:rPr>
                <w:rFonts w:hint="default" w:ascii="Times New Roman" w:hAnsi="Times New Roman" w:cs="Times New Roman"/>
                <w:sz w:val="24"/>
                <w:szCs w:val="24"/>
              </w:rPr>
              <w:fldChar w:fldCharType="end"/>
            </w:r>
          </w:p>
        </w:tc>
        <w:tc>
          <w:tcPr>
            <w:tcW w:w="1606" w:type="dxa"/>
            <w:noWrap w:val="0"/>
            <w:tcMar>
              <w:left w:w="28" w:type="dxa"/>
              <w:right w:w="28" w:type="dxa"/>
            </w:tcMar>
            <w:vAlign w:val="center"/>
          </w:tcPr>
          <w:p w14:paraId="6E6F464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以新带老削减量</w:t>
            </w:r>
          </w:p>
          <w:p w14:paraId="4D97F8A8">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（新建项目不填）</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5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⑤</w:t>
            </w:r>
            <w:r>
              <w:rPr>
                <w:rFonts w:hint="default" w:ascii="Times New Roman" w:hAnsi="Times New Roman" w:cs="Times New Roman"/>
                <w:sz w:val="24"/>
                <w:szCs w:val="24"/>
              </w:rPr>
              <w:fldChar w:fldCharType="end"/>
            </w:r>
          </w:p>
        </w:tc>
        <w:tc>
          <w:tcPr>
            <w:tcW w:w="2131" w:type="dxa"/>
            <w:noWrap w:val="0"/>
            <w:tcMar>
              <w:left w:w="28" w:type="dxa"/>
              <w:right w:w="28" w:type="dxa"/>
            </w:tcMar>
            <w:vAlign w:val="center"/>
          </w:tcPr>
          <w:p w14:paraId="38644B6D">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本项目建成后</w:t>
            </w:r>
          </w:p>
          <w:p w14:paraId="704AACE8">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全厂排放量（固体废物产生量）</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6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⑥</w:t>
            </w:r>
            <w:r>
              <w:rPr>
                <w:rFonts w:hint="default" w:ascii="Times New Roman" w:hAnsi="Times New Roman" w:cs="Times New Roman"/>
                <w:sz w:val="24"/>
                <w:szCs w:val="24"/>
              </w:rPr>
              <w:fldChar w:fldCharType="end"/>
            </w:r>
          </w:p>
        </w:tc>
        <w:tc>
          <w:tcPr>
            <w:tcW w:w="1101" w:type="dxa"/>
            <w:noWrap w:val="0"/>
            <w:tcMar>
              <w:left w:w="28" w:type="dxa"/>
              <w:right w:w="28" w:type="dxa"/>
            </w:tcMar>
            <w:vAlign w:val="center"/>
          </w:tcPr>
          <w:p w14:paraId="162FC005">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变化量</w:t>
            </w:r>
          </w:p>
          <w:p w14:paraId="0B9E52AE">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7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⑦</w:t>
            </w:r>
            <w:r>
              <w:rPr>
                <w:rFonts w:hint="default" w:ascii="Times New Roman" w:hAnsi="Times New Roman" w:cs="Times New Roman"/>
                <w:sz w:val="24"/>
                <w:szCs w:val="24"/>
              </w:rPr>
              <w:fldChar w:fldCharType="end"/>
            </w:r>
          </w:p>
        </w:tc>
      </w:tr>
      <w:tr w14:paraId="3666B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6361DA30">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废气</w:t>
            </w:r>
          </w:p>
        </w:tc>
        <w:tc>
          <w:tcPr>
            <w:tcW w:w="941" w:type="dxa"/>
            <w:noWrap w:val="0"/>
            <w:vAlign w:val="center"/>
          </w:tcPr>
          <w:p w14:paraId="7AAAC20F">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颗粒物</w:t>
            </w:r>
          </w:p>
        </w:tc>
        <w:tc>
          <w:tcPr>
            <w:tcW w:w="1895" w:type="dxa"/>
            <w:noWrap w:val="0"/>
            <w:vAlign w:val="center"/>
          </w:tcPr>
          <w:p w14:paraId="6E07DE8A">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290" w:type="dxa"/>
            <w:noWrap w:val="0"/>
            <w:vAlign w:val="center"/>
          </w:tcPr>
          <w:p w14:paraId="74A7E1CE">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605" w:type="dxa"/>
            <w:noWrap w:val="0"/>
            <w:vAlign w:val="center"/>
          </w:tcPr>
          <w:p w14:paraId="15F1BBCA">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1631" w:type="dxa"/>
            <w:noWrap w:val="0"/>
            <w:vAlign w:val="center"/>
          </w:tcPr>
          <w:p w14:paraId="2CC13D8E">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cs="Times New Roman"/>
                <w:sz w:val="24"/>
                <w:szCs w:val="24"/>
                <w:lang w:val="en-US" w:eastAsia="zh-CN"/>
              </w:rPr>
              <w:t>11.898</w:t>
            </w:r>
            <w:r>
              <w:rPr>
                <w:rFonts w:hint="default" w:ascii="Times New Roman" w:hAnsi="Times New Roman" w:cs="Times New Roman"/>
                <w:sz w:val="24"/>
                <w:szCs w:val="24"/>
              </w:rPr>
              <w:t>t/a</w:t>
            </w:r>
          </w:p>
        </w:tc>
        <w:tc>
          <w:tcPr>
            <w:tcW w:w="1606" w:type="dxa"/>
            <w:noWrap w:val="0"/>
            <w:vAlign w:val="center"/>
          </w:tcPr>
          <w:p w14:paraId="36CB1F48">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131" w:type="dxa"/>
            <w:noWrap w:val="0"/>
            <w:vAlign w:val="center"/>
          </w:tcPr>
          <w:p w14:paraId="57B75C0E">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cs="Times New Roman"/>
                <w:sz w:val="24"/>
                <w:szCs w:val="24"/>
                <w:lang w:val="en-US" w:eastAsia="zh-CN"/>
              </w:rPr>
              <w:t>11.898</w:t>
            </w:r>
            <w:r>
              <w:rPr>
                <w:rFonts w:hint="default" w:ascii="Times New Roman" w:hAnsi="Times New Roman" w:cs="Times New Roman"/>
                <w:sz w:val="24"/>
                <w:szCs w:val="24"/>
              </w:rPr>
              <w:t>t/a</w:t>
            </w:r>
          </w:p>
        </w:tc>
        <w:tc>
          <w:tcPr>
            <w:tcW w:w="1101" w:type="dxa"/>
            <w:noWrap w:val="0"/>
            <w:vAlign w:val="center"/>
          </w:tcPr>
          <w:p w14:paraId="2BF429CD">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cs="Times New Roman"/>
                <w:sz w:val="24"/>
                <w:szCs w:val="24"/>
                <w:lang w:val="en-US" w:eastAsia="zh-CN"/>
              </w:rPr>
              <w:t>11.898</w:t>
            </w:r>
            <w:r>
              <w:rPr>
                <w:rFonts w:hint="default" w:ascii="Times New Roman" w:hAnsi="Times New Roman" w:cs="Times New Roman"/>
                <w:sz w:val="24"/>
                <w:szCs w:val="24"/>
              </w:rPr>
              <w:t>t/a</w:t>
            </w:r>
          </w:p>
        </w:tc>
      </w:tr>
      <w:tr w14:paraId="3C885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5A123AC9">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废水</w:t>
            </w:r>
          </w:p>
        </w:tc>
        <w:tc>
          <w:tcPr>
            <w:tcW w:w="941" w:type="dxa"/>
            <w:noWrap w:val="0"/>
            <w:vAlign w:val="center"/>
          </w:tcPr>
          <w:p w14:paraId="151D25DA">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895" w:type="dxa"/>
            <w:noWrap w:val="0"/>
            <w:vAlign w:val="center"/>
          </w:tcPr>
          <w:p w14:paraId="57F228E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290" w:type="dxa"/>
            <w:noWrap w:val="0"/>
            <w:vAlign w:val="center"/>
          </w:tcPr>
          <w:p w14:paraId="45897ADC">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5" w:type="dxa"/>
            <w:noWrap w:val="0"/>
            <w:vAlign w:val="center"/>
          </w:tcPr>
          <w:p w14:paraId="0599D7E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31" w:type="dxa"/>
            <w:noWrap w:val="0"/>
            <w:vAlign w:val="center"/>
          </w:tcPr>
          <w:p w14:paraId="73A5E1A3">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6" w:type="dxa"/>
            <w:noWrap w:val="0"/>
            <w:vAlign w:val="center"/>
          </w:tcPr>
          <w:p w14:paraId="6CD086E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2131" w:type="dxa"/>
            <w:noWrap w:val="0"/>
            <w:vAlign w:val="center"/>
          </w:tcPr>
          <w:p w14:paraId="4C1CB461">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101" w:type="dxa"/>
            <w:noWrap w:val="0"/>
            <w:vAlign w:val="center"/>
          </w:tcPr>
          <w:p w14:paraId="386A7FA4">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14:paraId="33159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5A309753">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一般工业</w:t>
            </w:r>
          </w:p>
          <w:p w14:paraId="05C308EF">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固体废物</w:t>
            </w:r>
          </w:p>
        </w:tc>
        <w:tc>
          <w:tcPr>
            <w:tcW w:w="941" w:type="dxa"/>
            <w:noWrap w:val="0"/>
            <w:vAlign w:val="center"/>
          </w:tcPr>
          <w:p w14:paraId="39BBBCC6">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color w:val="000000"/>
                <w:kern w:val="0"/>
                <w:sz w:val="24"/>
                <w:szCs w:val="24"/>
              </w:rPr>
              <w:t>生活垃圾</w:t>
            </w:r>
          </w:p>
        </w:tc>
        <w:tc>
          <w:tcPr>
            <w:tcW w:w="1895" w:type="dxa"/>
            <w:noWrap w:val="0"/>
            <w:vAlign w:val="center"/>
          </w:tcPr>
          <w:p w14:paraId="1D7F4902">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290" w:type="dxa"/>
            <w:noWrap w:val="0"/>
            <w:vAlign w:val="center"/>
          </w:tcPr>
          <w:p w14:paraId="0FE62C7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605" w:type="dxa"/>
            <w:noWrap w:val="0"/>
            <w:vAlign w:val="center"/>
          </w:tcPr>
          <w:p w14:paraId="24431D87">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631" w:type="dxa"/>
            <w:noWrap w:val="0"/>
            <w:vAlign w:val="center"/>
          </w:tcPr>
          <w:p w14:paraId="15C0401F">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1.2</w:t>
            </w:r>
            <w:r>
              <w:rPr>
                <w:rFonts w:hint="default" w:ascii="Times New Roman" w:hAnsi="Times New Roman" w:cs="Times New Roman"/>
                <w:sz w:val="24"/>
                <w:szCs w:val="24"/>
                <w:lang w:val="en-US" w:eastAsia="zh-CN"/>
              </w:rPr>
              <w:t>t/a</w:t>
            </w:r>
          </w:p>
        </w:tc>
        <w:tc>
          <w:tcPr>
            <w:tcW w:w="1606" w:type="dxa"/>
            <w:noWrap w:val="0"/>
            <w:vAlign w:val="center"/>
          </w:tcPr>
          <w:p w14:paraId="0CD8A04A">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2131" w:type="dxa"/>
            <w:noWrap w:val="0"/>
            <w:vAlign w:val="center"/>
          </w:tcPr>
          <w:p w14:paraId="60659CF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1.2</w:t>
            </w:r>
            <w:r>
              <w:rPr>
                <w:rFonts w:hint="default" w:ascii="Times New Roman" w:hAnsi="Times New Roman" w:cs="Times New Roman"/>
                <w:sz w:val="24"/>
                <w:szCs w:val="24"/>
                <w:lang w:val="en-US" w:eastAsia="zh-CN"/>
              </w:rPr>
              <w:t>t/a</w:t>
            </w:r>
          </w:p>
        </w:tc>
        <w:tc>
          <w:tcPr>
            <w:tcW w:w="1101" w:type="dxa"/>
            <w:noWrap w:val="0"/>
            <w:vAlign w:val="center"/>
          </w:tcPr>
          <w:p w14:paraId="3DA3107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w:t>
            </w:r>
            <w:r>
              <w:rPr>
                <w:rFonts w:hint="eastAsia" w:cs="Times New Roman"/>
                <w:sz w:val="24"/>
                <w:szCs w:val="24"/>
                <w:lang w:val="en-US" w:eastAsia="zh-CN"/>
              </w:rPr>
              <w:t>1.2</w:t>
            </w:r>
            <w:r>
              <w:rPr>
                <w:rFonts w:hint="default" w:ascii="Times New Roman" w:hAnsi="Times New Roman" w:cs="Times New Roman"/>
                <w:sz w:val="24"/>
                <w:szCs w:val="24"/>
                <w:lang w:val="en-US" w:eastAsia="zh-CN"/>
              </w:rPr>
              <w:t>t/a</w:t>
            </w:r>
          </w:p>
        </w:tc>
      </w:tr>
      <w:tr w14:paraId="38AD5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104B60C1">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941" w:type="dxa"/>
            <w:noWrap w:val="0"/>
            <w:vAlign w:val="center"/>
          </w:tcPr>
          <w:p w14:paraId="79E16094">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color w:val="000000"/>
                <w:sz w:val="24"/>
                <w:szCs w:val="24"/>
              </w:rPr>
              <w:t>不合格改性磷石膏</w:t>
            </w:r>
          </w:p>
        </w:tc>
        <w:tc>
          <w:tcPr>
            <w:tcW w:w="1895" w:type="dxa"/>
            <w:noWrap w:val="0"/>
            <w:vAlign w:val="center"/>
          </w:tcPr>
          <w:p w14:paraId="0991AE24">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1290" w:type="dxa"/>
            <w:noWrap w:val="0"/>
            <w:vAlign w:val="center"/>
          </w:tcPr>
          <w:p w14:paraId="7573C813">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1605" w:type="dxa"/>
            <w:noWrap w:val="0"/>
            <w:vAlign w:val="center"/>
          </w:tcPr>
          <w:p w14:paraId="65171E9A">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1631" w:type="dxa"/>
            <w:noWrap w:val="0"/>
            <w:vAlign w:val="center"/>
          </w:tcPr>
          <w:p w14:paraId="2E6A548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1606" w:type="dxa"/>
            <w:noWrap w:val="0"/>
            <w:vAlign w:val="center"/>
          </w:tcPr>
          <w:p w14:paraId="7D98A90C">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2131" w:type="dxa"/>
            <w:noWrap w:val="0"/>
            <w:vAlign w:val="center"/>
          </w:tcPr>
          <w:p w14:paraId="51544FF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1101" w:type="dxa"/>
            <w:noWrap w:val="0"/>
            <w:vAlign w:val="center"/>
          </w:tcPr>
          <w:p w14:paraId="11A3E67C">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14:paraId="7F984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0D8B5A1B">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危险废物</w:t>
            </w:r>
          </w:p>
        </w:tc>
        <w:tc>
          <w:tcPr>
            <w:tcW w:w="941" w:type="dxa"/>
            <w:noWrap w:val="0"/>
            <w:vAlign w:val="center"/>
          </w:tcPr>
          <w:p w14:paraId="51B63C67">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废机油</w:t>
            </w:r>
          </w:p>
        </w:tc>
        <w:tc>
          <w:tcPr>
            <w:tcW w:w="1895" w:type="dxa"/>
            <w:noWrap w:val="0"/>
            <w:vAlign w:val="center"/>
          </w:tcPr>
          <w:p w14:paraId="1AFF6E94">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290" w:type="dxa"/>
            <w:noWrap w:val="0"/>
            <w:vAlign w:val="center"/>
          </w:tcPr>
          <w:p w14:paraId="02367623">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605" w:type="dxa"/>
            <w:noWrap w:val="0"/>
            <w:vAlign w:val="center"/>
          </w:tcPr>
          <w:p w14:paraId="7A3180D7">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1631" w:type="dxa"/>
            <w:noWrap w:val="0"/>
            <w:vAlign w:val="center"/>
          </w:tcPr>
          <w:p w14:paraId="58D91A57">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0.002</w:t>
            </w:r>
          </w:p>
        </w:tc>
        <w:tc>
          <w:tcPr>
            <w:tcW w:w="1606" w:type="dxa"/>
            <w:noWrap w:val="0"/>
            <w:vAlign w:val="center"/>
          </w:tcPr>
          <w:p w14:paraId="40B2A652">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0</w:t>
            </w:r>
          </w:p>
        </w:tc>
        <w:tc>
          <w:tcPr>
            <w:tcW w:w="2131" w:type="dxa"/>
            <w:noWrap w:val="0"/>
            <w:vAlign w:val="center"/>
          </w:tcPr>
          <w:p w14:paraId="4068B169">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0.002</w:t>
            </w:r>
          </w:p>
        </w:tc>
        <w:tc>
          <w:tcPr>
            <w:tcW w:w="1101" w:type="dxa"/>
            <w:noWrap w:val="0"/>
            <w:vAlign w:val="center"/>
          </w:tcPr>
          <w:p w14:paraId="5DC8D858">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0.002</w:t>
            </w:r>
          </w:p>
        </w:tc>
      </w:tr>
    </w:tbl>
    <w:p w14:paraId="34A80E65">
      <w:pPr>
        <w:pStyle w:val="89"/>
        <w:spacing w:before="192" w:beforeLines="80" w:after="24"/>
        <w:jc w:val="left"/>
        <w:rPr>
          <w:rFonts w:eastAsia="黑体"/>
        </w:rPr>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p>
    <w:p w14:paraId="6FBD9395"/>
    <w:p w14:paraId="08764DCB"/>
    <w:p w14:paraId="4AF2F902"/>
    <w:p w14:paraId="6343B434"/>
    <w:p w14:paraId="4C51A079"/>
    <w:sectPr>
      <w:footerReference r:id="rId10"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ms Rmn">
    <w:altName w:val="Times New Roman"/>
    <w:panose1 w:val="02020603040505020304"/>
    <w:charset w:val="00"/>
    <w:family w:val="roman"/>
    <w:pitch w:val="default"/>
    <w:sig w:usb0="00000000" w:usb1="00000000" w:usb2="00000000" w:usb3="00000000" w:csb0="00000001" w:csb1="00000000"/>
  </w:font>
  <w:font w:name="華康中楷體">
    <w:altName w:val="Microsoft JhengHei"/>
    <w:panose1 w:val="00000000000000000000"/>
    <w:charset w:val="88"/>
    <w:family w:val="roma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2FF" w:usb1="420024FF" w:usb2="00000000" w:usb3="00000000" w:csb0="2000019F" w:csb1="00000000"/>
  </w:font>
  <w:font w:name="KaTeX_Math">
    <w:altName w:val="Segoe Print"/>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38F8">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B8E1">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F76A">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53 -</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C56DC">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54 -</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2D910">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173 -</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1055">
    <w:pPr>
      <w:pStyle w:val="2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174 -</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3938">
    <w:pPr>
      <w:pStyle w:val="28"/>
      <w:framePr w:wrap="around" w:vAnchor="text" w:hAnchor="margin" w:xAlign="outside" w:y="1"/>
      <w:rPr>
        <w:rStyle w:val="49"/>
        <w:sz w:val="28"/>
        <w:szCs w:val="28"/>
      </w:rPr>
    </w:pPr>
    <w:r>
      <w:rPr>
        <w:rStyle w:val="49"/>
        <w:sz w:val="28"/>
        <w:szCs w:val="28"/>
      </w:rPr>
      <w:t>—</w:t>
    </w:r>
    <w:r>
      <w:rPr>
        <w:rStyle w:val="49"/>
        <w:sz w:val="20"/>
      </w:rPr>
      <w:t xml:space="preserve">  </w:t>
    </w:r>
    <w:r>
      <w:rPr>
        <w:sz w:val="26"/>
        <w:szCs w:val="26"/>
      </w:rPr>
      <w:fldChar w:fldCharType="begin"/>
    </w:r>
    <w:r>
      <w:rPr>
        <w:rStyle w:val="49"/>
        <w:sz w:val="26"/>
        <w:szCs w:val="26"/>
      </w:rPr>
      <w:instrText xml:space="preserve">PAGE  </w:instrText>
    </w:r>
    <w:r>
      <w:rPr>
        <w:sz w:val="26"/>
        <w:szCs w:val="26"/>
      </w:rPr>
      <w:fldChar w:fldCharType="separate"/>
    </w:r>
    <w:r>
      <w:rPr>
        <w:rStyle w:val="49"/>
        <w:sz w:val="26"/>
        <w:szCs w:val="26"/>
      </w:rPr>
      <w:t>- 175 -</w:t>
    </w:r>
    <w:r>
      <w:rPr>
        <w:sz w:val="26"/>
        <w:szCs w:val="26"/>
      </w:rPr>
      <w:fldChar w:fldCharType="end"/>
    </w:r>
    <w:r>
      <w:rPr>
        <w:rStyle w:val="49"/>
        <w:sz w:val="20"/>
      </w:rPr>
      <w:t xml:space="preserve">  </w:t>
    </w:r>
    <w:r>
      <w:rPr>
        <w:rStyle w:val="49"/>
        <w:sz w:val="28"/>
        <w:szCs w:val="28"/>
      </w:rPr>
      <w:t>—</w:t>
    </w:r>
  </w:p>
  <w:p w14:paraId="5593B4E9">
    <w:pPr>
      <w:pStyle w:val="28"/>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59D2"/>
  <w:p w14:paraId="4E31B873">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5DFA"/>
    <w:multiLevelType w:val="singleLevel"/>
    <w:tmpl w:val="DFBE5DFA"/>
    <w:lvl w:ilvl="0" w:tentative="0">
      <w:start w:val="2"/>
      <w:numFmt w:val="chineseCounting"/>
      <w:suff w:val="nothing"/>
      <w:lvlText w:val="%1、"/>
      <w:lvlJc w:val="left"/>
      <w:rPr>
        <w:rFonts w:hint="eastAsia"/>
      </w:rPr>
    </w:lvl>
  </w:abstractNum>
  <w:abstractNum w:abstractNumId="1">
    <w:nsid w:val="057B6B10"/>
    <w:multiLevelType w:val="multilevel"/>
    <w:tmpl w:val="057B6B10"/>
    <w:lvl w:ilvl="0" w:tentative="0">
      <w:start w:val="3"/>
      <w:numFmt w:val="decimal"/>
      <w:pStyle w:val="245"/>
      <w:suff w:val="space"/>
      <w:lvlText w:val="%1"/>
      <w:lvlJc w:val="left"/>
      <w:pPr>
        <w:ind w:left="142" w:firstLine="0"/>
      </w:pPr>
      <w:rPr>
        <w:rFonts w:hint="default" w:ascii="Times New Roman" w:hAnsi="Times New Roman" w:eastAsia="黑体"/>
        <w:b w:val="0"/>
        <w:i w:val="0"/>
        <w:color w:val="auto"/>
        <w:sz w:val="30"/>
        <w:szCs w:val="30"/>
      </w:rPr>
    </w:lvl>
    <w:lvl w:ilvl="1" w:tentative="0">
      <w:start w:val="1"/>
      <w:numFmt w:val="decimal"/>
      <w:suff w:val="space"/>
      <w:lvlText w:val="%1.%2"/>
      <w:lvlJc w:val="left"/>
      <w:pPr>
        <w:ind w:left="284" w:firstLine="0"/>
      </w:pPr>
      <w:rPr>
        <w:rFonts w:hint="default" w:ascii="Times New Roman" w:hAnsi="Times New Roman" w:eastAsia="宋体"/>
        <w:b w:val="0"/>
        <w:i w:val="0"/>
        <w:sz w:val="28"/>
        <w:szCs w:val="28"/>
      </w:rPr>
    </w:lvl>
    <w:lvl w:ilvl="2" w:tentative="0">
      <w:start w:val="1"/>
      <w:numFmt w:val="decimal"/>
      <w:suff w:val="space"/>
      <w:lvlText w:val="%1.%2.%3"/>
      <w:lvlJc w:val="left"/>
      <w:pPr>
        <w:ind w:left="284" w:firstLine="0"/>
      </w:pPr>
      <w:rPr>
        <w:rFonts w:hint="default" w:ascii="Times New Roman" w:hAnsi="Times New Roman" w:eastAsia="宋体" w:cs="Times New Roman"/>
        <w:b w:val="0"/>
        <w:bCs w:val="0"/>
        <w:i w:val="0"/>
        <w:iCs w:val="0"/>
        <w:caps w:val="0"/>
        <w:smallCaps w:val="0"/>
        <w:strike w:val="0"/>
        <w:dstrike w:val="0"/>
        <w:outline w:val="0"/>
        <w:shadow w:val="0"/>
        <w:emboss w:val="0"/>
        <w:imprint w:val="0"/>
        <w:vanish w:val="0"/>
        <w:spacing w:val="0"/>
        <w:position w:val="0"/>
        <w:sz w:val="24"/>
        <w:szCs w:val="24"/>
        <w:u w:val="none"/>
        <w:vertAlign w:val="baseline"/>
      </w:rPr>
    </w:lvl>
    <w:lvl w:ilvl="3" w:tentative="0">
      <w:start w:val="1"/>
      <w:numFmt w:val="decimal"/>
      <w:suff w:val="space"/>
      <w:lvlText w:val="%1.%2.%3.%4"/>
      <w:lvlJc w:val="left"/>
      <w:pPr>
        <w:ind w:left="851" w:hanging="851"/>
      </w:pPr>
      <w:rPr>
        <w:rFonts w:hint="default" w:ascii="Times New Roman" w:hAnsi="Times New Roman" w:eastAsia="宋体" w:cs="Times New Roman"/>
        <w:b w:val="0"/>
        <w:bCs w:val="0"/>
        <w:i w:val="0"/>
        <w:iCs w:val="0"/>
        <w:caps w:val="0"/>
        <w:smallCaps w:val="0"/>
        <w:strike w:val="0"/>
        <w:dstrike w:val="0"/>
        <w:outline w:val="0"/>
        <w:shadow w:val="0"/>
        <w:emboss w:val="0"/>
        <w:imprint w:val="0"/>
        <w:vanish w:val="0"/>
        <w:spacing w:val="0"/>
        <w:position w:val="0"/>
        <w:sz w:val="24"/>
        <w:szCs w:val="24"/>
        <w:u w:val="none"/>
        <w:vertAlign w:val="baseline"/>
      </w:rPr>
    </w:lvl>
    <w:lvl w:ilvl="4" w:tentative="0">
      <w:start w:val="1"/>
      <w:numFmt w:val="decimal"/>
      <w:lvlRestart w:val="1"/>
      <w:isLgl/>
      <w:lvlText w:val="表%1-%5"/>
      <w:lvlJc w:val="center"/>
      <w:pPr>
        <w:tabs>
          <w:tab w:val="left" w:pos="227"/>
        </w:tabs>
        <w:ind w:left="0" w:firstLine="0"/>
      </w:pPr>
      <w:rPr>
        <w:rFonts w:hint="default" w:ascii="Times New Roman" w:hAnsi="Times New Roman"/>
        <w:b/>
        <w:bCs w:val="0"/>
        <w:i w:val="0"/>
        <w:iCs w:val="0"/>
        <w:caps w:val="0"/>
        <w:smallCaps w:val="0"/>
        <w:strike w:val="0"/>
        <w:dstrike w:val="0"/>
        <w:outline w:val="0"/>
        <w:shadow w:val="0"/>
        <w:emboss w:val="0"/>
        <w:imprint w:val="0"/>
        <w:vanish w:val="0"/>
        <w:spacing w:val="0"/>
        <w:position w:val="0"/>
        <w:u w:val="none"/>
        <w:vertAlign w:val="baseline"/>
        <w:lang w:val="en-US"/>
      </w:rPr>
    </w:lvl>
    <w:lvl w:ilvl="5" w:tentative="0">
      <w:start w:val="1"/>
      <w:numFmt w:val="decimal"/>
      <w:lvlRestart w:val="1"/>
      <w:isLgl/>
      <w:suff w:val="space"/>
      <w:lvlText w:val="图%1-%6"/>
      <w:lvlJc w:val="center"/>
      <w:pPr>
        <w:ind w:left="0" w:firstLine="288"/>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4"/>
        <w:szCs w:val="24"/>
        <w:u w:val="none"/>
        <w:vertAlign w:val="baseline"/>
      </w:rPr>
    </w:lvl>
    <w:lvl w:ilvl="6" w:tentative="0">
      <w:start w:val="1"/>
      <w:numFmt w:val="decimal"/>
      <w:lvlRestart w:val="4"/>
      <w:suff w:val="nothing"/>
      <w:lvlText w:val="（%7）"/>
      <w:lvlJc w:val="left"/>
      <w:pPr>
        <w:ind w:left="426" w:hanging="142"/>
      </w:pPr>
      <w:rPr>
        <w:rFonts w:hint="default" w:ascii="Times New Roman" w:hAnsi="Times New Roman" w:eastAsia="宋体"/>
        <w:b w:val="0"/>
        <w:i w:val="0"/>
        <w:sz w:val="24"/>
        <w:szCs w:val="24"/>
        <w:lang w:val="en-US"/>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AFBDCCE"/>
    <w:multiLevelType w:val="singleLevel"/>
    <w:tmpl w:val="6AFBDCC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YzAwNDVkOTRjNjUwNWNkZGEwYmM3NzQ2YWM0NjIifQ=="/>
    <w:docVar w:name="KSO_WPS_MARK_KEY" w:val="f30cdc46-5ebf-4afe-b807-815e7f9c5e05"/>
  </w:docVars>
  <w:rsids>
    <w:rsidRoot w:val="00172A27"/>
    <w:rsid w:val="000006BB"/>
    <w:rsid w:val="00000B8E"/>
    <w:rsid w:val="00001CD7"/>
    <w:rsid w:val="000021C4"/>
    <w:rsid w:val="000027EC"/>
    <w:rsid w:val="00004172"/>
    <w:rsid w:val="000041DB"/>
    <w:rsid w:val="00004FBB"/>
    <w:rsid w:val="00005204"/>
    <w:rsid w:val="000060B3"/>
    <w:rsid w:val="000063CE"/>
    <w:rsid w:val="000065F1"/>
    <w:rsid w:val="00007462"/>
    <w:rsid w:val="00011855"/>
    <w:rsid w:val="00011B49"/>
    <w:rsid w:val="00011F90"/>
    <w:rsid w:val="0001398C"/>
    <w:rsid w:val="000144D1"/>
    <w:rsid w:val="000164CC"/>
    <w:rsid w:val="00017890"/>
    <w:rsid w:val="00020E8E"/>
    <w:rsid w:val="00022807"/>
    <w:rsid w:val="000228A0"/>
    <w:rsid w:val="000244C4"/>
    <w:rsid w:val="00024789"/>
    <w:rsid w:val="00025279"/>
    <w:rsid w:val="000265D6"/>
    <w:rsid w:val="000267FD"/>
    <w:rsid w:val="00027BE0"/>
    <w:rsid w:val="00030917"/>
    <w:rsid w:val="000312C1"/>
    <w:rsid w:val="00032EF1"/>
    <w:rsid w:val="000338E5"/>
    <w:rsid w:val="0003577E"/>
    <w:rsid w:val="00035A86"/>
    <w:rsid w:val="00036773"/>
    <w:rsid w:val="000371A4"/>
    <w:rsid w:val="00037FFE"/>
    <w:rsid w:val="00040F3B"/>
    <w:rsid w:val="000424F8"/>
    <w:rsid w:val="00042DCA"/>
    <w:rsid w:val="00043103"/>
    <w:rsid w:val="0004364B"/>
    <w:rsid w:val="000436CD"/>
    <w:rsid w:val="000445A0"/>
    <w:rsid w:val="00044AE3"/>
    <w:rsid w:val="000454F3"/>
    <w:rsid w:val="00045687"/>
    <w:rsid w:val="00045C64"/>
    <w:rsid w:val="0004613D"/>
    <w:rsid w:val="0004642A"/>
    <w:rsid w:val="00046B77"/>
    <w:rsid w:val="000477C2"/>
    <w:rsid w:val="000478A1"/>
    <w:rsid w:val="000479E5"/>
    <w:rsid w:val="000479FA"/>
    <w:rsid w:val="00052A85"/>
    <w:rsid w:val="000533EB"/>
    <w:rsid w:val="00054903"/>
    <w:rsid w:val="00054D4D"/>
    <w:rsid w:val="000579D5"/>
    <w:rsid w:val="00060071"/>
    <w:rsid w:val="0006057D"/>
    <w:rsid w:val="000610B9"/>
    <w:rsid w:val="00061B1F"/>
    <w:rsid w:val="00062064"/>
    <w:rsid w:val="000622D8"/>
    <w:rsid w:val="000626DF"/>
    <w:rsid w:val="00065021"/>
    <w:rsid w:val="000655BE"/>
    <w:rsid w:val="0006791E"/>
    <w:rsid w:val="00070400"/>
    <w:rsid w:val="0007049A"/>
    <w:rsid w:val="00070E50"/>
    <w:rsid w:val="00071472"/>
    <w:rsid w:val="00071DE4"/>
    <w:rsid w:val="00071FCE"/>
    <w:rsid w:val="000733C4"/>
    <w:rsid w:val="0007360A"/>
    <w:rsid w:val="00073975"/>
    <w:rsid w:val="00073B0A"/>
    <w:rsid w:val="0007406D"/>
    <w:rsid w:val="00074783"/>
    <w:rsid w:val="00074C11"/>
    <w:rsid w:val="00075E46"/>
    <w:rsid w:val="00075FF4"/>
    <w:rsid w:val="000776DA"/>
    <w:rsid w:val="0008070B"/>
    <w:rsid w:val="000810AC"/>
    <w:rsid w:val="0008158F"/>
    <w:rsid w:val="0008159E"/>
    <w:rsid w:val="00081A02"/>
    <w:rsid w:val="00081B9F"/>
    <w:rsid w:val="00081C30"/>
    <w:rsid w:val="00081D4F"/>
    <w:rsid w:val="00082142"/>
    <w:rsid w:val="00082231"/>
    <w:rsid w:val="00082D18"/>
    <w:rsid w:val="00082EBB"/>
    <w:rsid w:val="000868E1"/>
    <w:rsid w:val="00086B71"/>
    <w:rsid w:val="000901D8"/>
    <w:rsid w:val="000903D1"/>
    <w:rsid w:val="00091A1D"/>
    <w:rsid w:val="00091B41"/>
    <w:rsid w:val="00091F53"/>
    <w:rsid w:val="00092659"/>
    <w:rsid w:val="00092CD6"/>
    <w:rsid w:val="00092D38"/>
    <w:rsid w:val="00092DC2"/>
    <w:rsid w:val="0009377B"/>
    <w:rsid w:val="00093C1B"/>
    <w:rsid w:val="00093D8E"/>
    <w:rsid w:val="00094165"/>
    <w:rsid w:val="000957AF"/>
    <w:rsid w:val="00095D89"/>
    <w:rsid w:val="00096258"/>
    <w:rsid w:val="0009759D"/>
    <w:rsid w:val="00097E67"/>
    <w:rsid w:val="000A03B4"/>
    <w:rsid w:val="000A20C9"/>
    <w:rsid w:val="000A2D73"/>
    <w:rsid w:val="000A37A1"/>
    <w:rsid w:val="000A3F47"/>
    <w:rsid w:val="000A40B5"/>
    <w:rsid w:val="000A4BBD"/>
    <w:rsid w:val="000A521F"/>
    <w:rsid w:val="000A58A6"/>
    <w:rsid w:val="000A5D9C"/>
    <w:rsid w:val="000A7054"/>
    <w:rsid w:val="000A7136"/>
    <w:rsid w:val="000B058F"/>
    <w:rsid w:val="000B179D"/>
    <w:rsid w:val="000B274C"/>
    <w:rsid w:val="000B30CA"/>
    <w:rsid w:val="000B4467"/>
    <w:rsid w:val="000B4DB0"/>
    <w:rsid w:val="000B4DB9"/>
    <w:rsid w:val="000B4FCF"/>
    <w:rsid w:val="000B5399"/>
    <w:rsid w:val="000B5C0F"/>
    <w:rsid w:val="000B5D39"/>
    <w:rsid w:val="000B5E2A"/>
    <w:rsid w:val="000B6CAE"/>
    <w:rsid w:val="000B7524"/>
    <w:rsid w:val="000B75BC"/>
    <w:rsid w:val="000C0670"/>
    <w:rsid w:val="000C09AC"/>
    <w:rsid w:val="000C0AE4"/>
    <w:rsid w:val="000C3914"/>
    <w:rsid w:val="000C3EAD"/>
    <w:rsid w:val="000C4BA1"/>
    <w:rsid w:val="000C5C9E"/>
    <w:rsid w:val="000C66A6"/>
    <w:rsid w:val="000C6EB0"/>
    <w:rsid w:val="000C767F"/>
    <w:rsid w:val="000C76E5"/>
    <w:rsid w:val="000C7918"/>
    <w:rsid w:val="000D03BA"/>
    <w:rsid w:val="000D0443"/>
    <w:rsid w:val="000D048D"/>
    <w:rsid w:val="000D0F97"/>
    <w:rsid w:val="000D1127"/>
    <w:rsid w:val="000D3349"/>
    <w:rsid w:val="000D4279"/>
    <w:rsid w:val="000D497C"/>
    <w:rsid w:val="000D4CC6"/>
    <w:rsid w:val="000D517B"/>
    <w:rsid w:val="000D5632"/>
    <w:rsid w:val="000D57E3"/>
    <w:rsid w:val="000D58D9"/>
    <w:rsid w:val="000D5A44"/>
    <w:rsid w:val="000D5C47"/>
    <w:rsid w:val="000D6DFA"/>
    <w:rsid w:val="000D72F9"/>
    <w:rsid w:val="000E0834"/>
    <w:rsid w:val="000E164A"/>
    <w:rsid w:val="000E3698"/>
    <w:rsid w:val="000E3ED2"/>
    <w:rsid w:val="000E455D"/>
    <w:rsid w:val="000E4850"/>
    <w:rsid w:val="000E4B8E"/>
    <w:rsid w:val="000E5220"/>
    <w:rsid w:val="000E68E4"/>
    <w:rsid w:val="000E69F1"/>
    <w:rsid w:val="000E6E63"/>
    <w:rsid w:val="000E7091"/>
    <w:rsid w:val="000E71DA"/>
    <w:rsid w:val="000F0064"/>
    <w:rsid w:val="000F032B"/>
    <w:rsid w:val="000F0885"/>
    <w:rsid w:val="000F0D5C"/>
    <w:rsid w:val="000F12E1"/>
    <w:rsid w:val="000F4258"/>
    <w:rsid w:val="000F43B5"/>
    <w:rsid w:val="000F5052"/>
    <w:rsid w:val="000F5E56"/>
    <w:rsid w:val="000F62FF"/>
    <w:rsid w:val="000F63F9"/>
    <w:rsid w:val="000F7119"/>
    <w:rsid w:val="000F748E"/>
    <w:rsid w:val="000F77C8"/>
    <w:rsid w:val="000F7E89"/>
    <w:rsid w:val="000F7FB1"/>
    <w:rsid w:val="001002C2"/>
    <w:rsid w:val="00100A80"/>
    <w:rsid w:val="00100EE9"/>
    <w:rsid w:val="001011E1"/>
    <w:rsid w:val="0010131D"/>
    <w:rsid w:val="00101965"/>
    <w:rsid w:val="001021E7"/>
    <w:rsid w:val="001046B4"/>
    <w:rsid w:val="00104B9E"/>
    <w:rsid w:val="00106071"/>
    <w:rsid w:val="00106950"/>
    <w:rsid w:val="0010762C"/>
    <w:rsid w:val="00110548"/>
    <w:rsid w:val="001105BD"/>
    <w:rsid w:val="00110951"/>
    <w:rsid w:val="00111129"/>
    <w:rsid w:val="001113BE"/>
    <w:rsid w:val="0011299F"/>
    <w:rsid w:val="00112B6A"/>
    <w:rsid w:val="00112F7F"/>
    <w:rsid w:val="00113076"/>
    <w:rsid w:val="0011309B"/>
    <w:rsid w:val="00114254"/>
    <w:rsid w:val="001156F2"/>
    <w:rsid w:val="00116F51"/>
    <w:rsid w:val="00117525"/>
    <w:rsid w:val="00117C19"/>
    <w:rsid w:val="00120B01"/>
    <w:rsid w:val="00122351"/>
    <w:rsid w:val="001227FE"/>
    <w:rsid w:val="00122BFC"/>
    <w:rsid w:val="00123034"/>
    <w:rsid w:val="00124E53"/>
    <w:rsid w:val="001268FC"/>
    <w:rsid w:val="001272ED"/>
    <w:rsid w:val="001305DB"/>
    <w:rsid w:val="00130BD9"/>
    <w:rsid w:val="00130F45"/>
    <w:rsid w:val="00131AB8"/>
    <w:rsid w:val="00131F42"/>
    <w:rsid w:val="001321D7"/>
    <w:rsid w:val="001324B8"/>
    <w:rsid w:val="0013254E"/>
    <w:rsid w:val="00132562"/>
    <w:rsid w:val="001327AB"/>
    <w:rsid w:val="00132F57"/>
    <w:rsid w:val="00133D74"/>
    <w:rsid w:val="001357F1"/>
    <w:rsid w:val="00135BEA"/>
    <w:rsid w:val="00136C67"/>
    <w:rsid w:val="00137883"/>
    <w:rsid w:val="001405AD"/>
    <w:rsid w:val="00140FA8"/>
    <w:rsid w:val="0014116E"/>
    <w:rsid w:val="00142105"/>
    <w:rsid w:val="00142C89"/>
    <w:rsid w:val="00142D3C"/>
    <w:rsid w:val="00142FEB"/>
    <w:rsid w:val="00143A2D"/>
    <w:rsid w:val="00143ECA"/>
    <w:rsid w:val="00143F11"/>
    <w:rsid w:val="001454D5"/>
    <w:rsid w:val="0014550B"/>
    <w:rsid w:val="00145A41"/>
    <w:rsid w:val="00145CB9"/>
    <w:rsid w:val="00146A0D"/>
    <w:rsid w:val="00146D71"/>
    <w:rsid w:val="00146F28"/>
    <w:rsid w:val="00147172"/>
    <w:rsid w:val="001473B4"/>
    <w:rsid w:val="00150020"/>
    <w:rsid w:val="0015129C"/>
    <w:rsid w:val="00151675"/>
    <w:rsid w:val="001518B4"/>
    <w:rsid w:val="00151963"/>
    <w:rsid w:val="00152CE6"/>
    <w:rsid w:val="001534BB"/>
    <w:rsid w:val="001536CC"/>
    <w:rsid w:val="00154529"/>
    <w:rsid w:val="00154ED7"/>
    <w:rsid w:val="001555C7"/>
    <w:rsid w:val="001569D6"/>
    <w:rsid w:val="00156E32"/>
    <w:rsid w:val="00157129"/>
    <w:rsid w:val="001571B6"/>
    <w:rsid w:val="00157435"/>
    <w:rsid w:val="00157E76"/>
    <w:rsid w:val="001600E0"/>
    <w:rsid w:val="0016010A"/>
    <w:rsid w:val="00160F79"/>
    <w:rsid w:val="001613AC"/>
    <w:rsid w:val="0016205F"/>
    <w:rsid w:val="00162994"/>
    <w:rsid w:val="00162EDD"/>
    <w:rsid w:val="00163949"/>
    <w:rsid w:val="00164A8E"/>
    <w:rsid w:val="0016508B"/>
    <w:rsid w:val="0016535C"/>
    <w:rsid w:val="001660C6"/>
    <w:rsid w:val="0016619D"/>
    <w:rsid w:val="00166295"/>
    <w:rsid w:val="00167730"/>
    <w:rsid w:val="001679B2"/>
    <w:rsid w:val="00171A0C"/>
    <w:rsid w:val="00171BB5"/>
    <w:rsid w:val="00171DE2"/>
    <w:rsid w:val="0017282A"/>
    <w:rsid w:val="00172A27"/>
    <w:rsid w:val="00172A55"/>
    <w:rsid w:val="00172EAA"/>
    <w:rsid w:val="00173466"/>
    <w:rsid w:val="00173EF2"/>
    <w:rsid w:val="00174365"/>
    <w:rsid w:val="0017471D"/>
    <w:rsid w:val="001747A4"/>
    <w:rsid w:val="00174FBF"/>
    <w:rsid w:val="0017504D"/>
    <w:rsid w:val="0017537A"/>
    <w:rsid w:val="0017671A"/>
    <w:rsid w:val="00176E92"/>
    <w:rsid w:val="00177256"/>
    <w:rsid w:val="00177422"/>
    <w:rsid w:val="00180B00"/>
    <w:rsid w:val="00181182"/>
    <w:rsid w:val="00181CFA"/>
    <w:rsid w:val="001820E3"/>
    <w:rsid w:val="0018212F"/>
    <w:rsid w:val="001832D6"/>
    <w:rsid w:val="0018334B"/>
    <w:rsid w:val="001838BE"/>
    <w:rsid w:val="00183F38"/>
    <w:rsid w:val="00184590"/>
    <w:rsid w:val="00186786"/>
    <w:rsid w:val="001870D1"/>
    <w:rsid w:val="0018752C"/>
    <w:rsid w:val="0018781E"/>
    <w:rsid w:val="00187A6A"/>
    <w:rsid w:val="00187B25"/>
    <w:rsid w:val="00187DDC"/>
    <w:rsid w:val="00187E45"/>
    <w:rsid w:val="00190D08"/>
    <w:rsid w:val="00191AC8"/>
    <w:rsid w:val="00191F58"/>
    <w:rsid w:val="00191FF6"/>
    <w:rsid w:val="0019262D"/>
    <w:rsid w:val="00192CC1"/>
    <w:rsid w:val="00193729"/>
    <w:rsid w:val="001954D5"/>
    <w:rsid w:val="0019573C"/>
    <w:rsid w:val="00195D98"/>
    <w:rsid w:val="001960E4"/>
    <w:rsid w:val="00196647"/>
    <w:rsid w:val="00196EBD"/>
    <w:rsid w:val="001A020C"/>
    <w:rsid w:val="001A0440"/>
    <w:rsid w:val="001A0AB5"/>
    <w:rsid w:val="001A1B35"/>
    <w:rsid w:val="001A21BF"/>
    <w:rsid w:val="001A235A"/>
    <w:rsid w:val="001A24FD"/>
    <w:rsid w:val="001A2FBA"/>
    <w:rsid w:val="001A3DC3"/>
    <w:rsid w:val="001A44AF"/>
    <w:rsid w:val="001A48A2"/>
    <w:rsid w:val="001A4A1B"/>
    <w:rsid w:val="001A4DD6"/>
    <w:rsid w:val="001A6CA3"/>
    <w:rsid w:val="001A6D88"/>
    <w:rsid w:val="001A6F61"/>
    <w:rsid w:val="001A74AF"/>
    <w:rsid w:val="001A799A"/>
    <w:rsid w:val="001A7FB6"/>
    <w:rsid w:val="001B0702"/>
    <w:rsid w:val="001B1EE1"/>
    <w:rsid w:val="001B1F26"/>
    <w:rsid w:val="001B1FF8"/>
    <w:rsid w:val="001B2CDC"/>
    <w:rsid w:val="001B2EE0"/>
    <w:rsid w:val="001B2F29"/>
    <w:rsid w:val="001B5505"/>
    <w:rsid w:val="001B6A32"/>
    <w:rsid w:val="001B72B8"/>
    <w:rsid w:val="001B763D"/>
    <w:rsid w:val="001B7EFA"/>
    <w:rsid w:val="001B7EFB"/>
    <w:rsid w:val="001C009A"/>
    <w:rsid w:val="001C0393"/>
    <w:rsid w:val="001C0ED3"/>
    <w:rsid w:val="001C1708"/>
    <w:rsid w:val="001C1FDC"/>
    <w:rsid w:val="001C2701"/>
    <w:rsid w:val="001C5822"/>
    <w:rsid w:val="001C5AF3"/>
    <w:rsid w:val="001C69B3"/>
    <w:rsid w:val="001C6F3F"/>
    <w:rsid w:val="001D0A6B"/>
    <w:rsid w:val="001D127D"/>
    <w:rsid w:val="001D24F9"/>
    <w:rsid w:val="001D2A68"/>
    <w:rsid w:val="001D3931"/>
    <w:rsid w:val="001D3AA9"/>
    <w:rsid w:val="001D4F16"/>
    <w:rsid w:val="001D5501"/>
    <w:rsid w:val="001D5595"/>
    <w:rsid w:val="001D653D"/>
    <w:rsid w:val="001D670C"/>
    <w:rsid w:val="001D685C"/>
    <w:rsid w:val="001D69A0"/>
    <w:rsid w:val="001D6AF1"/>
    <w:rsid w:val="001D6B7D"/>
    <w:rsid w:val="001D6BC0"/>
    <w:rsid w:val="001D7749"/>
    <w:rsid w:val="001D7874"/>
    <w:rsid w:val="001D7F22"/>
    <w:rsid w:val="001E2601"/>
    <w:rsid w:val="001E3B7B"/>
    <w:rsid w:val="001E3D8C"/>
    <w:rsid w:val="001E4709"/>
    <w:rsid w:val="001E7691"/>
    <w:rsid w:val="001F09A7"/>
    <w:rsid w:val="001F0D09"/>
    <w:rsid w:val="001F0F17"/>
    <w:rsid w:val="001F32CD"/>
    <w:rsid w:val="001F3347"/>
    <w:rsid w:val="001F38D1"/>
    <w:rsid w:val="001F3997"/>
    <w:rsid w:val="001F40C5"/>
    <w:rsid w:val="001F4466"/>
    <w:rsid w:val="001F5C74"/>
    <w:rsid w:val="001F67C9"/>
    <w:rsid w:val="001F681F"/>
    <w:rsid w:val="001F687A"/>
    <w:rsid w:val="001F69E4"/>
    <w:rsid w:val="001F6B05"/>
    <w:rsid w:val="00200218"/>
    <w:rsid w:val="0020062A"/>
    <w:rsid w:val="002018A6"/>
    <w:rsid w:val="0020204C"/>
    <w:rsid w:val="00203234"/>
    <w:rsid w:val="00203E34"/>
    <w:rsid w:val="0020454E"/>
    <w:rsid w:val="00204B27"/>
    <w:rsid w:val="00205D78"/>
    <w:rsid w:val="00207939"/>
    <w:rsid w:val="00210765"/>
    <w:rsid w:val="002111EA"/>
    <w:rsid w:val="0021212E"/>
    <w:rsid w:val="002125B4"/>
    <w:rsid w:val="00213831"/>
    <w:rsid w:val="002138A4"/>
    <w:rsid w:val="002139B9"/>
    <w:rsid w:val="00213CCB"/>
    <w:rsid w:val="00214DD6"/>
    <w:rsid w:val="002155B8"/>
    <w:rsid w:val="00217ACB"/>
    <w:rsid w:val="002200D2"/>
    <w:rsid w:val="00220330"/>
    <w:rsid w:val="00222115"/>
    <w:rsid w:val="00222D17"/>
    <w:rsid w:val="0022320C"/>
    <w:rsid w:val="0022356D"/>
    <w:rsid w:val="00223FBD"/>
    <w:rsid w:val="002241A3"/>
    <w:rsid w:val="00224839"/>
    <w:rsid w:val="002249B2"/>
    <w:rsid w:val="00224FD4"/>
    <w:rsid w:val="002257F1"/>
    <w:rsid w:val="00225F84"/>
    <w:rsid w:val="00226506"/>
    <w:rsid w:val="00226574"/>
    <w:rsid w:val="002278EC"/>
    <w:rsid w:val="002279C5"/>
    <w:rsid w:val="00227E1F"/>
    <w:rsid w:val="00230D6B"/>
    <w:rsid w:val="00230F71"/>
    <w:rsid w:val="00231A28"/>
    <w:rsid w:val="0023280E"/>
    <w:rsid w:val="00233E2E"/>
    <w:rsid w:val="00234CB0"/>
    <w:rsid w:val="00234F5B"/>
    <w:rsid w:val="00234FCC"/>
    <w:rsid w:val="002353E1"/>
    <w:rsid w:val="00235ABC"/>
    <w:rsid w:val="00236759"/>
    <w:rsid w:val="002368AE"/>
    <w:rsid w:val="002377D1"/>
    <w:rsid w:val="00240B89"/>
    <w:rsid w:val="0024335B"/>
    <w:rsid w:val="002433A0"/>
    <w:rsid w:val="00243CAC"/>
    <w:rsid w:val="0024442E"/>
    <w:rsid w:val="00244C4F"/>
    <w:rsid w:val="00245861"/>
    <w:rsid w:val="00246182"/>
    <w:rsid w:val="002506BC"/>
    <w:rsid w:val="00252122"/>
    <w:rsid w:val="00254144"/>
    <w:rsid w:val="00254345"/>
    <w:rsid w:val="00254C7D"/>
    <w:rsid w:val="00254F2F"/>
    <w:rsid w:val="00257912"/>
    <w:rsid w:val="0026044E"/>
    <w:rsid w:val="00260A39"/>
    <w:rsid w:val="00260F1B"/>
    <w:rsid w:val="00261887"/>
    <w:rsid w:val="00262758"/>
    <w:rsid w:val="002632C2"/>
    <w:rsid w:val="002638CD"/>
    <w:rsid w:val="00263F93"/>
    <w:rsid w:val="00264557"/>
    <w:rsid w:val="00264D03"/>
    <w:rsid w:val="00265C0B"/>
    <w:rsid w:val="00270784"/>
    <w:rsid w:val="00270D87"/>
    <w:rsid w:val="0027119B"/>
    <w:rsid w:val="0027191D"/>
    <w:rsid w:val="002726D4"/>
    <w:rsid w:val="0027336D"/>
    <w:rsid w:val="00273798"/>
    <w:rsid w:val="00274476"/>
    <w:rsid w:val="0027469D"/>
    <w:rsid w:val="00274D19"/>
    <w:rsid w:val="00275323"/>
    <w:rsid w:val="00275B52"/>
    <w:rsid w:val="00276254"/>
    <w:rsid w:val="00277DA2"/>
    <w:rsid w:val="002805AB"/>
    <w:rsid w:val="00280F07"/>
    <w:rsid w:val="0028143D"/>
    <w:rsid w:val="00281571"/>
    <w:rsid w:val="002816DD"/>
    <w:rsid w:val="00281B34"/>
    <w:rsid w:val="002822AD"/>
    <w:rsid w:val="00283B66"/>
    <w:rsid w:val="00284204"/>
    <w:rsid w:val="002845B2"/>
    <w:rsid w:val="00284BCD"/>
    <w:rsid w:val="002853FF"/>
    <w:rsid w:val="00285B56"/>
    <w:rsid w:val="00285F91"/>
    <w:rsid w:val="002869DA"/>
    <w:rsid w:val="00286C45"/>
    <w:rsid w:val="00286F22"/>
    <w:rsid w:val="00286F87"/>
    <w:rsid w:val="002878CC"/>
    <w:rsid w:val="00287929"/>
    <w:rsid w:val="00291773"/>
    <w:rsid w:val="002920D9"/>
    <w:rsid w:val="00293B75"/>
    <w:rsid w:val="00294126"/>
    <w:rsid w:val="00295703"/>
    <w:rsid w:val="00297584"/>
    <w:rsid w:val="002A168C"/>
    <w:rsid w:val="002A2A3A"/>
    <w:rsid w:val="002A3883"/>
    <w:rsid w:val="002A3DC7"/>
    <w:rsid w:val="002A4008"/>
    <w:rsid w:val="002A46DC"/>
    <w:rsid w:val="002A470A"/>
    <w:rsid w:val="002A5ACE"/>
    <w:rsid w:val="002A5FBA"/>
    <w:rsid w:val="002A619D"/>
    <w:rsid w:val="002B2E58"/>
    <w:rsid w:val="002B3FF3"/>
    <w:rsid w:val="002B417B"/>
    <w:rsid w:val="002B49E2"/>
    <w:rsid w:val="002B4B4C"/>
    <w:rsid w:val="002B4CC5"/>
    <w:rsid w:val="002B4E86"/>
    <w:rsid w:val="002B60FF"/>
    <w:rsid w:val="002B7690"/>
    <w:rsid w:val="002B7B00"/>
    <w:rsid w:val="002B7B93"/>
    <w:rsid w:val="002B7BB7"/>
    <w:rsid w:val="002B7C44"/>
    <w:rsid w:val="002C0E1C"/>
    <w:rsid w:val="002C2B17"/>
    <w:rsid w:val="002C2C2A"/>
    <w:rsid w:val="002C3434"/>
    <w:rsid w:val="002C45C4"/>
    <w:rsid w:val="002C4645"/>
    <w:rsid w:val="002C48CB"/>
    <w:rsid w:val="002C4902"/>
    <w:rsid w:val="002C498A"/>
    <w:rsid w:val="002C5A01"/>
    <w:rsid w:val="002C6E87"/>
    <w:rsid w:val="002C739D"/>
    <w:rsid w:val="002C7AC5"/>
    <w:rsid w:val="002C7EDB"/>
    <w:rsid w:val="002D05A5"/>
    <w:rsid w:val="002D0958"/>
    <w:rsid w:val="002D1078"/>
    <w:rsid w:val="002D1308"/>
    <w:rsid w:val="002D33B5"/>
    <w:rsid w:val="002D3DD0"/>
    <w:rsid w:val="002D3E71"/>
    <w:rsid w:val="002D4605"/>
    <w:rsid w:val="002D5E75"/>
    <w:rsid w:val="002D6038"/>
    <w:rsid w:val="002D6DFA"/>
    <w:rsid w:val="002E1243"/>
    <w:rsid w:val="002E1B89"/>
    <w:rsid w:val="002E1C51"/>
    <w:rsid w:val="002E1E86"/>
    <w:rsid w:val="002E1F3A"/>
    <w:rsid w:val="002E298A"/>
    <w:rsid w:val="002E3CAA"/>
    <w:rsid w:val="002E4734"/>
    <w:rsid w:val="002E4811"/>
    <w:rsid w:val="002E51BD"/>
    <w:rsid w:val="002E578D"/>
    <w:rsid w:val="002E6A41"/>
    <w:rsid w:val="002E7A9D"/>
    <w:rsid w:val="002E7E8D"/>
    <w:rsid w:val="002F01F9"/>
    <w:rsid w:val="002F073C"/>
    <w:rsid w:val="002F0D22"/>
    <w:rsid w:val="002F171F"/>
    <w:rsid w:val="002F17E1"/>
    <w:rsid w:val="002F1EAE"/>
    <w:rsid w:val="002F32DB"/>
    <w:rsid w:val="002F3F9E"/>
    <w:rsid w:val="002F40AA"/>
    <w:rsid w:val="002F50C0"/>
    <w:rsid w:val="002F57C7"/>
    <w:rsid w:val="002F5910"/>
    <w:rsid w:val="002F5BAE"/>
    <w:rsid w:val="002F6160"/>
    <w:rsid w:val="002F6E82"/>
    <w:rsid w:val="002F7311"/>
    <w:rsid w:val="002F7332"/>
    <w:rsid w:val="002F7E8C"/>
    <w:rsid w:val="00300D13"/>
    <w:rsid w:val="0030166B"/>
    <w:rsid w:val="00301978"/>
    <w:rsid w:val="0030286F"/>
    <w:rsid w:val="0030332C"/>
    <w:rsid w:val="00303333"/>
    <w:rsid w:val="00303D2A"/>
    <w:rsid w:val="003041C4"/>
    <w:rsid w:val="00304983"/>
    <w:rsid w:val="003051C2"/>
    <w:rsid w:val="003054FC"/>
    <w:rsid w:val="003056B8"/>
    <w:rsid w:val="00305CD5"/>
    <w:rsid w:val="00305D75"/>
    <w:rsid w:val="003061D8"/>
    <w:rsid w:val="00307091"/>
    <w:rsid w:val="0030743A"/>
    <w:rsid w:val="00307D8D"/>
    <w:rsid w:val="00311592"/>
    <w:rsid w:val="00311B55"/>
    <w:rsid w:val="00311CF2"/>
    <w:rsid w:val="00312296"/>
    <w:rsid w:val="0031425B"/>
    <w:rsid w:val="00314A69"/>
    <w:rsid w:val="00314F0E"/>
    <w:rsid w:val="00315174"/>
    <w:rsid w:val="0031692F"/>
    <w:rsid w:val="0031716F"/>
    <w:rsid w:val="00317770"/>
    <w:rsid w:val="00320BB3"/>
    <w:rsid w:val="00320CEC"/>
    <w:rsid w:val="00321D8E"/>
    <w:rsid w:val="00322BCF"/>
    <w:rsid w:val="00323191"/>
    <w:rsid w:val="003247C5"/>
    <w:rsid w:val="00325928"/>
    <w:rsid w:val="003277AB"/>
    <w:rsid w:val="00331BFA"/>
    <w:rsid w:val="003322D5"/>
    <w:rsid w:val="0033278F"/>
    <w:rsid w:val="00332863"/>
    <w:rsid w:val="003352E4"/>
    <w:rsid w:val="0033684D"/>
    <w:rsid w:val="00337255"/>
    <w:rsid w:val="0033742B"/>
    <w:rsid w:val="00337B42"/>
    <w:rsid w:val="00337D7D"/>
    <w:rsid w:val="003402B0"/>
    <w:rsid w:val="00340AE7"/>
    <w:rsid w:val="00341B42"/>
    <w:rsid w:val="00342283"/>
    <w:rsid w:val="00342770"/>
    <w:rsid w:val="00342F72"/>
    <w:rsid w:val="0034348F"/>
    <w:rsid w:val="00343584"/>
    <w:rsid w:val="00343E3A"/>
    <w:rsid w:val="00344F7E"/>
    <w:rsid w:val="00346FC6"/>
    <w:rsid w:val="0034774B"/>
    <w:rsid w:val="00347C16"/>
    <w:rsid w:val="00350887"/>
    <w:rsid w:val="00350B9E"/>
    <w:rsid w:val="00350C1C"/>
    <w:rsid w:val="00351B96"/>
    <w:rsid w:val="00352A37"/>
    <w:rsid w:val="00354AEF"/>
    <w:rsid w:val="00354E21"/>
    <w:rsid w:val="00354EB9"/>
    <w:rsid w:val="003553C3"/>
    <w:rsid w:val="00355F73"/>
    <w:rsid w:val="00355FEA"/>
    <w:rsid w:val="00356653"/>
    <w:rsid w:val="00356DC1"/>
    <w:rsid w:val="00356F54"/>
    <w:rsid w:val="0035743F"/>
    <w:rsid w:val="003574D4"/>
    <w:rsid w:val="00357BE2"/>
    <w:rsid w:val="0036170C"/>
    <w:rsid w:val="0036246F"/>
    <w:rsid w:val="0036279F"/>
    <w:rsid w:val="003634D7"/>
    <w:rsid w:val="003641C7"/>
    <w:rsid w:val="00364473"/>
    <w:rsid w:val="0036453A"/>
    <w:rsid w:val="00365CA6"/>
    <w:rsid w:val="003662B0"/>
    <w:rsid w:val="00366377"/>
    <w:rsid w:val="0036657E"/>
    <w:rsid w:val="00366771"/>
    <w:rsid w:val="00366D11"/>
    <w:rsid w:val="00366E0F"/>
    <w:rsid w:val="00367099"/>
    <w:rsid w:val="003671CE"/>
    <w:rsid w:val="00367905"/>
    <w:rsid w:val="003705C9"/>
    <w:rsid w:val="00370AA0"/>
    <w:rsid w:val="00370E64"/>
    <w:rsid w:val="00372B19"/>
    <w:rsid w:val="00372F1B"/>
    <w:rsid w:val="0037384A"/>
    <w:rsid w:val="00373BB3"/>
    <w:rsid w:val="00373E73"/>
    <w:rsid w:val="003742A3"/>
    <w:rsid w:val="00374500"/>
    <w:rsid w:val="00375545"/>
    <w:rsid w:val="0037566A"/>
    <w:rsid w:val="00375AC0"/>
    <w:rsid w:val="00375D53"/>
    <w:rsid w:val="003773F5"/>
    <w:rsid w:val="00377B25"/>
    <w:rsid w:val="00377B50"/>
    <w:rsid w:val="0038023E"/>
    <w:rsid w:val="00380B56"/>
    <w:rsid w:val="00380EA1"/>
    <w:rsid w:val="00381130"/>
    <w:rsid w:val="003811A6"/>
    <w:rsid w:val="00381A72"/>
    <w:rsid w:val="0038211B"/>
    <w:rsid w:val="003825C6"/>
    <w:rsid w:val="0038277E"/>
    <w:rsid w:val="00382B2C"/>
    <w:rsid w:val="00383E81"/>
    <w:rsid w:val="0038427B"/>
    <w:rsid w:val="003844AE"/>
    <w:rsid w:val="00384676"/>
    <w:rsid w:val="00384C66"/>
    <w:rsid w:val="003864B2"/>
    <w:rsid w:val="00387580"/>
    <w:rsid w:val="00387E97"/>
    <w:rsid w:val="00390201"/>
    <w:rsid w:val="0039028E"/>
    <w:rsid w:val="00390857"/>
    <w:rsid w:val="00391036"/>
    <w:rsid w:val="00391946"/>
    <w:rsid w:val="00391EBE"/>
    <w:rsid w:val="00391F75"/>
    <w:rsid w:val="00392267"/>
    <w:rsid w:val="00392524"/>
    <w:rsid w:val="00393BED"/>
    <w:rsid w:val="00393DFD"/>
    <w:rsid w:val="00393FDC"/>
    <w:rsid w:val="00394AA3"/>
    <w:rsid w:val="00394ABE"/>
    <w:rsid w:val="00394C2E"/>
    <w:rsid w:val="0039587D"/>
    <w:rsid w:val="00395965"/>
    <w:rsid w:val="00395BCB"/>
    <w:rsid w:val="00395D24"/>
    <w:rsid w:val="00396915"/>
    <w:rsid w:val="00396957"/>
    <w:rsid w:val="00396EC3"/>
    <w:rsid w:val="00397998"/>
    <w:rsid w:val="003A239B"/>
    <w:rsid w:val="003A294A"/>
    <w:rsid w:val="003A340E"/>
    <w:rsid w:val="003A34FE"/>
    <w:rsid w:val="003A3E6D"/>
    <w:rsid w:val="003A4BE0"/>
    <w:rsid w:val="003A4BF3"/>
    <w:rsid w:val="003A4CD1"/>
    <w:rsid w:val="003A5222"/>
    <w:rsid w:val="003A5585"/>
    <w:rsid w:val="003A70DD"/>
    <w:rsid w:val="003A74F9"/>
    <w:rsid w:val="003B16C3"/>
    <w:rsid w:val="003B1AC1"/>
    <w:rsid w:val="003B1C5B"/>
    <w:rsid w:val="003B26AB"/>
    <w:rsid w:val="003B2E66"/>
    <w:rsid w:val="003B343A"/>
    <w:rsid w:val="003B3F76"/>
    <w:rsid w:val="003B3FAE"/>
    <w:rsid w:val="003B420D"/>
    <w:rsid w:val="003B5AAD"/>
    <w:rsid w:val="003B60C6"/>
    <w:rsid w:val="003B6BE2"/>
    <w:rsid w:val="003B6D78"/>
    <w:rsid w:val="003B7172"/>
    <w:rsid w:val="003B7851"/>
    <w:rsid w:val="003C1231"/>
    <w:rsid w:val="003C1D95"/>
    <w:rsid w:val="003C2698"/>
    <w:rsid w:val="003C43A3"/>
    <w:rsid w:val="003C4911"/>
    <w:rsid w:val="003C4D22"/>
    <w:rsid w:val="003C5C0A"/>
    <w:rsid w:val="003C6C16"/>
    <w:rsid w:val="003C6F23"/>
    <w:rsid w:val="003C7601"/>
    <w:rsid w:val="003C7722"/>
    <w:rsid w:val="003C7B74"/>
    <w:rsid w:val="003C7D10"/>
    <w:rsid w:val="003C7F27"/>
    <w:rsid w:val="003D0395"/>
    <w:rsid w:val="003D08E6"/>
    <w:rsid w:val="003D0CEF"/>
    <w:rsid w:val="003D1A1D"/>
    <w:rsid w:val="003D24EA"/>
    <w:rsid w:val="003D27A8"/>
    <w:rsid w:val="003D39EC"/>
    <w:rsid w:val="003D44A9"/>
    <w:rsid w:val="003D4B0B"/>
    <w:rsid w:val="003D4C2C"/>
    <w:rsid w:val="003D56CC"/>
    <w:rsid w:val="003D794D"/>
    <w:rsid w:val="003E1E5B"/>
    <w:rsid w:val="003E20CB"/>
    <w:rsid w:val="003E3058"/>
    <w:rsid w:val="003E3AC2"/>
    <w:rsid w:val="003E4B88"/>
    <w:rsid w:val="003E5395"/>
    <w:rsid w:val="003E67C0"/>
    <w:rsid w:val="003E76A9"/>
    <w:rsid w:val="003F03E0"/>
    <w:rsid w:val="003F0809"/>
    <w:rsid w:val="003F163D"/>
    <w:rsid w:val="003F1968"/>
    <w:rsid w:val="003F1C7D"/>
    <w:rsid w:val="003F1DFE"/>
    <w:rsid w:val="003F2D3A"/>
    <w:rsid w:val="003F37C8"/>
    <w:rsid w:val="003F4CC7"/>
    <w:rsid w:val="003F6068"/>
    <w:rsid w:val="003F61CE"/>
    <w:rsid w:val="003F6A8C"/>
    <w:rsid w:val="003F755C"/>
    <w:rsid w:val="003F79ED"/>
    <w:rsid w:val="004001E9"/>
    <w:rsid w:val="004007B1"/>
    <w:rsid w:val="004016B4"/>
    <w:rsid w:val="00401AA3"/>
    <w:rsid w:val="00401D64"/>
    <w:rsid w:val="00402EF2"/>
    <w:rsid w:val="00403431"/>
    <w:rsid w:val="004034AA"/>
    <w:rsid w:val="00404344"/>
    <w:rsid w:val="004063FD"/>
    <w:rsid w:val="00406F01"/>
    <w:rsid w:val="00410914"/>
    <w:rsid w:val="00410B14"/>
    <w:rsid w:val="00412151"/>
    <w:rsid w:val="0041256F"/>
    <w:rsid w:val="00412AA1"/>
    <w:rsid w:val="00412CDC"/>
    <w:rsid w:val="004133CC"/>
    <w:rsid w:val="0041404E"/>
    <w:rsid w:val="004145BF"/>
    <w:rsid w:val="00414868"/>
    <w:rsid w:val="0041564A"/>
    <w:rsid w:val="0041567B"/>
    <w:rsid w:val="00416217"/>
    <w:rsid w:val="00416475"/>
    <w:rsid w:val="00416AC8"/>
    <w:rsid w:val="00416C2F"/>
    <w:rsid w:val="00416D50"/>
    <w:rsid w:val="00416FD5"/>
    <w:rsid w:val="004171C6"/>
    <w:rsid w:val="004174AC"/>
    <w:rsid w:val="00417772"/>
    <w:rsid w:val="00417ADF"/>
    <w:rsid w:val="00417B93"/>
    <w:rsid w:val="0042080F"/>
    <w:rsid w:val="00420E6A"/>
    <w:rsid w:val="00421F0D"/>
    <w:rsid w:val="004242BE"/>
    <w:rsid w:val="00424579"/>
    <w:rsid w:val="00425A9E"/>
    <w:rsid w:val="00426801"/>
    <w:rsid w:val="00426D6B"/>
    <w:rsid w:val="004273A5"/>
    <w:rsid w:val="004313C1"/>
    <w:rsid w:val="004316BD"/>
    <w:rsid w:val="0043191C"/>
    <w:rsid w:val="00431E6C"/>
    <w:rsid w:val="00432345"/>
    <w:rsid w:val="00433CE7"/>
    <w:rsid w:val="004349A0"/>
    <w:rsid w:val="00434B32"/>
    <w:rsid w:val="00437C09"/>
    <w:rsid w:val="004409E5"/>
    <w:rsid w:val="00440A3B"/>
    <w:rsid w:val="00440BFF"/>
    <w:rsid w:val="00441663"/>
    <w:rsid w:val="0044196E"/>
    <w:rsid w:val="00443DD9"/>
    <w:rsid w:val="00444303"/>
    <w:rsid w:val="00444A7B"/>
    <w:rsid w:val="004461C5"/>
    <w:rsid w:val="004464ED"/>
    <w:rsid w:val="004472BE"/>
    <w:rsid w:val="00447BDB"/>
    <w:rsid w:val="00451157"/>
    <w:rsid w:val="004513B1"/>
    <w:rsid w:val="00451515"/>
    <w:rsid w:val="00451AAA"/>
    <w:rsid w:val="0045218F"/>
    <w:rsid w:val="00452738"/>
    <w:rsid w:val="00453715"/>
    <w:rsid w:val="00454836"/>
    <w:rsid w:val="00454DBC"/>
    <w:rsid w:val="00455473"/>
    <w:rsid w:val="0045562B"/>
    <w:rsid w:val="00456091"/>
    <w:rsid w:val="00456711"/>
    <w:rsid w:val="00460EFA"/>
    <w:rsid w:val="004622B6"/>
    <w:rsid w:val="0046237E"/>
    <w:rsid w:val="0046289E"/>
    <w:rsid w:val="00462A62"/>
    <w:rsid w:val="00463454"/>
    <w:rsid w:val="00463811"/>
    <w:rsid w:val="00464367"/>
    <w:rsid w:val="004644F2"/>
    <w:rsid w:val="0046530B"/>
    <w:rsid w:val="0046601B"/>
    <w:rsid w:val="00466321"/>
    <w:rsid w:val="004677BD"/>
    <w:rsid w:val="00470AA4"/>
    <w:rsid w:val="00470E26"/>
    <w:rsid w:val="0047141B"/>
    <w:rsid w:val="00472598"/>
    <w:rsid w:val="0047295D"/>
    <w:rsid w:val="00472A34"/>
    <w:rsid w:val="00472E87"/>
    <w:rsid w:val="004737D2"/>
    <w:rsid w:val="00474720"/>
    <w:rsid w:val="00474F46"/>
    <w:rsid w:val="00475C0B"/>
    <w:rsid w:val="00476AD9"/>
    <w:rsid w:val="00480400"/>
    <w:rsid w:val="00480516"/>
    <w:rsid w:val="00480C20"/>
    <w:rsid w:val="00481096"/>
    <w:rsid w:val="0048136C"/>
    <w:rsid w:val="004824E4"/>
    <w:rsid w:val="004844FF"/>
    <w:rsid w:val="00484B9B"/>
    <w:rsid w:val="004855F6"/>
    <w:rsid w:val="0048639C"/>
    <w:rsid w:val="0048661E"/>
    <w:rsid w:val="0048677E"/>
    <w:rsid w:val="00486B37"/>
    <w:rsid w:val="00487716"/>
    <w:rsid w:val="00487F6C"/>
    <w:rsid w:val="004900A9"/>
    <w:rsid w:val="00490120"/>
    <w:rsid w:val="0049191D"/>
    <w:rsid w:val="004930C9"/>
    <w:rsid w:val="004935C8"/>
    <w:rsid w:val="00494670"/>
    <w:rsid w:val="00494756"/>
    <w:rsid w:val="004952FD"/>
    <w:rsid w:val="0049543C"/>
    <w:rsid w:val="00495536"/>
    <w:rsid w:val="00495B4F"/>
    <w:rsid w:val="00495D40"/>
    <w:rsid w:val="00497283"/>
    <w:rsid w:val="004A0056"/>
    <w:rsid w:val="004A1606"/>
    <w:rsid w:val="004A2550"/>
    <w:rsid w:val="004A35FD"/>
    <w:rsid w:val="004A3823"/>
    <w:rsid w:val="004A471D"/>
    <w:rsid w:val="004A4B6E"/>
    <w:rsid w:val="004A4DCF"/>
    <w:rsid w:val="004A68DE"/>
    <w:rsid w:val="004A79DC"/>
    <w:rsid w:val="004B02CB"/>
    <w:rsid w:val="004B06D7"/>
    <w:rsid w:val="004B0736"/>
    <w:rsid w:val="004B1315"/>
    <w:rsid w:val="004B2F2E"/>
    <w:rsid w:val="004B3480"/>
    <w:rsid w:val="004B37C6"/>
    <w:rsid w:val="004B3929"/>
    <w:rsid w:val="004B539F"/>
    <w:rsid w:val="004B5544"/>
    <w:rsid w:val="004B6600"/>
    <w:rsid w:val="004B723A"/>
    <w:rsid w:val="004C024F"/>
    <w:rsid w:val="004C0ED2"/>
    <w:rsid w:val="004C117C"/>
    <w:rsid w:val="004C14E3"/>
    <w:rsid w:val="004C2149"/>
    <w:rsid w:val="004C366B"/>
    <w:rsid w:val="004C46FC"/>
    <w:rsid w:val="004C4FEB"/>
    <w:rsid w:val="004C560C"/>
    <w:rsid w:val="004C5A1B"/>
    <w:rsid w:val="004C65DE"/>
    <w:rsid w:val="004C6789"/>
    <w:rsid w:val="004C72B0"/>
    <w:rsid w:val="004C7CAB"/>
    <w:rsid w:val="004D1077"/>
    <w:rsid w:val="004D211E"/>
    <w:rsid w:val="004D2231"/>
    <w:rsid w:val="004D2F7F"/>
    <w:rsid w:val="004D3E06"/>
    <w:rsid w:val="004D437B"/>
    <w:rsid w:val="004D4B26"/>
    <w:rsid w:val="004D50F4"/>
    <w:rsid w:val="004D6039"/>
    <w:rsid w:val="004D640C"/>
    <w:rsid w:val="004D7795"/>
    <w:rsid w:val="004D7D18"/>
    <w:rsid w:val="004E064A"/>
    <w:rsid w:val="004E0AFF"/>
    <w:rsid w:val="004E1B1B"/>
    <w:rsid w:val="004E3AD9"/>
    <w:rsid w:val="004E43A1"/>
    <w:rsid w:val="004E632A"/>
    <w:rsid w:val="004E6946"/>
    <w:rsid w:val="004E6C31"/>
    <w:rsid w:val="004E78E5"/>
    <w:rsid w:val="004F17DA"/>
    <w:rsid w:val="004F1AD8"/>
    <w:rsid w:val="004F1E0F"/>
    <w:rsid w:val="004F24A8"/>
    <w:rsid w:val="004F3FED"/>
    <w:rsid w:val="004F485D"/>
    <w:rsid w:val="004F70BC"/>
    <w:rsid w:val="004F778F"/>
    <w:rsid w:val="00500158"/>
    <w:rsid w:val="00501F0D"/>
    <w:rsid w:val="00502315"/>
    <w:rsid w:val="0050363D"/>
    <w:rsid w:val="005039CB"/>
    <w:rsid w:val="0050558F"/>
    <w:rsid w:val="00505AEF"/>
    <w:rsid w:val="00506286"/>
    <w:rsid w:val="005067AD"/>
    <w:rsid w:val="005078A0"/>
    <w:rsid w:val="0051017D"/>
    <w:rsid w:val="00510813"/>
    <w:rsid w:val="00510E00"/>
    <w:rsid w:val="005110EA"/>
    <w:rsid w:val="00511990"/>
    <w:rsid w:val="00511DE0"/>
    <w:rsid w:val="00512167"/>
    <w:rsid w:val="00512934"/>
    <w:rsid w:val="005139CD"/>
    <w:rsid w:val="00513D42"/>
    <w:rsid w:val="00514870"/>
    <w:rsid w:val="00514B9B"/>
    <w:rsid w:val="005158A5"/>
    <w:rsid w:val="0051590F"/>
    <w:rsid w:val="00515CFC"/>
    <w:rsid w:val="005171C2"/>
    <w:rsid w:val="00517F02"/>
    <w:rsid w:val="0052065E"/>
    <w:rsid w:val="00521086"/>
    <w:rsid w:val="00521215"/>
    <w:rsid w:val="0052121A"/>
    <w:rsid w:val="00521494"/>
    <w:rsid w:val="00522380"/>
    <w:rsid w:val="005233FF"/>
    <w:rsid w:val="00524303"/>
    <w:rsid w:val="00524D97"/>
    <w:rsid w:val="00524F20"/>
    <w:rsid w:val="005258A2"/>
    <w:rsid w:val="00525B7A"/>
    <w:rsid w:val="005263C2"/>
    <w:rsid w:val="005265A4"/>
    <w:rsid w:val="005267B5"/>
    <w:rsid w:val="005268F4"/>
    <w:rsid w:val="00527AC6"/>
    <w:rsid w:val="00527B4C"/>
    <w:rsid w:val="00527E25"/>
    <w:rsid w:val="005306AC"/>
    <w:rsid w:val="00530E57"/>
    <w:rsid w:val="00531BCB"/>
    <w:rsid w:val="00533477"/>
    <w:rsid w:val="00534E39"/>
    <w:rsid w:val="005367CE"/>
    <w:rsid w:val="005369A8"/>
    <w:rsid w:val="00537700"/>
    <w:rsid w:val="005401AE"/>
    <w:rsid w:val="00540B45"/>
    <w:rsid w:val="00540D44"/>
    <w:rsid w:val="00541798"/>
    <w:rsid w:val="00541973"/>
    <w:rsid w:val="00541DE7"/>
    <w:rsid w:val="00541F02"/>
    <w:rsid w:val="00542A20"/>
    <w:rsid w:val="00542E07"/>
    <w:rsid w:val="00545424"/>
    <w:rsid w:val="0055166D"/>
    <w:rsid w:val="00552E56"/>
    <w:rsid w:val="005534E0"/>
    <w:rsid w:val="005534FD"/>
    <w:rsid w:val="00554A7B"/>
    <w:rsid w:val="00555011"/>
    <w:rsid w:val="005555EE"/>
    <w:rsid w:val="0055572C"/>
    <w:rsid w:val="00555EB6"/>
    <w:rsid w:val="005569E7"/>
    <w:rsid w:val="00556DF6"/>
    <w:rsid w:val="005579B6"/>
    <w:rsid w:val="00557D35"/>
    <w:rsid w:val="0056085D"/>
    <w:rsid w:val="0056095B"/>
    <w:rsid w:val="00560BB1"/>
    <w:rsid w:val="0056106A"/>
    <w:rsid w:val="005613C8"/>
    <w:rsid w:val="0056153C"/>
    <w:rsid w:val="00561B1F"/>
    <w:rsid w:val="00562462"/>
    <w:rsid w:val="0056300C"/>
    <w:rsid w:val="005630C7"/>
    <w:rsid w:val="00563A51"/>
    <w:rsid w:val="00564223"/>
    <w:rsid w:val="00564C14"/>
    <w:rsid w:val="00565484"/>
    <w:rsid w:val="005655DC"/>
    <w:rsid w:val="00566253"/>
    <w:rsid w:val="0056632E"/>
    <w:rsid w:val="00566DCD"/>
    <w:rsid w:val="00566FC3"/>
    <w:rsid w:val="005677FB"/>
    <w:rsid w:val="005702E8"/>
    <w:rsid w:val="00570AA3"/>
    <w:rsid w:val="00571C24"/>
    <w:rsid w:val="00571E65"/>
    <w:rsid w:val="005720AE"/>
    <w:rsid w:val="005731CE"/>
    <w:rsid w:val="00573212"/>
    <w:rsid w:val="0057360A"/>
    <w:rsid w:val="005737A1"/>
    <w:rsid w:val="00573F6D"/>
    <w:rsid w:val="00575232"/>
    <w:rsid w:val="00575F4A"/>
    <w:rsid w:val="005760A1"/>
    <w:rsid w:val="005765F6"/>
    <w:rsid w:val="00576D21"/>
    <w:rsid w:val="005774BD"/>
    <w:rsid w:val="00577550"/>
    <w:rsid w:val="005777FB"/>
    <w:rsid w:val="005778FC"/>
    <w:rsid w:val="00577BD2"/>
    <w:rsid w:val="00580091"/>
    <w:rsid w:val="005806BD"/>
    <w:rsid w:val="0058094E"/>
    <w:rsid w:val="00580B7A"/>
    <w:rsid w:val="00580D07"/>
    <w:rsid w:val="005816BB"/>
    <w:rsid w:val="0058201E"/>
    <w:rsid w:val="00582E1E"/>
    <w:rsid w:val="00583C16"/>
    <w:rsid w:val="00584BE4"/>
    <w:rsid w:val="00584F87"/>
    <w:rsid w:val="005859C2"/>
    <w:rsid w:val="00586B84"/>
    <w:rsid w:val="005879FC"/>
    <w:rsid w:val="00587DC2"/>
    <w:rsid w:val="00590403"/>
    <w:rsid w:val="0059150D"/>
    <w:rsid w:val="00591827"/>
    <w:rsid w:val="005923AC"/>
    <w:rsid w:val="005930E2"/>
    <w:rsid w:val="005938C2"/>
    <w:rsid w:val="00593FD7"/>
    <w:rsid w:val="0059412C"/>
    <w:rsid w:val="005943B0"/>
    <w:rsid w:val="00594A13"/>
    <w:rsid w:val="00594D77"/>
    <w:rsid w:val="00595ECB"/>
    <w:rsid w:val="00595FD8"/>
    <w:rsid w:val="005969E4"/>
    <w:rsid w:val="00596A14"/>
    <w:rsid w:val="005970E5"/>
    <w:rsid w:val="00597ACF"/>
    <w:rsid w:val="00597C94"/>
    <w:rsid w:val="005A00F7"/>
    <w:rsid w:val="005A06B7"/>
    <w:rsid w:val="005A0F38"/>
    <w:rsid w:val="005A1759"/>
    <w:rsid w:val="005A18C9"/>
    <w:rsid w:val="005A19A4"/>
    <w:rsid w:val="005A2795"/>
    <w:rsid w:val="005A3DC0"/>
    <w:rsid w:val="005A4524"/>
    <w:rsid w:val="005A504A"/>
    <w:rsid w:val="005A5BFB"/>
    <w:rsid w:val="005A64CD"/>
    <w:rsid w:val="005A68A7"/>
    <w:rsid w:val="005A6B82"/>
    <w:rsid w:val="005A6FCF"/>
    <w:rsid w:val="005A7922"/>
    <w:rsid w:val="005B1169"/>
    <w:rsid w:val="005B188C"/>
    <w:rsid w:val="005B23D8"/>
    <w:rsid w:val="005B2FBC"/>
    <w:rsid w:val="005B314D"/>
    <w:rsid w:val="005B3358"/>
    <w:rsid w:val="005B487C"/>
    <w:rsid w:val="005B6B9F"/>
    <w:rsid w:val="005B6FF5"/>
    <w:rsid w:val="005B7ABE"/>
    <w:rsid w:val="005C27BC"/>
    <w:rsid w:val="005C2DB1"/>
    <w:rsid w:val="005C2EB2"/>
    <w:rsid w:val="005C33F1"/>
    <w:rsid w:val="005C6047"/>
    <w:rsid w:val="005C7E87"/>
    <w:rsid w:val="005D000A"/>
    <w:rsid w:val="005D0283"/>
    <w:rsid w:val="005D0A15"/>
    <w:rsid w:val="005D1599"/>
    <w:rsid w:val="005D19D4"/>
    <w:rsid w:val="005D1B19"/>
    <w:rsid w:val="005D2753"/>
    <w:rsid w:val="005D36AB"/>
    <w:rsid w:val="005D38AA"/>
    <w:rsid w:val="005D4FEB"/>
    <w:rsid w:val="005D57C5"/>
    <w:rsid w:val="005D5BDD"/>
    <w:rsid w:val="005D63CE"/>
    <w:rsid w:val="005D64C2"/>
    <w:rsid w:val="005D7AB7"/>
    <w:rsid w:val="005E0676"/>
    <w:rsid w:val="005E1155"/>
    <w:rsid w:val="005E1296"/>
    <w:rsid w:val="005E1EBA"/>
    <w:rsid w:val="005E217A"/>
    <w:rsid w:val="005E2D66"/>
    <w:rsid w:val="005E3820"/>
    <w:rsid w:val="005E47F4"/>
    <w:rsid w:val="005E4A12"/>
    <w:rsid w:val="005E6C66"/>
    <w:rsid w:val="005F1940"/>
    <w:rsid w:val="005F276A"/>
    <w:rsid w:val="005F2981"/>
    <w:rsid w:val="005F2C97"/>
    <w:rsid w:val="005F3104"/>
    <w:rsid w:val="005F4274"/>
    <w:rsid w:val="005F4579"/>
    <w:rsid w:val="005F6AC0"/>
    <w:rsid w:val="005F7A00"/>
    <w:rsid w:val="00601022"/>
    <w:rsid w:val="00602AD6"/>
    <w:rsid w:val="006039A7"/>
    <w:rsid w:val="0060417A"/>
    <w:rsid w:val="00605E64"/>
    <w:rsid w:val="006073A1"/>
    <w:rsid w:val="006077D4"/>
    <w:rsid w:val="0061017D"/>
    <w:rsid w:val="0061173C"/>
    <w:rsid w:val="00611FA5"/>
    <w:rsid w:val="00612250"/>
    <w:rsid w:val="006127C6"/>
    <w:rsid w:val="00613CD2"/>
    <w:rsid w:val="0061564A"/>
    <w:rsid w:val="00615B92"/>
    <w:rsid w:val="00615D96"/>
    <w:rsid w:val="006162A4"/>
    <w:rsid w:val="006165BC"/>
    <w:rsid w:val="006174F1"/>
    <w:rsid w:val="0061776F"/>
    <w:rsid w:val="00617CC3"/>
    <w:rsid w:val="0062086C"/>
    <w:rsid w:val="00622801"/>
    <w:rsid w:val="00622E96"/>
    <w:rsid w:val="00623D29"/>
    <w:rsid w:val="00625BEB"/>
    <w:rsid w:val="006260FD"/>
    <w:rsid w:val="006262CF"/>
    <w:rsid w:val="00626936"/>
    <w:rsid w:val="0062758B"/>
    <w:rsid w:val="00627A8F"/>
    <w:rsid w:val="00630207"/>
    <w:rsid w:val="006308B4"/>
    <w:rsid w:val="0063104E"/>
    <w:rsid w:val="00631E02"/>
    <w:rsid w:val="00632010"/>
    <w:rsid w:val="0063478D"/>
    <w:rsid w:val="006349CF"/>
    <w:rsid w:val="00634C8D"/>
    <w:rsid w:val="006357CA"/>
    <w:rsid w:val="006357E7"/>
    <w:rsid w:val="0063595C"/>
    <w:rsid w:val="00636355"/>
    <w:rsid w:val="0063706B"/>
    <w:rsid w:val="00637221"/>
    <w:rsid w:val="006377A6"/>
    <w:rsid w:val="00637A3D"/>
    <w:rsid w:val="006402BA"/>
    <w:rsid w:val="006411EF"/>
    <w:rsid w:val="006417F2"/>
    <w:rsid w:val="00642DE2"/>
    <w:rsid w:val="006445A9"/>
    <w:rsid w:val="00646891"/>
    <w:rsid w:val="00646CE2"/>
    <w:rsid w:val="006470C7"/>
    <w:rsid w:val="006473D7"/>
    <w:rsid w:val="00647915"/>
    <w:rsid w:val="006503EF"/>
    <w:rsid w:val="006509B1"/>
    <w:rsid w:val="00650A06"/>
    <w:rsid w:val="00651883"/>
    <w:rsid w:val="00652CD8"/>
    <w:rsid w:val="00653CA0"/>
    <w:rsid w:val="00655555"/>
    <w:rsid w:val="0065654F"/>
    <w:rsid w:val="006569B9"/>
    <w:rsid w:val="00661CF2"/>
    <w:rsid w:val="0066249C"/>
    <w:rsid w:val="006625A0"/>
    <w:rsid w:val="00662E70"/>
    <w:rsid w:val="00663F49"/>
    <w:rsid w:val="00664365"/>
    <w:rsid w:val="00664A4C"/>
    <w:rsid w:val="00664C9E"/>
    <w:rsid w:val="00664E06"/>
    <w:rsid w:val="006667D4"/>
    <w:rsid w:val="006672B8"/>
    <w:rsid w:val="00667919"/>
    <w:rsid w:val="006700C6"/>
    <w:rsid w:val="00670C0C"/>
    <w:rsid w:val="006711AB"/>
    <w:rsid w:val="00672C4A"/>
    <w:rsid w:val="00672D01"/>
    <w:rsid w:val="00672FAF"/>
    <w:rsid w:val="00673FE8"/>
    <w:rsid w:val="006748B8"/>
    <w:rsid w:val="0067582D"/>
    <w:rsid w:val="00675A8B"/>
    <w:rsid w:val="00676051"/>
    <w:rsid w:val="00676EDE"/>
    <w:rsid w:val="006775C3"/>
    <w:rsid w:val="0068044E"/>
    <w:rsid w:val="00681DF7"/>
    <w:rsid w:val="006828DB"/>
    <w:rsid w:val="006846FC"/>
    <w:rsid w:val="00685BF3"/>
    <w:rsid w:val="00685F23"/>
    <w:rsid w:val="00686644"/>
    <w:rsid w:val="0069053E"/>
    <w:rsid w:val="006908CE"/>
    <w:rsid w:val="006920BE"/>
    <w:rsid w:val="00692358"/>
    <w:rsid w:val="0069290A"/>
    <w:rsid w:val="00693408"/>
    <w:rsid w:val="0069427F"/>
    <w:rsid w:val="00694E9F"/>
    <w:rsid w:val="006958C2"/>
    <w:rsid w:val="00696746"/>
    <w:rsid w:val="00696828"/>
    <w:rsid w:val="0069775A"/>
    <w:rsid w:val="00697813"/>
    <w:rsid w:val="006A0719"/>
    <w:rsid w:val="006A09CF"/>
    <w:rsid w:val="006A0C8F"/>
    <w:rsid w:val="006A10E9"/>
    <w:rsid w:val="006A1F5B"/>
    <w:rsid w:val="006A228B"/>
    <w:rsid w:val="006A3EE8"/>
    <w:rsid w:val="006A3F6E"/>
    <w:rsid w:val="006A4F7A"/>
    <w:rsid w:val="006A5105"/>
    <w:rsid w:val="006A526C"/>
    <w:rsid w:val="006A6692"/>
    <w:rsid w:val="006A6BAA"/>
    <w:rsid w:val="006A6C83"/>
    <w:rsid w:val="006A7144"/>
    <w:rsid w:val="006A72BF"/>
    <w:rsid w:val="006B03F2"/>
    <w:rsid w:val="006B0653"/>
    <w:rsid w:val="006B095F"/>
    <w:rsid w:val="006B198C"/>
    <w:rsid w:val="006B1F1F"/>
    <w:rsid w:val="006B2F8E"/>
    <w:rsid w:val="006B3412"/>
    <w:rsid w:val="006B37DC"/>
    <w:rsid w:val="006B4227"/>
    <w:rsid w:val="006B4EC7"/>
    <w:rsid w:val="006B4F68"/>
    <w:rsid w:val="006B53B8"/>
    <w:rsid w:val="006B5C6E"/>
    <w:rsid w:val="006B5CE4"/>
    <w:rsid w:val="006B6EE6"/>
    <w:rsid w:val="006B7C9D"/>
    <w:rsid w:val="006B7E75"/>
    <w:rsid w:val="006B7F31"/>
    <w:rsid w:val="006C030E"/>
    <w:rsid w:val="006C0520"/>
    <w:rsid w:val="006C0592"/>
    <w:rsid w:val="006C1D10"/>
    <w:rsid w:val="006C272E"/>
    <w:rsid w:val="006C2B13"/>
    <w:rsid w:val="006C3054"/>
    <w:rsid w:val="006C416F"/>
    <w:rsid w:val="006C4671"/>
    <w:rsid w:val="006C5479"/>
    <w:rsid w:val="006C6454"/>
    <w:rsid w:val="006C6969"/>
    <w:rsid w:val="006C7E3B"/>
    <w:rsid w:val="006D13B5"/>
    <w:rsid w:val="006D35DA"/>
    <w:rsid w:val="006D43A0"/>
    <w:rsid w:val="006D46DD"/>
    <w:rsid w:val="006D5090"/>
    <w:rsid w:val="006D543D"/>
    <w:rsid w:val="006D5449"/>
    <w:rsid w:val="006D5A17"/>
    <w:rsid w:val="006D5CB9"/>
    <w:rsid w:val="006D70FD"/>
    <w:rsid w:val="006D76ED"/>
    <w:rsid w:val="006E0E68"/>
    <w:rsid w:val="006E1091"/>
    <w:rsid w:val="006E10DB"/>
    <w:rsid w:val="006E12FF"/>
    <w:rsid w:val="006E17A4"/>
    <w:rsid w:val="006E2914"/>
    <w:rsid w:val="006E35B8"/>
    <w:rsid w:val="006E4362"/>
    <w:rsid w:val="006E4DAC"/>
    <w:rsid w:val="006E4F56"/>
    <w:rsid w:val="006E607E"/>
    <w:rsid w:val="006E7321"/>
    <w:rsid w:val="006E750C"/>
    <w:rsid w:val="006E751E"/>
    <w:rsid w:val="006E7FF4"/>
    <w:rsid w:val="006F03B5"/>
    <w:rsid w:val="006F05CE"/>
    <w:rsid w:val="006F0689"/>
    <w:rsid w:val="006F5F91"/>
    <w:rsid w:val="006F7398"/>
    <w:rsid w:val="006F75B2"/>
    <w:rsid w:val="006F79BC"/>
    <w:rsid w:val="0070073D"/>
    <w:rsid w:val="00700D97"/>
    <w:rsid w:val="00700F00"/>
    <w:rsid w:val="0070205A"/>
    <w:rsid w:val="00702B49"/>
    <w:rsid w:val="0070500E"/>
    <w:rsid w:val="007057BF"/>
    <w:rsid w:val="00705B99"/>
    <w:rsid w:val="00706C5D"/>
    <w:rsid w:val="007073BE"/>
    <w:rsid w:val="007104A4"/>
    <w:rsid w:val="0071051A"/>
    <w:rsid w:val="00711E03"/>
    <w:rsid w:val="007144AB"/>
    <w:rsid w:val="00716266"/>
    <w:rsid w:val="007175E7"/>
    <w:rsid w:val="0071775E"/>
    <w:rsid w:val="00717889"/>
    <w:rsid w:val="0071789C"/>
    <w:rsid w:val="00717F70"/>
    <w:rsid w:val="007202CB"/>
    <w:rsid w:val="007218D7"/>
    <w:rsid w:val="00721BB2"/>
    <w:rsid w:val="007228F9"/>
    <w:rsid w:val="00722E31"/>
    <w:rsid w:val="007254B9"/>
    <w:rsid w:val="007259E4"/>
    <w:rsid w:val="0072670D"/>
    <w:rsid w:val="007267CF"/>
    <w:rsid w:val="007304B9"/>
    <w:rsid w:val="00730919"/>
    <w:rsid w:val="00730F2F"/>
    <w:rsid w:val="007318E2"/>
    <w:rsid w:val="00731ADC"/>
    <w:rsid w:val="00732922"/>
    <w:rsid w:val="00733113"/>
    <w:rsid w:val="007344DF"/>
    <w:rsid w:val="00735DEB"/>
    <w:rsid w:val="00735ECC"/>
    <w:rsid w:val="00736C6B"/>
    <w:rsid w:val="00737086"/>
    <w:rsid w:val="007378D4"/>
    <w:rsid w:val="00740F88"/>
    <w:rsid w:val="007410F7"/>
    <w:rsid w:val="007412C2"/>
    <w:rsid w:val="00741EB1"/>
    <w:rsid w:val="0074207F"/>
    <w:rsid w:val="00742223"/>
    <w:rsid w:val="00743657"/>
    <w:rsid w:val="007450CF"/>
    <w:rsid w:val="007465DF"/>
    <w:rsid w:val="00746677"/>
    <w:rsid w:val="00750097"/>
    <w:rsid w:val="007503BE"/>
    <w:rsid w:val="0075162E"/>
    <w:rsid w:val="0075199C"/>
    <w:rsid w:val="00751AA6"/>
    <w:rsid w:val="0075215B"/>
    <w:rsid w:val="007533A7"/>
    <w:rsid w:val="00754034"/>
    <w:rsid w:val="00754D2C"/>
    <w:rsid w:val="00755229"/>
    <w:rsid w:val="0075550B"/>
    <w:rsid w:val="00756338"/>
    <w:rsid w:val="00756556"/>
    <w:rsid w:val="007569B0"/>
    <w:rsid w:val="007578EC"/>
    <w:rsid w:val="00760A3B"/>
    <w:rsid w:val="007618C4"/>
    <w:rsid w:val="00762F90"/>
    <w:rsid w:val="007637E5"/>
    <w:rsid w:val="007639C2"/>
    <w:rsid w:val="007639F6"/>
    <w:rsid w:val="00764673"/>
    <w:rsid w:val="00766A8E"/>
    <w:rsid w:val="00766F8A"/>
    <w:rsid w:val="00767141"/>
    <w:rsid w:val="007677EF"/>
    <w:rsid w:val="00767980"/>
    <w:rsid w:val="00770B19"/>
    <w:rsid w:val="00770BEF"/>
    <w:rsid w:val="00773454"/>
    <w:rsid w:val="00773517"/>
    <w:rsid w:val="00773F58"/>
    <w:rsid w:val="007745D1"/>
    <w:rsid w:val="0077463F"/>
    <w:rsid w:val="00774F2B"/>
    <w:rsid w:val="007753AD"/>
    <w:rsid w:val="00775947"/>
    <w:rsid w:val="00775ED3"/>
    <w:rsid w:val="00776F4D"/>
    <w:rsid w:val="0077762E"/>
    <w:rsid w:val="00780A7C"/>
    <w:rsid w:val="00780D73"/>
    <w:rsid w:val="00781C2A"/>
    <w:rsid w:val="00782FD5"/>
    <w:rsid w:val="007836EA"/>
    <w:rsid w:val="00784CDA"/>
    <w:rsid w:val="00786B1D"/>
    <w:rsid w:val="00787354"/>
    <w:rsid w:val="00787814"/>
    <w:rsid w:val="00787A23"/>
    <w:rsid w:val="007906C4"/>
    <w:rsid w:val="007909CD"/>
    <w:rsid w:val="00790D86"/>
    <w:rsid w:val="0079136E"/>
    <w:rsid w:val="007915E1"/>
    <w:rsid w:val="00791B70"/>
    <w:rsid w:val="007931D1"/>
    <w:rsid w:val="00793EB8"/>
    <w:rsid w:val="007940EA"/>
    <w:rsid w:val="00795A4F"/>
    <w:rsid w:val="007967E8"/>
    <w:rsid w:val="0079713E"/>
    <w:rsid w:val="00797B3C"/>
    <w:rsid w:val="007A1F8D"/>
    <w:rsid w:val="007A2170"/>
    <w:rsid w:val="007A22BF"/>
    <w:rsid w:val="007A262E"/>
    <w:rsid w:val="007A3323"/>
    <w:rsid w:val="007A3CDD"/>
    <w:rsid w:val="007A4929"/>
    <w:rsid w:val="007A4F02"/>
    <w:rsid w:val="007A6A12"/>
    <w:rsid w:val="007A6EC8"/>
    <w:rsid w:val="007B05C9"/>
    <w:rsid w:val="007B08F7"/>
    <w:rsid w:val="007B0BA2"/>
    <w:rsid w:val="007B2917"/>
    <w:rsid w:val="007B38E4"/>
    <w:rsid w:val="007B53AD"/>
    <w:rsid w:val="007B5444"/>
    <w:rsid w:val="007B72B8"/>
    <w:rsid w:val="007B7A58"/>
    <w:rsid w:val="007C07E2"/>
    <w:rsid w:val="007C21B5"/>
    <w:rsid w:val="007C237D"/>
    <w:rsid w:val="007C23E1"/>
    <w:rsid w:val="007C457C"/>
    <w:rsid w:val="007C4B6E"/>
    <w:rsid w:val="007C52EC"/>
    <w:rsid w:val="007C5489"/>
    <w:rsid w:val="007C6911"/>
    <w:rsid w:val="007C6928"/>
    <w:rsid w:val="007C7088"/>
    <w:rsid w:val="007D1646"/>
    <w:rsid w:val="007D177A"/>
    <w:rsid w:val="007D17C2"/>
    <w:rsid w:val="007D1E46"/>
    <w:rsid w:val="007D26F8"/>
    <w:rsid w:val="007D52C2"/>
    <w:rsid w:val="007D5CDB"/>
    <w:rsid w:val="007D7F0F"/>
    <w:rsid w:val="007E19BF"/>
    <w:rsid w:val="007E1C36"/>
    <w:rsid w:val="007E1C9E"/>
    <w:rsid w:val="007E2E37"/>
    <w:rsid w:val="007E2FCA"/>
    <w:rsid w:val="007E482C"/>
    <w:rsid w:val="007E4A34"/>
    <w:rsid w:val="007E4BD2"/>
    <w:rsid w:val="007E54DA"/>
    <w:rsid w:val="007E69E3"/>
    <w:rsid w:val="007E6AB3"/>
    <w:rsid w:val="007E7D1F"/>
    <w:rsid w:val="007F00E1"/>
    <w:rsid w:val="007F0B20"/>
    <w:rsid w:val="007F0D3B"/>
    <w:rsid w:val="007F1B0A"/>
    <w:rsid w:val="007F1EBA"/>
    <w:rsid w:val="007F2B05"/>
    <w:rsid w:val="007F3549"/>
    <w:rsid w:val="007F37CA"/>
    <w:rsid w:val="007F3A2D"/>
    <w:rsid w:val="007F5993"/>
    <w:rsid w:val="007F7D82"/>
    <w:rsid w:val="007F7E64"/>
    <w:rsid w:val="0080061C"/>
    <w:rsid w:val="0080074F"/>
    <w:rsid w:val="00800DF1"/>
    <w:rsid w:val="00800FBF"/>
    <w:rsid w:val="0080111C"/>
    <w:rsid w:val="00801393"/>
    <w:rsid w:val="0080231A"/>
    <w:rsid w:val="00802DB4"/>
    <w:rsid w:val="00802F88"/>
    <w:rsid w:val="008043A1"/>
    <w:rsid w:val="008045D2"/>
    <w:rsid w:val="00804B6F"/>
    <w:rsid w:val="00805CDE"/>
    <w:rsid w:val="00805D51"/>
    <w:rsid w:val="00806FBA"/>
    <w:rsid w:val="00811200"/>
    <w:rsid w:val="0081176A"/>
    <w:rsid w:val="0081293E"/>
    <w:rsid w:val="00812D1E"/>
    <w:rsid w:val="00813529"/>
    <w:rsid w:val="008141DE"/>
    <w:rsid w:val="00814564"/>
    <w:rsid w:val="008150E3"/>
    <w:rsid w:val="00815134"/>
    <w:rsid w:val="00815465"/>
    <w:rsid w:val="008158DE"/>
    <w:rsid w:val="00816DCF"/>
    <w:rsid w:val="00817D23"/>
    <w:rsid w:val="00817E9A"/>
    <w:rsid w:val="0082148A"/>
    <w:rsid w:val="00822987"/>
    <w:rsid w:val="00823602"/>
    <w:rsid w:val="00824123"/>
    <w:rsid w:val="008241CE"/>
    <w:rsid w:val="008244F3"/>
    <w:rsid w:val="00824A38"/>
    <w:rsid w:val="00824C33"/>
    <w:rsid w:val="00825424"/>
    <w:rsid w:val="00826662"/>
    <w:rsid w:val="00827164"/>
    <w:rsid w:val="008306BD"/>
    <w:rsid w:val="00830CD4"/>
    <w:rsid w:val="00830DEE"/>
    <w:rsid w:val="008312D6"/>
    <w:rsid w:val="00831609"/>
    <w:rsid w:val="0083179D"/>
    <w:rsid w:val="00831A80"/>
    <w:rsid w:val="00831B77"/>
    <w:rsid w:val="00833743"/>
    <w:rsid w:val="00833BF3"/>
    <w:rsid w:val="008340A4"/>
    <w:rsid w:val="0083549F"/>
    <w:rsid w:val="00836362"/>
    <w:rsid w:val="00836A49"/>
    <w:rsid w:val="0083734F"/>
    <w:rsid w:val="008375E0"/>
    <w:rsid w:val="00840891"/>
    <w:rsid w:val="00841120"/>
    <w:rsid w:val="0084215F"/>
    <w:rsid w:val="00844084"/>
    <w:rsid w:val="00846327"/>
    <w:rsid w:val="008468AB"/>
    <w:rsid w:val="008478F3"/>
    <w:rsid w:val="00847A71"/>
    <w:rsid w:val="0085069D"/>
    <w:rsid w:val="00850706"/>
    <w:rsid w:val="00850DC1"/>
    <w:rsid w:val="00851017"/>
    <w:rsid w:val="00852787"/>
    <w:rsid w:val="008527A4"/>
    <w:rsid w:val="008529EC"/>
    <w:rsid w:val="00852FE2"/>
    <w:rsid w:val="00853C93"/>
    <w:rsid w:val="00853E21"/>
    <w:rsid w:val="008543D2"/>
    <w:rsid w:val="0085567D"/>
    <w:rsid w:val="00855DB9"/>
    <w:rsid w:val="0085646D"/>
    <w:rsid w:val="0086063F"/>
    <w:rsid w:val="008608D6"/>
    <w:rsid w:val="00862391"/>
    <w:rsid w:val="00863381"/>
    <w:rsid w:val="00863715"/>
    <w:rsid w:val="0086441D"/>
    <w:rsid w:val="00864782"/>
    <w:rsid w:val="00864B96"/>
    <w:rsid w:val="00864E0A"/>
    <w:rsid w:val="00865410"/>
    <w:rsid w:val="00865B85"/>
    <w:rsid w:val="00865D32"/>
    <w:rsid w:val="00866547"/>
    <w:rsid w:val="00866CDF"/>
    <w:rsid w:val="00866DE2"/>
    <w:rsid w:val="0087135F"/>
    <w:rsid w:val="008717A4"/>
    <w:rsid w:val="00872D94"/>
    <w:rsid w:val="0087321A"/>
    <w:rsid w:val="008739A0"/>
    <w:rsid w:val="00874288"/>
    <w:rsid w:val="008743A0"/>
    <w:rsid w:val="00874617"/>
    <w:rsid w:val="0087636F"/>
    <w:rsid w:val="00877662"/>
    <w:rsid w:val="0088009C"/>
    <w:rsid w:val="00880364"/>
    <w:rsid w:val="0088043D"/>
    <w:rsid w:val="00881E2B"/>
    <w:rsid w:val="00881ECD"/>
    <w:rsid w:val="00882539"/>
    <w:rsid w:val="00882711"/>
    <w:rsid w:val="00884C61"/>
    <w:rsid w:val="00886E69"/>
    <w:rsid w:val="00886F60"/>
    <w:rsid w:val="00887082"/>
    <w:rsid w:val="008875AA"/>
    <w:rsid w:val="00887D73"/>
    <w:rsid w:val="00890401"/>
    <w:rsid w:val="008908BA"/>
    <w:rsid w:val="00891592"/>
    <w:rsid w:val="00891E9E"/>
    <w:rsid w:val="0089379C"/>
    <w:rsid w:val="008946E1"/>
    <w:rsid w:val="008966AE"/>
    <w:rsid w:val="00896A24"/>
    <w:rsid w:val="00897A81"/>
    <w:rsid w:val="008A00EC"/>
    <w:rsid w:val="008A0C4C"/>
    <w:rsid w:val="008A105D"/>
    <w:rsid w:val="008A14A6"/>
    <w:rsid w:val="008A2F68"/>
    <w:rsid w:val="008A2F98"/>
    <w:rsid w:val="008A44D7"/>
    <w:rsid w:val="008A4A91"/>
    <w:rsid w:val="008A6CBE"/>
    <w:rsid w:val="008A78A8"/>
    <w:rsid w:val="008B277C"/>
    <w:rsid w:val="008B2D0E"/>
    <w:rsid w:val="008B317A"/>
    <w:rsid w:val="008B3764"/>
    <w:rsid w:val="008B3994"/>
    <w:rsid w:val="008B3E94"/>
    <w:rsid w:val="008B4F0D"/>
    <w:rsid w:val="008B4F4C"/>
    <w:rsid w:val="008B4FA6"/>
    <w:rsid w:val="008B5282"/>
    <w:rsid w:val="008B6912"/>
    <w:rsid w:val="008B7C17"/>
    <w:rsid w:val="008B7E81"/>
    <w:rsid w:val="008C0427"/>
    <w:rsid w:val="008C19FF"/>
    <w:rsid w:val="008C1F9E"/>
    <w:rsid w:val="008C2D01"/>
    <w:rsid w:val="008C2F46"/>
    <w:rsid w:val="008C3174"/>
    <w:rsid w:val="008C327F"/>
    <w:rsid w:val="008C3C98"/>
    <w:rsid w:val="008C3F42"/>
    <w:rsid w:val="008C40E6"/>
    <w:rsid w:val="008C6D75"/>
    <w:rsid w:val="008C71CF"/>
    <w:rsid w:val="008C76F8"/>
    <w:rsid w:val="008D0B47"/>
    <w:rsid w:val="008D0D8A"/>
    <w:rsid w:val="008D0F7A"/>
    <w:rsid w:val="008D1291"/>
    <w:rsid w:val="008D1B63"/>
    <w:rsid w:val="008D47B9"/>
    <w:rsid w:val="008D58F6"/>
    <w:rsid w:val="008D68E4"/>
    <w:rsid w:val="008D6E45"/>
    <w:rsid w:val="008D6FF2"/>
    <w:rsid w:val="008D7578"/>
    <w:rsid w:val="008D7F0D"/>
    <w:rsid w:val="008E029F"/>
    <w:rsid w:val="008E0506"/>
    <w:rsid w:val="008E0CFF"/>
    <w:rsid w:val="008E1BA8"/>
    <w:rsid w:val="008E1D36"/>
    <w:rsid w:val="008E22FB"/>
    <w:rsid w:val="008E4030"/>
    <w:rsid w:val="008E45F3"/>
    <w:rsid w:val="008E5930"/>
    <w:rsid w:val="008E5D6B"/>
    <w:rsid w:val="008E66A8"/>
    <w:rsid w:val="008E699A"/>
    <w:rsid w:val="008E6AFE"/>
    <w:rsid w:val="008E7451"/>
    <w:rsid w:val="008E76F0"/>
    <w:rsid w:val="008E79C1"/>
    <w:rsid w:val="008E7D06"/>
    <w:rsid w:val="008E7E85"/>
    <w:rsid w:val="008F0564"/>
    <w:rsid w:val="008F15FE"/>
    <w:rsid w:val="008F20AA"/>
    <w:rsid w:val="008F235A"/>
    <w:rsid w:val="008F2764"/>
    <w:rsid w:val="008F2D29"/>
    <w:rsid w:val="008F3677"/>
    <w:rsid w:val="008F434B"/>
    <w:rsid w:val="008F5187"/>
    <w:rsid w:val="008F52D9"/>
    <w:rsid w:val="008F5E60"/>
    <w:rsid w:val="008F60D8"/>
    <w:rsid w:val="008F7A61"/>
    <w:rsid w:val="008F7A72"/>
    <w:rsid w:val="009001A3"/>
    <w:rsid w:val="00900499"/>
    <w:rsid w:val="00901DAF"/>
    <w:rsid w:val="009021F2"/>
    <w:rsid w:val="009024E0"/>
    <w:rsid w:val="00902507"/>
    <w:rsid w:val="00902727"/>
    <w:rsid w:val="00902A52"/>
    <w:rsid w:val="0090312B"/>
    <w:rsid w:val="00903262"/>
    <w:rsid w:val="009042D4"/>
    <w:rsid w:val="0090442E"/>
    <w:rsid w:val="009057D9"/>
    <w:rsid w:val="009073D9"/>
    <w:rsid w:val="0090751E"/>
    <w:rsid w:val="00907CBE"/>
    <w:rsid w:val="00910442"/>
    <w:rsid w:val="00911986"/>
    <w:rsid w:val="00912CA6"/>
    <w:rsid w:val="00913CD3"/>
    <w:rsid w:val="009156D7"/>
    <w:rsid w:val="00915875"/>
    <w:rsid w:val="0091736D"/>
    <w:rsid w:val="00917659"/>
    <w:rsid w:val="00917991"/>
    <w:rsid w:val="0091799F"/>
    <w:rsid w:val="00921CD1"/>
    <w:rsid w:val="00922107"/>
    <w:rsid w:val="00922757"/>
    <w:rsid w:val="00922C5D"/>
    <w:rsid w:val="00923C8D"/>
    <w:rsid w:val="009242F0"/>
    <w:rsid w:val="00924EE4"/>
    <w:rsid w:val="009256E0"/>
    <w:rsid w:val="0093037A"/>
    <w:rsid w:val="00930C54"/>
    <w:rsid w:val="00930EBC"/>
    <w:rsid w:val="00930F82"/>
    <w:rsid w:val="00933C0D"/>
    <w:rsid w:val="00934A9A"/>
    <w:rsid w:val="00935382"/>
    <w:rsid w:val="009353A6"/>
    <w:rsid w:val="00935474"/>
    <w:rsid w:val="00937332"/>
    <w:rsid w:val="00937514"/>
    <w:rsid w:val="00937639"/>
    <w:rsid w:val="00937D4F"/>
    <w:rsid w:val="0094086C"/>
    <w:rsid w:val="009409CE"/>
    <w:rsid w:val="00940E22"/>
    <w:rsid w:val="00941307"/>
    <w:rsid w:val="0094154D"/>
    <w:rsid w:val="00941D6C"/>
    <w:rsid w:val="009429E6"/>
    <w:rsid w:val="00943029"/>
    <w:rsid w:val="00944E76"/>
    <w:rsid w:val="00945024"/>
    <w:rsid w:val="009451F7"/>
    <w:rsid w:val="009455C1"/>
    <w:rsid w:val="009465E5"/>
    <w:rsid w:val="00946F9C"/>
    <w:rsid w:val="00947047"/>
    <w:rsid w:val="00947C90"/>
    <w:rsid w:val="009501FF"/>
    <w:rsid w:val="00950324"/>
    <w:rsid w:val="00950D3C"/>
    <w:rsid w:val="0095155F"/>
    <w:rsid w:val="00952036"/>
    <w:rsid w:val="00952181"/>
    <w:rsid w:val="00952F40"/>
    <w:rsid w:val="00954429"/>
    <w:rsid w:val="00954CD0"/>
    <w:rsid w:val="00955333"/>
    <w:rsid w:val="009556ED"/>
    <w:rsid w:val="00955960"/>
    <w:rsid w:val="00956180"/>
    <w:rsid w:val="009563CE"/>
    <w:rsid w:val="00956FF3"/>
    <w:rsid w:val="0096024D"/>
    <w:rsid w:val="00960262"/>
    <w:rsid w:val="0096040C"/>
    <w:rsid w:val="00960420"/>
    <w:rsid w:val="009605C7"/>
    <w:rsid w:val="00962A33"/>
    <w:rsid w:val="00962D33"/>
    <w:rsid w:val="00963235"/>
    <w:rsid w:val="00963A9E"/>
    <w:rsid w:val="00964986"/>
    <w:rsid w:val="00964AD4"/>
    <w:rsid w:val="00964C9D"/>
    <w:rsid w:val="00966415"/>
    <w:rsid w:val="00967100"/>
    <w:rsid w:val="009671A0"/>
    <w:rsid w:val="00967D6E"/>
    <w:rsid w:val="00967F33"/>
    <w:rsid w:val="009709BC"/>
    <w:rsid w:val="00970A8E"/>
    <w:rsid w:val="00970D6C"/>
    <w:rsid w:val="00970ED7"/>
    <w:rsid w:val="00970F63"/>
    <w:rsid w:val="00971BC1"/>
    <w:rsid w:val="00971D51"/>
    <w:rsid w:val="00972438"/>
    <w:rsid w:val="009726C0"/>
    <w:rsid w:val="00973C94"/>
    <w:rsid w:val="00974E32"/>
    <w:rsid w:val="009758AB"/>
    <w:rsid w:val="00975DCB"/>
    <w:rsid w:val="00976328"/>
    <w:rsid w:val="0097680D"/>
    <w:rsid w:val="00977049"/>
    <w:rsid w:val="0097752A"/>
    <w:rsid w:val="009779BA"/>
    <w:rsid w:val="00980865"/>
    <w:rsid w:val="00980A9C"/>
    <w:rsid w:val="00980DA7"/>
    <w:rsid w:val="009822AA"/>
    <w:rsid w:val="00982438"/>
    <w:rsid w:val="00982735"/>
    <w:rsid w:val="00982878"/>
    <w:rsid w:val="00982C77"/>
    <w:rsid w:val="00982CC2"/>
    <w:rsid w:val="009834F9"/>
    <w:rsid w:val="009836A5"/>
    <w:rsid w:val="00983BCD"/>
    <w:rsid w:val="0098404C"/>
    <w:rsid w:val="00984A24"/>
    <w:rsid w:val="00985283"/>
    <w:rsid w:val="00985C74"/>
    <w:rsid w:val="0098777E"/>
    <w:rsid w:val="00990760"/>
    <w:rsid w:val="00990A21"/>
    <w:rsid w:val="009916AB"/>
    <w:rsid w:val="00992013"/>
    <w:rsid w:val="009920E3"/>
    <w:rsid w:val="009934E5"/>
    <w:rsid w:val="009944B8"/>
    <w:rsid w:val="00994561"/>
    <w:rsid w:val="00994A30"/>
    <w:rsid w:val="00994D40"/>
    <w:rsid w:val="00994D56"/>
    <w:rsid w:val="00995992"/>
    <w:rsid w:val="00995A35"/>
    <w:rsid w:val="00996E47"/>
    <w:rsid w:val="009A03E5"/>
    <w:rsid w:val="009A0F3B"/>
    <w:rsid w:val="009A1BB4"/>
    <w:rsid w:val="009A2075"/>
    <w:rsid w:val="009A250C"/>
    <w:rsid w:val="009A2628"/>
    <w:rsid w:val="009A3200"/>
    <w:rsid w:val="009A362F"/>
    <w:rsid w:val="009A3A93"/>
    <w:rsid w:val="009A5CA2"/>
    <w:rsid w:val="009A7D11"/>
    <w:rsid w:val="009B0897"/>
    <w:rsid w:val="009B377C"/>
    <w:rsid w:val="009B3B51"/>
    <w:rsid w:val="009B3BAF"/>
    <w:rsid w:val="009B5AF3"/>
    <w:rsid w:val="009B5C1C"/>
    <w:rsid w:val="009B6D1E"/>
    <w:rsid w:val="009B6F4E"/>
    <w:rsid w:val="009B76D5"/>
    <w:rsid w:val="009B7A2B"/>
    <w:rsid w:val="009B7BD9"/>
    <w:rsid w:val="009C04DC"/>
    <w:rsid w:val="009C0C12"/>
    <w:rsid w:val="009C19EE"/>
    <w:rsid w:val="009C308A"/>
    <w:rsid w:val="009C6304"/>
    <w:rsid w:val="009C6A4F"/>
    <w:rsid w:val="009C7DD5"/>
    <w:rsid w:val="009C7F93"/>
    <w:rsid w:val="009D0162"/>
    <w:rsid w:val="009D02DF"/>
    <w:rsid w:val="009D0822"/>
    <w:rsid w:val="009D27BD"/>
    <w:rsid w:val="009D2D5F"/>
    <w:rsid w:val="009D382F"/>
    <w:rsid w:val="009D3BFE"/>
    <w:rsid w:val="009D589D"/>
    <w:rsid w:val="009D5D2C"/>
    <w:rsid w:val="009D60A8"/>
    <w:rsid w:val="009D6281"/>
    <w:rsid w:val="009D73AE"/>
    <w:rsid w:val="009E04FC"/>
    <w:rsid w:val="009E187B"/>
    <w:rsid w:val="009E227D"/>
    <w:rsid w:val="009E2B71"/>
    <w:rsid w:val="009E3102"/>
    <w:rsid w:val="009E31CA"/>
    <w:rsid w:val="009E3C7F"/>
    <w:rsid w:val="009E3CE6"/>
    <w:rsid w:val="009E455A"/>
    <w:rsid w:val="009E49C6"/>
    <w:rsid w:val="009E5019"/>
    <w:rsid w:val="009E5544"/>
    <w:rsid w:val="009E6D8C"/>
    <w:rsid w:val="009F0648"/>
    <w:rsid w:val="009F0CF5"/>
    <w:rsid w:val="009F3561"/>
    <w:rsid w:val="009F4064"/>
    <w:rsid w:val="009F52AF"/>
    <w:rsid w:val="009F6E35"/>
    <w:rsid w:val="00A01B70"/>
    <w:rsid w:val="00A0326D"/>
    <w:rsid w:val="00A03334"/>
    <w:rsid w:val="00A03C78"/>
    <w:rsid w:val="00A04605"/>
    <w:rsid w:val="00A04AD1"/>
    <w:rsid w:val="00A04D5C"/>
    <w:rsid w:val="00A04F1B"/>
    <w:rsid w:val="00A0501B"/>
    <w:rsid w:val="00A0687D"/>
    <w:rsid w:val="00A070B6"/>
    <w:rsid w:val="00A0763D"/>
    <w:rsid w:val="00A102A0"/>
    <w:rsid w:val="00A1030A"/>
    <w:rsid w:val="00A11257"/>
    <w:rsid w:val="00A11A99"/>
    <w:rsid w:val="00A148E6"/>
    <w:rsid w:val="00A14947"/>
    <w:rsid w:val="00A15913"/>
    <w:rsid w:val="00A16F56"/>
    <w:rsid w:val="00A1717D"/>
    <w:rsid w:val="00A205D1"/>
    <w:rsid w:val="00A24BDB"/>
    <w:rsid w:val="00A24DDF"/>
    <w:rsid w:val="00A24E08"/>
    <w:rsid w:val="00A2563D"/>
    <w:rsid w:val="00A25A89"/>
    <w:rsid w:val="00A26BCC"/>
    <w:rsid w:val="00A26E6D"/>
    <w:rsid w:val="00A2721E"/>
    <w:rsid w:val="00A300C7"/>
    <w:rsid w:val="00A302A0"/>
    <w:rsid w:val="00A303E8"/>
    <w:rsid w:val="00A317F7"/>
    <w:rsid w:val="00A32A83"/>
    <w:rsid w:val="00A32E06"/>
    <w:rsid w:val="00A3395C"/>
    <w:rsid w:val="00A33F8A"/>
    <w:rsid w:val="00A343A1"/>
    <w:rsid w:val="00A34910"/>
    <w:rsid w:val="00A368DB"/>
    <w:rsid w:val="00A36E05"/>
    <w:rsid w:val="00A37160"/>
    <w:rsid w:val="00A373A7"/>
    <w:rsid w:val="00A41DE0"/>
    <w:rsid w:val="00A423AA"/>
    <w:rsid w:val="00A43746"/>
    <w:rsid w:val="00A437A7"/>
    <w:rsid w:val="00A451F2"/>
    <w:rsid w:val="00A463DC"/>
    <w:rsid w:val="00A46E6D"/>
    <w:rsid w:val="00A47C82"/>
    <w:rsid w:val="00A504D2"/>
    <w:rsid w:val="00A518A5"/>
    <w:rsid w:val="00A51B12"/>
    <w:rsid w:val="00A527A8"/>
    <w:rsid w:val="00A52A06"/>
    <w:rsid w:val="00A52FCC"/>
    <w:rsid w:val="00A53EC6"/>
    <w:rsid w:val="00A54BFF"/>
    <w:rsid w:val="00A55C0F"/>
    <w:rsid w:val="00A569FE"/>
    <w:rsid w:val="00A56AEB"/>
    <w:rsid w:val="00A56C03"/>
    <w:rsid w:val="00A610DA"/>
    <w:rsid w:val="00A6149F"/>
    <w:rsid w:val="00A62723"/>
    <w:rsid w:val="00A6299B"/>
    <w:rsid w:val="00A62BC4"/>
    <w:rsid w:val="00A62C93"/>
    <w:rsid w:val="00A63EC2"/>
    <w:rsid w:val="00A64705"/>
    <w:rsid w:val="00A64FA2"/>
    <w:rsid w:val="00A6706C"/>
    <w:rsid w:val="00A674A0"/>
    <w:rsid w:val="00A67E46"/>
    <w:rsid w:val="00A7074D"/>
    <w:rsid w:val="00A71988"/>
    <w:rsid w:val="00A71B33"/>
    <w:rsid w:val="00A71BA8"/>
    <w:rsid w:val="00A71CFB"/>
    <w:rsid w:val="00A72427"/>
    <w:rsid w:val="00A72F0E"/>
    <w:rsid w:val="00A73542"/>
    <w:rsid w:val="00A7374E"/>
    <w:rsid w:val="00A73F10"/>
    <w:rsid w:val="00A761C5"/>
    <w:rsid w:val="00A7690D"/>
    <w:rsid w:val="00A76B56"/>
    <w:rsid w:val="00A777DC"/>
    <w:rsid w:val="00A817DF"/>
    <w:rsid w:val="00A82B84"/>
    <w:rsid w:val="00A83E62"/>
    <w:rsid w:val="00A8456E"/>
    <w:rsid w:val="00A85E4C"/>
    <w:rsid w:val="00A865A6"/>
    <w:rsid w:val="00A870BC"/>
    <w:rsid w:val="00A8713F"/>
    <w:rsid w:val="00A87BB5"/>
    <w:rsid w:val="00A87E25"/>
    <w:rsid w:val="00A90BA1"/>
    <w:rsid w:val="00A910AB"/>
    <w:rsid w:val="00A914F1"/>
    <w:rsid w:val="00A91B59"/>
    <w:rsid w:val="00A92DD9"/>
    <w:rsid w:val="00A93ABC"/>
    <w:rsid w:val="00A94449"/>
    <w:rsid w:val="00A94911"/>
    <w:rsid w:val="00A94B51"/>
    <w:rsid w:val="00A94D04"/>
    <w:rsid w:val="00A94E3D"/>
    <w:rsid w:val="00A95C78"/>
    <w:rsid w:val="00A95E9A"/>
    <w:rsid w:val="00A975AD"/>
    <w:rsid w:val="00A97A9A"/>
    <w:rsid w:val="00A97B6A"/>
    <w:rsid w:val="00AA0671"/>
    <w:rsid w:val="00AA0712"/>
    <w:rsid w:val="00AA08B8"/>
    <w:rsid w:val="00AA090E"/>
    <w:rsid w:val="00AA0E66"/>
    <w:rsid w:val="00AA1A96"/>
    <w:rsid w:val="00AA2531"/>
    <w:rsid w:val="00AA25AB"/>
    <w:rsid w:val="00AA28BE"/>
    <w:rsid w:val="00AA301D"/>
    <w:rsid w:val="00AA350D"/>
    <w:rsid w:val="00AA3FA2"/>
    <w:rsid w:val="00AA45BA"/>
    <w:rsid w:val="00AA65D1"/>
    <w:rsid w:val="00AA6781"/>
    <w:rsid w:val="00AA6C0F"/>
    <w:rsid w:val="00AA6CE8"/>
    <w:rsid w:val="00AA791A"/>
    <w:rsid w:val="00AB06B4"/>
    <w:rsid w:val="00AB09CD"/>
    <w:rsid w:val="00AB0A7C"/>
    <w:rsid w:val="00AB0D9C"/>
    <w:rsid w:val="00AB1080"/>
    <w:rsid w:val="00AB1E09"/>
    <w:rsid w:val="00AB2DA2"/>
    <w:rsid w:val="00AB3166"/>
    <w:rsid w:val="00AB3ED6"/>
    <w:rsid w:val="00AB5330"/>
    <w:rsid w:val="00AB645B"/>
    <w:rsid w:val="00AB6B63"/>
    <w:rsid w:val="00AB755C"/>
    <w:rsid w:val="00AB7747"/>
    <w:rsid w:val="00AB7B32"/>
    <w:rsid w:val="00AC0345"/>
    <w:rsid w:val="00AC050C"/>
    <w:rsid w:val="00AC0749"/>
    <w:rsid w:val="00AC0934"/>
    <w:rsid w:val="00AC14CE"/>
    <w:rsid w:val="00AC29FC"/>
    <w:rsid w:val="00AC2A56"/>
    <w:rsid w:val="00AC2B80"/>
    <w:rsid w:val="00AC370C"/>
    <w:rsid w:val="00AC4EDC"/>
    <w:rsid w:val="00AC6158"/>
    <w:rsid w:val="00AC63F2"/>
    <w:rsid w:val="00AC6F1C"/>
    <w:rsid w:val="00AC71D8"/>
    <w:rsid w:val="00AC7839"/>
    <w:rsid w:val="00AD035B"/>
    <w:rsid w:val="00AD055E"/>
    <w:rsid w:val="00AD2A60"/>
    <w:rsid w:val="00AD2D8F"/>
    <w:rsid w:val="00AD378A"/>
    <w:rsid w:val="00AD3BDD"/>
    <w:rsid w:val="00AD4060"/>
    <w:rsid w:val="00AD469A"/>
    <w:rsid w:val="00AD47A7"/>
    <w:rsid w:val="00AE0141"/>
    <w:rsid w:val="00AE04D8"/>
    <w:rsid w:val="00AE04F8"/>
    <w:rsid w:val="00AE07E7"/>
    <w:rsid w:val="00AE0822"/>
    <w:rsid w:val="00AE1900"/>
    <w:rsid w:val="00AE24B8"/>
    <w:rsid w:val="00AE2D87"/>
    <w:rsid w:val="00AE39EE"/>
    <w:rsid w:val="00AE3AC3"/>
    <w:rsid w:val="00AE3ED5"/>
    <w:rsid w:val="00AE3FD5"/>
    <w:rsid w:val="00AE4452"/>
    <w:rsid w:val="00AE5403"/>
    <w:rsid w:val="00AE62D7"/>
    <w:rsid w:val="00AE6439"/>
    <w:rsid w:val="00AE663A"/>
    <w:rsid w:val="00AE693F"/>
    <w:rsid w:val="00AE7925"/>
    <w:rsid w:val="00AF0790"/>
    <w:rsid w:val="00AF093E"/>
    <w:rsid w:val="00AF0A6C"/>
    <w:rsid w:val="00AF0CBF"/>
    <w:rsid w:val="00AF12A4"/>
    <w:rsid w:val="00AF257F"/>
    <w:rsid w:val="00AF324B"/>
    <w:rsid w:val="00AF33CF"/>
    <w:rsid w:val="00AF372E"/>
    <w:rsid w:val="00AF4D50"/>
    <w:rsid w:val="00AF5160"/>
    <w:rsid w:val="00AF54FB"/>
    <w:rsid w:val="00AF5ECA"/>
    <w:rsid w:val="00AF6179"/>
    <w:rsid w:val="00AF6AC1"/>
    <w:rsid w:val="00AF7F7A"/>
    <w:rsid w:val="00B00138"/>
    <w:rsid w:val="00B016A9"/>
    <w:rsid w:val="00B049AE"/>
    <w:rsid w:val="00B04CC9"/>
    <w:rsid w:val="00B0611D"/>
    <w:rsid w:val="00B06413"/>
    <w:rsid w:val="00B06888"/>
    <w:rsid w:val="00B06D93"/>
    <w:rsid w:val="00B07BD5"/>
    <w:rsid w:val="00B07C26"/>
    <w:rsid w:val="00B1269D"/>
    <w:rsid w:val="00B1295A"/>
    <w:rsid w:val="00B13AAA"/>
    <w:rsid w:val="00B146D5"/>
    <w:rsid w:val="00B17606"/>
    <w:rsid w:val="00B2011D"/>
    <w:rsid w:val="00B20A45"/>
    <w:rsid w:val="00B211A9"/>
    <w:rsid w:val="00B214CC"/>
    <w:rsid w:val="00B215F3"/>
    <w:rsid w:val="00B22543"/>
    <w:rsid w:val="00B22C5C"/>
    <w:rsid w:val="00B22EBB"/>
    <w:rsid w:val="00B2337D"/>
    <w:rsid w:val="00B24E45"/>
    <w:rsid w:val="00B24F30"/>
    <w:rsid w:val="00B25EB6"/>
    <w:rsid w:val="00B263DB"/>
    <w:rsid w:val="00B264D8"/>
    <w:rsid w:val="00B30275"/>
    <w:rsid w:val="00B302B3"/>
    <w:rsid w:val="00B3056E"/>
    <w:rsid w:val="00B30C72"/>
    <w:rsid w:val="00B31ABF"/>
    <w:rsid w:val="00B31CFE"/>
    <w:rsid w:val="00B32004"/>
    <w:rsid w:val="00B32C14"/>
    <w:rsid w:val="00B335D0"/>
    <w:rsid w:val="00B33BE3"/>
    <w:rsid w:val="00B34896"/>
    <w:rsid w:val="00B3701F"/>
    <w:rsid w:val="00B37AEF"/>
    <w:rsid w:val="00B37AF7"/>
    <w:rsid w:val="00B37ED3"/>
    <w:rsid w:val="00B40696"/>
    <w:rsid w:val="00B409D2"/>
    <w:rsid w:val="00B40E03"/>
    <w:rsid w:val="00B4119A"/>
    <w:rsid w:val="00B42125"/>
    <w:rsid w:val="00B42797"/>
    <w:rsid w:val="00B4427B"/>
    <w:rsid w:val="00B4543C"/>
    <w:rsid w:val="00B4605D"/>
    <w:rsid w:val="00B46751"/>
    <w:rsid w:val="00B46AE1"/>
    <w:rsid w:val="00B50825"/>
    <w:rsid w:val="00B5125A"/>
    <w:rsid w:val="00B51563"/>
    <w:rsid w:val="00B5177D"/>
    <w:rsid w:val="00B51C57"/>
    <w:rsid w:val="00B53B5D"/>
    <w:rsid w:val="00B53BA2"/>
    <w:rsid w:val="00B543C5"/>
    <w:rsid w:val="00B549FB"/>
    <w:rsid w:val="00B54A8E"/>
    <w:rsid w:val="00B56E30"/>
    <w:rsid w:val="00B56FCD"/>
    <w:rsid w:val="00B6055E"/>
    <w:rsid w:val="00B6130A"/>
    <w:rsid w:val="00B6181F"/>
    <w:rsid w:val="00B61D46"/>
    <w:rsid w:val="00B62645"/>
    <w:rsid w:val="00B62BFC"/>
    <w:rsid w:val="00B6317D"/>
    <w:rsid w:val="00B64213"/>
    <w:rsid w:val="00B64662"/>
    <w:rsid w:val="00B64809"/>
    <w:rsid w:val="00B65090"/>
    <w:rsid w:val="00B653CA"/>
    <w:rsid w:val="00B70998"/>
    <w:rsid w:val="00B70A58"/>
    <w:rsid w:val="00B72A8B"/>
    <w:rsid w:val="00B72C6A"/>
    <w:rsid w:val="00B734FA"/>
    <w:rsid w:val="00B7399E"/>
    <w:rsid w:val="00B7443A"/>
    <w:rsid w:val="00B7603E"/>
    <w:rsid w:val="00B76498"/>
    <w:rsid w:val="00B7723F"/>
    <w:rsid w:val="00B77544"/>
    <w:rsid w:val="00B775D2"/>
    <w:rsid w:val="00B77F42"/>
    <w:rsid w:val="00B80534"/>
    <w:rsid w:val="00B80FD5"/>
    <w:rsid w:val="00B81097"/>
    <w:rsid w:val="00B8169C"/>
    <w:rsid w:val="00B82194"/>
    <w:rsid w:val="00B84007"/>
    <w:rsid w:val="00B8433C"/>
    <w:rsid w:val="00B85781"/>
    <w:rsid w:val="00B86959"/>
    <w:rsid w:val="00B8706D"/>
    <w:rsid w:val="00B8714D"/>
    <w:rsid w:val="00B87491"/>
    <w:rsid w:val="00B87C15"/>
    <w:rsid w:val="00B91C14"/>
    <w:rsid w:val="00B91FD5"/>
    <w:rsid w:val="00B92276"/>
    <w:rsid w:val="00B9506A"/>
    <w:rsid w:val="00B96130"/>
    <w:rsid w:val="00B974B0"/>
    <w:rsid w:val="00BA0DB1"/>
    <w:rsid w:val="00BA29E9"/>
    <w:rsid w:val="00BA38ED"/>
    <w:rsid w:val="00BA3FBF"/>
    <w:rsid w:val="00BA5891"/>
    <w:rsid w:val="00BA64C8"/>
    <w:rsid w:val="00BA710A"/>
    <w:rsid w:val="00BA7142"/>
    <w:rsid w:val="00BA7F07"/>
    <w:rsid w:val="00BB107F"/>
    <w:rsid w:val="00BB237C"/>
    <w:rsid w:val="00BB2D78"/>
    <w:rsid w:val="00BB41A3"/>
    <w:rsid w:val="00BB42B0"/>
    <w:rsid w:val="00BB4C59"/>
    <w:rsid w:val="00BB4E50"/>
    <w:rsid w:val="00BB4E6F"/>
    <w:rsid w:val="00BB6900"/>
    <w:rsid w:val="00BB743A"/>
    <w:rsid w:val="00BC0430"/>
    <w:rsid w:val="00BC07B3"/>
    <w:rsid w:val="00BC19AF"/>
    <w:rsid w:val="00BC1AA2"/>
    <w:rsid w:val="00BC1BAC"/>
    <w:rsid w:val="00BC261B"/>
    <w:rsid w:val="00BC32DC"/>
    <w:rsid w:val="00BC35B6"/>
    <w:rsid w:val="00BC50AE"/>
    <w:rsid w:val="00BC5348"/>
    <w:rsid w:val="00BC5B63"/>
    <w:rsid w:val="00BC66B0"/>
    <w:rsid w:val="00BC753C"/>
    <w:rsid w:val="00BC7BDB"/>
    <w:rsid w:val="00BD0F08"/>
    <w:rsid w:val="00BD15C2"/>
    <w:rsid w:val="00BD1B51"/>
    <w:rsid w:val="00BD226F"/>
    <w:rsid w:val="00BD266F"/>
    <w:rsid w:val="00BD272C"/>
    <w:rsid w:val="00BD3BFB"/>
    <w:rsid w:val="00BD404A"/>
    <w:rsid w:val="00BD4596"/>
    <w:rsid w:val="00BD4627"/>
    <w:rsid w:val="00BD4641"/>
    <w:rsid w:val="00BD75A4"/>
    <w:rsid w:val="00BD7841"/>
    <w:rsid w:val="00BE0410"/>
    <w:rsid w:val="00BE0FDA"/>
    <w:rsid w:val="00BE1293"/>
    <w:rsid w:val="00BE1405"/>
    <w:rsid w:val="00BE23BD"/>
    <w:rsid w:val="00BE312D"/>
    <w:rsid w:val="00BE31A8"/>
    <w:rsid w:val="00BE3574"/>
    <w:rsid w:val="00BE4AF3"/>
    <w:rsid w:val="00BE4D4A"/>
    <w:rsid w:val="00BE5450"/>
    <w:rsid w:val="00BE5A89"/>
    <w:rsid w:val="00BE5B2E"/>
    <w:rsid w:val="00BE6017"/>
    <w:rsid w:val="00BE6427"/>
    <w:rsid w:val="00BE7E7D"/>
    <w:rsid w:val="00BF0E09"/>
    <w:rsid w:val="00BF0E59"/>
    <w:rsid w:val="00BF1C20"/>
    <w:rsid w:val="00BF2451"/>
    <w:rsid w:val="00BF24F6"/>
    <w:rsid w:val="00BF2AD1"/>
    <w:rsid w:val="00BF2C76"/>
    <w:rsid w:val="00BF32EF"/>
    <w:rsid w:val="00BF3E55"/>
    <w:rsid w:val="00BF4798"/>
    <w:rsid w:val="00BF5265"/>
    <w:rsid w:val="00BF58E3"/>
    <w:rsid w:val="00BF5B47"/>
    <w:rsid w:val="00BF644B"/>
    <w:rsid w:val="00BF676A"/>
    <w:rsid w:val="00BF7360"/>
    <w:rsid w:val="00BF7445"/>
    <w:rsid w:val="00C00AF1"/>
    <w:rsid w:val="00C02126"/>
    <w:rsid w:val="00C0407A"/>
    <w:rsid w:val="00C0456A"/>
    <w:rsid w:val="00C05442"/>
    <w:rsid w:val="00C0578E"/>
    <w:rsid w:val="00C06191"/>
    <w:rsid w:val="00C06349"/>
    <w:rsid w:val="00C06826"/>
    <w:rsid w:val="00C06EE2"/>
    <w:rsid w:val="00C10578"/>
    <w:rsid w:val="00C10A1F"/>
    <w:rsid w:val="00C135BC"/>
    <w:rsid w:val="00C13EE8"/>
    <w:rsid w:val="00C1529F"/>
    <w:rsid w:val="00C159E6"/>
    <w:rsid w:val="00C15C95"/>
    <w:rsid w:val="00C1630F"/>
    <w:rsid w:val="00C16E29"/>
    <w:rsid w:val="00C17988"/>
    <w:rsid w:val="00C20096"/>
    <w:rsid w:val="00C21217"/>
    <w:rsid w:val="00C2133D"/>
    <w:rsid w:val="00C2197B"/>
    <w:rsid w:val="00C21C41"/>
    <w:rsid w:val="00C2204D"/>
    <w:rsid w:val="00C22A4E"/>
    <w:rsid w:val="00C23D45"/>
    <w:rsid w:val="00C249FC"/>
    <w:rsid w:val="00C25867"/>
    <w:rsid w:val="00C2596A"/>
    <w:rsid w:val="00C2611D"/>
    <w:rsid w:val="00C2630C"/>
    <w:rsid w:val="00C27537"/>
    <w:rsid w:val="00C30606"/>
    <w:rsid w:val="00C328FE"/>
    <w:rsid w:val="00C33507"/>
    <w:rsid w:val="00C341FC"/>
    <w:rsid w:val="00C342B1"/>
    <w:rsid w:val="00C3593D"/>
    <w:rsid w:val="00C36E4C"/>
    <w:rsid w:val="00C370B9"/>
    <w:rsid w:val="00C40648"/>
    <w:rsid w:val="00C40AE3"/>
    <w:rsid w:val="00C410E1"/>
    <w:rsid w:val="00C4150B"/>
    <w:rsid w:val="00C419BA"/>
    <w:rsid w:val="00C42BE6"/>
    <w:rsid w:val="00C4409D"/>
    <w:rsid w:val="00C44C75"/>
    <w:rsid w:val="00C44E72"/>
    <w:rsid w:val="00C45A06"/>
    <w:rsid w:val="00C46DFF"/>
    <w:rsid w:val="00C4723F"/>
    <w:rsid w:val="00C47E5B"/>
    <w:rsid w:val="00C511C5"/>
    <w:rsid w:val="00C513C1"/>
    <w:rsid w:val="00C513F7"/>
    <w:rsid w:val="00C51E32"/>
    <w:rsid w:val="00C522BB"/>
    <w:rsid w:val="00C52830"/>
    <w:rsid w:val="00C54A27"/>
    <w:rsid w:val="00C5572E"/>
    <w:rsid w:val="00C56030"/>
    <w:rsid w:val="00C61E4B"/>
    <w:rsid w:val="00C62956"/>
    <w:rsid w:val="00C631B3"/>
    <w:rsid w:val="00C638A0"/>
    <w:rsid w:val="00C64BFF"/>
    <w:rsid w:val="00C65285"/>
    <w:rsid w:val="00C6531D"/>
    <w:rsid w:val="00C65546"/>
    <w:rsid w:val="00C65622"/>
    <w:rsid w:val="00C704E9"/>
    <w:rsid w:val="00C7221A"/>
    <w:rsid w:val="00C739CD"/>
    <w:rsid w:val="00C74853"/>
    <w:rsid w:val="00C763C9"/>
    <w:rsid w:val="00C76B0A"/>
    <w:rsid w:val="00C76C0A"/>
    <w:rsid w:val="00C76EF0"/>
    <w:rsid w:val="00C7729E"/>
    <w:rsid w:val="00C80057"/>
    <w:rsid w:val="00C80F09"/>
    <w:rsid w:val="00C8165F"/>
    <w:rsid w:val="00C82214"/>
    <w:rsid w:val="00C82232"/>
    <w:rsid w:val="00C823B0"/>
    <w:rsid w:val="00C82700"/>
    <w:rsid w:val="00C82913"/>
    <w:rsid w:val="00C8293D"/>
    <w:rsid w:val="00C82E39"/>
    <w:rsid w:val="00C85202"/>
    <w:rsid w:val="00C85EBD"/>
    <w:rsid w:val="00C86868"/>
    <w:rsid w:val="00C871AB"/>
    <w:rsid w:val="00C87C08"/>
    <w:rsid w:val="00C900FE"/>
    <w:rsid w:val="00C90737"/>
    <w:rsid w:val="00C9115A"/>
    <w:rsid w:val="00C93452"/>
    <w:rsid w:val="00C948C4"/>
    <w:rsid w:val="00C95873"/>
    <w:rsid w:val="00C95C8D"/>
    <w:rsid w:val="00C971C7"/>
    <w:rsid w:val="00C971DB"/>
    <w:rsid w:val="00C972B1"/>
    <w:rsid w:val="00C974BE"/>
    <w:rsid w:val="00CA1E8F"/>
    <w:rsid w:val="00CA20BC"/>
    <w:rsid w:val="00CA2369"/>
    <w:rsid w:val="00CA29F8"/>
    <w:rsid w:val="00CA2BE4"/>
    <w:rsid w:val="00CA2C5C"/>
    <w:rsid w:val="00CA2CCE"/>
    <w:rsid w:val="00CA43FD"/>
    <w:rsid w:val="00CA449C"/>
    <w:rsid w:val="00CA4597"/>
    <w:rsid w:val="00CA5BA5"/>
    <w:rsid w:val="00CA68FE"/>
    <w:rsid w:val="00CA712C"/>
    <w:rsid w:val="00CA75E6"/>
    <w:rsid w:val="00CA7C4A"/>
    <w:rsid w:val="00CA7D43"/>
    <w:rsid w:val="00CA7EF8"/>
    <w:rsid w:val="00CB0378"/>
    <w:rsid w:val="00CB0A1F"/>
    <w:rsid w:val="00CB1337"/>
    <w:rsid w:val="00CB25AE"/>
    <w:rsid w:val="00CB3289"/>
    <w:rsid w:val="00CB3853"/>
    <w:rsid w:val="00CB3FD3"/>
    <w:rsid w:val="00CB429D"/>
    <w:rsid w:val="00CB5269"/>
    <w:rsid w:val="00CB56D1"/>
    <w:rsid w:val="00CB65E2"/>
    <w:rsid w:val="00CC05FF"/>
    <w:rsid w:val="00CC0B02"/>
    <w:rsid w:val="00CC0FEE"/>
    <w:rsid w:val="00CC1C9F"/>
    <w:rsid w:val="00CC1D95"/>
    <w:rsid w:val="00CC3828"/>
    <w:rsid w:val="00CC43ED"/>
    <w:rsid w:val="00CC489B"/>
    <w:rsid w:val="00CC68C0"/>
    <w:rsid w:val="00CC6A49"/>
    <w:rsid w:val="00CC7430"/>
    <w:rsid w:val="00CC79C1"/>
    <w:rsid w:val="00CD0FE9"/>
    <w:rsid w:val="00CD20F5"/>
    <w:rsid w:val="00CD2720"/>
    <w:rsid w:val="00CD2BCD"/>
    <w:rsid w:val="00CD3A4C"/>
    <w:rsid w:val="00CD4ACC"/>
    <w:rsid w:val="00CD50F7"/>
    <w:rsid w:val="00CD5F5A"/>
    <w:rsid w:val="00CD62C7"/>
    <w:rsid w:val="00CD632D"/>
    <w:rsid w:val="00CD7AEB"/>
    <w:rsid w:val="00CD7BB8"/>
    <w:rsid w:val="00CE10E9"/>
    <w:rsid w:val="00CE1F87"/>
    <w:rsid w:val="00CE21E8"/>
    <w:rsid w:val="00CE24B7"/>
    <w:rsid w:val="00CE2602"/>
    <w:rsid w:val="00CE2910"/>
    <w:rsid w:val="00CE3221"/>
    <w:rsid w:val="00CE5393"/>
    <w:rsid w:val="00CE545B"/>
    <w:rsid w:val="00CE5E8E"/>
    <w:rsid w:val="00CE64EA"/>
    <w:rsid w:val="00CE70F0"/>
    <w:rsid w:val="00CE75F2"/>
    <w:rsid w:val="00CE77EA"/>
    <w:rsid w:val="00CE79DC"/>
    <w:rsid w:val="00CE7C55"/>
    <w:rsid w:val="00CF15EB"/>
    <w:rsid w:val="00CF1810"/>
    <w:rsid w:val="00CF1BEE"/>
    <w:rsid w:val="00CF1C13"/>
    <w:rsid w:val="00CF22FD"/>
    <w:rsid w:val="00CF34C2"/>
    <w:rsid w:val="00CF36BE"/>
    <w:rsid w:val="00CF3AD3"/>
    <w:rsid w:val="00CF3F06"/>
    <w:rsid w:val="00CF41FA"/>
    <w:rsid w:val="00CF45D3"/>
    <w:rsid w:val="00CF6000"/>
    <w:rsid w:val="00CF6BCA"/>
    <w:rsid w:val="00CF6C0D"/>
    <w:rsid w:val="00CF6CAE"/>
    <w:rsid w:val="00CF792D"/>
    <w:rsid w:val="00CF7E36"/>
    <w:rsid w:val="00D002E7"/>
    <w:rsid w:val="00D003F3"/>
    <w:rsid w:val="00D00A3E"/>
    <w:rsid w:val="00D0136A"/>
    <w:rsid w:val="00D01837"/>
    <w:rsid w:val="00D021BE"/>
    <w:rsid w:val="00D02CD2"/>
    <w:rsid w:val="00D0364F"/>
    <w:rsid w:val="00D04810"/>
    <w:rsid w:val="00D04DD0"/>
    <w:rsid w:val="00D06834"/>
    <w:rsid w:val="00D0715E"/>
    <w:rsid w:val="00D111EE"/>
    <w:rsid w:val="00D11A61"/>
    <w:rsid w:val="00D11AEF"/>
    <w:rsid w:val="00D12F7D"/>
    <w:rsid w:val="00D1327D"/>
    <w:rsid w:val="00D140D3"/>
    <w:rsid w:val="00D15356"/>
    <w:rsid w:val="00D154AE"/>
    <w:rsid w:val="00D15B24"/>
    <w:rsid w:val="00D16600"/>
    <w:rsid w:val="00D20C89"/>
    <w:rsid w:val="00D21AA3"/>
    <w:rsid w:val="00D224FC"/>
    <w:rsid w:val="00D22860"/>
    <w:rsid w:val="00D22A96"/>
    <w:rsid w:val="00D22DDF"/>
    <w:rsid w:val="00D234C5"/>
    <w:rsid w:val="00D234F8"/>
    <w:rsid w:val="00D252B5"/>
    <w:rsid w:val="00D25859"/>
    <w:rsid w:val="00D25E57"/>
    <w:rsid w:val="00D26BA9"/>
    <w:rsid w:val="00D273AD"/>
    <w:rsid w:val="00D308ED"/>
    <w:rsid w:val="00D3261D"/>
    <w:rsid w:val="00D3322D"/>
    <w:rsid w:val="00D33EFB"/>
    <w:rsid w:val="00D3402A"/>
    <w:rsid w:val="00D341C9"/>
    <w:rsid w:val="00D3448F"/>
    <w:rsid w:val="00D347FA"/>
    <w:rsid w:val="00D3515E"/>
    <w:rsid w:val="00D35CBC"/>
    <w:rsid w:val="00D35E2F"/>
    <w:rsid w:val="00D36919"/>
    <w:rsid w:val="00D36D86"/>
    <w:rsid w:val="00D37CBE"/>
    <w:rsid w:val="00D4136B"/>
    <w:rsid w:val="00D42324"/>
    <w:rsid w:val="00D428AA"/>
    <w:rsid w:val="00D42A13"/>
    <w:rsid w:val="00D430A7"/>
    <w:rsid w:val="00D43525"/>
    <w:rsid w:val="00D45A06"/>
    <w:rsid w:val="00D45B3A"/>
    <w:rsid w:val="00D46611"/>
    <w:rsid w:val="00D476AB"/>
    <w:rsid w:val="00D50A34"/>
    <w:rsid w:val="00D5161B"/>
    <w:rsid w:val="00D51682"/>
    <w:rsid w:val="00D523B8"/>
    <w:rsid w:val="00D529BA"/>
    <w:rsid w:val="00D53EFA"/>
    <w:rsid w:val="00D5506C"/>
    <w:rsid w:val="00D558D5"/>
    <w:rsid w:val="00D579B5"/>
    <w:rsid w:val="00D604F3"/>
    <w:rsid w:val="00D6297C"/>
    <w:rsid w:val="00D62E39"/>
    <w:rsid w:val="00D63CD5"/>
    <w:rsid w:val="00D64D5C"/>
    <w:rsid w:val="00D65715"/>
    <w:rsid w:val="00D66137"/>
    <w:rsid w:val="00D66D16"/>
    <w:rsid w:val="00D671C9"/>
    <w:rsid w:val="00D67412"/>
    <w:rsid w:val="00D71189"/>
    <w:rsid w:val="00D7192B"/>
    <w:rsid w:val="00D720D7"/>
    <w:rsid w:val="00D72991"/>
    <w:rsid w:val="00D73263"/>
    <w:rsid w:val="00D732CA"/>
    <w:rsid w:val="00D7430A"/>
    <w:rsid w:val="00D748C1"/>
    <w:rsid w:val="00D752F3"/>
    <w:rsid w:val="00D75407"/>
    <w:rsid w:val="00D766D5"/>
    <w:rsid w:val="00D77937"/>
    <w:rsid w:val="00D81CC6"/>
    <w:rsid w:val="00D849EE"/>
    <w:rsid w:val="00D85F06"/>
    <w:rsid w:val="00D9118C"/>
    <w:rsid w:val="00D91A39"/>
    <w:rsid w:val="00D91F42"/>
    <w:rsid w:val="00D9263A"/>
    <w:rsid w:val="00D9283D"/>
    <w:rsid w:val="00D92F96"/>
    <w:rsid w:val="00D9382B"/>
    <w:rsid w:val="00D93FDD"/>
    <w:rsid w:val="00D94058"/>
    <w:rsid w:val="00D9429F"/>
    <w:rsid w:val="00D94A7C"/>
    <w:rsid w:val="00D94C91"/>
    <w:rsid w:val="00D95896"/>
    <w:rsid w:val="00D95B89"/>
    <w:rsid w:val="00D9628B"/>
    <w:rsid w:val="00D972FD"/>
    <w:rsid w:val="00D978B4"/>
    <w:rsid w:val="00D97A7E"/>
    <w:rsid w:val="00DA0FAB"/>
    <w:rsid w:val="00DA1549"/>
    <w:rsid w:val="00DA2643"/>
    <w:rsid w:val="00DA4F03"/>
    <w:rsid w:val="00DA50F6"/>
    <w:rsid w:val="00DA57C3"/>
    <w:rsid w:val="00DA6DD5"/>
    <w:rsid w:val="00DA77F7"/>
    <w:rsid w:val="00DB039A"/>
    <w:rsid w:val="00DB06DD"/>
    <w:rsid w:val="00DB1F1E"/>
    <w:rsid w:val="00DB2334"/>
    <w:rsid w:val="00DB2983"/>
    <w:rsid w:val="00DB2AFE"/>
    <w:rsid w:val="00DB2B3E"/>
    <w:rsid w:val="00DB453A"/>
    <w:rsid w:val="00DB6D53"/>
    <w:rsid w:val="00DB6F07"/>
    <w:rsid w:val="00DB74FD"/>
    <w:rsid w:val="00DC08FF"/>
    <w:rsid w:val="00DC1257"/>
    <w:rsid w:val="00DC1EE1"/>
    <w:rsid w:val="00DC2827"/>
    <w:rsid w:val="00DC3580"/>
    <w:rsid w:val="00DC3DC0"/>
    <w:rsid w:val="00DC3FBF"/>
    <w:rsid w:val="00DC4313"/>
    <w:rsid w:val="00DC44CC"/>
    <w:rsid w:val="00DC4DEC"/>
    <w:rsid w:val="00DC569D"/>
    <w:rsid w:val="00DC5B2B"/>
    <w:rsid w:val="00DC5DB7"/>
    <w:rsid w:val="00DD202C"/>
    <w:rsid w:val="00DD2DE4"/>
    <w:rsid w:val="00DD318D"/>
    <w:rsid w:val="00DD38E2"/>
    <w:rsid w:val="00DD400E"/>
    <w:rsid w:val="00DD473A"/>
    <w:rsid w:val="00DD58D9"/>
    <w:rsid w:val="00DD6357"/>
    <w:rsid w:val="00DD669B"/>
    <w:rsid w:val="00DD7E2E"/>
    <w:rsid w:val="00DD7FEF"/>
    <w:rsid w:val="00DE139E"/>
    <w:rsid w:val="00DE13FE"/>
    <w:rsid w:val="00DE33D1"/>
    <w:rsid w:val="00DE3729"/>
    <w:rsid w:val="00DE3D07"/>
    <w:rsid w:val="00DE3DAA"/>
    <w:rsid w:val="00DE73F2"/>
    <w:rsid w:val="00DE7C37"/>
    <w:rsid w:val="00DF0005"/>
    <w:rsid w:val="00DF0C4D"/>
    <w:rsid w:val="00DF16E1"/>
    <w:rsid w:val="00DF1AB3"/>
    <w:rsid w:val="00DF1B3B"/>
    <w:rsid w:val="00DF2E12"/>
    <w:rsid w:val="00DF360B"/>
    <w:rsid w:val="00DF3790"/>
    <w:rsid w:val="00DF514A"/>
    <w:rsid w:val="00DF5BBB"/>
    <w:rsid w:val="00DF6207"/>
    <w:rsid w:val="00DF6690"/>
    <w:rsid w:val="00DF6804"/>
    <w:rsid w:val="00DF6C63"/>
    <w:rsid w:val="00DF72AF"/>
    <w:rsid w:val="00E00B01"/>
    <w:rsid w:val="00E015F3"/>
    <w:rsid w:val="00E022C1"/>
    <w:rsid w:val="00E02680"/>
    <w:rsid w:val="00E02D35"/>
    <w:rsid w:val="00E02D80"/>
    <w:rsid w:val="00E03322"/>
    <w:rsid w:val="00E0358D"/>
    <w:rsid w:val="00E036F6"/>
    <w:rsid w:val="00E04323"/>
    <w:rsid w:val="00E06A0B"/>
    <w:rsid w:val="00E070A2"/>
    <w:rsid w:val="00E07A94"/>
    <w:rsid w:val="00E10C4E"/>
    <w:rsid w:val="00E11B2C"/>
    <w:rsid w:val="00E12953"/>
    <w:rsid w:val="00E13344"/>
    <w:rsid w:val="00E151AA"/>
    <w:rsid w:val="00E15AC4"/>
    <w:rsid w:val="00E17386"/>
    <w:rsid w:val="00E17762"/>
    <w:rsid w:val="00E2034D"/>
    <w:rsid w:val="00E20EB1"/>
    <w:rsid w:val="00E2148D"/>
    <w:rsid w:val="00E216EA"/>
    <w:rsid w:val="00E21DE7"/>
    <w:rsid w:val="00E22AE1"/>
    <w:rsid w:val="00E22CF3"/>
    <w:rsid w:val="00E251DD"/>
    <w:rsid w:val="00E2656A"/>
    <w:rsid w:val="00E27C24"/>
    <w:rsid w:val="00E27E04"/>
    <w:rsid w:val="00E30804"/>
    <w:rsid w:val="00E30AA2"/>
    <w:rsid w:val="00E30EA0"/>
    <w:rsid w:val="00E31D60"/>
    <w:rsid w:val="00E3225F"/>
    <w:rsid w:val="00E33141"/>
    <w:rsid w:val="00E35FF6"/>
    <w:rsid w:val="00E37341"/>
    <w:rsid w:val="00E37E07"/>
    <w:rsid w:val="00E4001B"/>
    <w:rsid w:val="00E412D0"/>
    <w:rsid w:val="00E427EA"/>
    <w:rsid w:val="00E436A2"/>
    <w:rsid w:val="00E453FB"/>
    <w:rsid w:val="00E47501"/>
    <w:rsid w:val="00E47A3B"/>
    <w:rsid w:val="00E47CA5"/>
    <w:rsid w:val="00E51123"/>
    <w:rsid w:val="00E51E45"/>
    <w:rsid w:val="00E51FFF"/>
    <w:rsid w:val="00E521FD"/>
    <w:rsid w:val="00E53756"/>
    <w:rsid w:val="00E55176"/>
    <w:rsid w:val="00E551A1"/>
    <w:rsid w:val="00E559A4"/>
    <w:rsid w:val="00E56322"/>
    <w:rsid w:val="00E56A10"/>
    <w:rsid w:val="00E56BCD"/>
    <w:rsid w:val="00E604E1"/>
    <w:rsid w:val="00E6059E"/>
    <w:rsid w:val="00E60982"/>
    <w:rsid w:val="00E60B5C"/>
    <w:rsid w:val="00E616C9"/>
    <w:rsid w:val="00E620CE"/>
    <w:rsid w:val="00E62527"/>
    <w:rsid w:val="00E62C62"/>
    <w:rsid w:val="00E631EA"/>
    <w:rsid w:val="00E6341F"/>
    <w:rsid w:val="00E646B1"/>
    <w:rsid w:val="00E648CF"/>
    <w:rsid w:val="00E654C1"/>
    <w:rsid w:val="00E65D97"/>
    <w:rsid w:val="00E66E5F"/>
    <w:rsid w:val="00E67FCD"/>
    <w:rsid w:val="00E708F7"/>
    <w:rsid w:val="00E70AFE"/>
    <w:rsid w:val="00E70C39"/>
    <w:rsid w:val="00E71E3F"/>
    <w:rsid w:val="00E72A5A"/>
    <w:rsid w:val="00E73068"/>
    <w:rsid w:val="00E73354"/>
    <w:rsid w:val="00E73BC7"/>
    <w:rsid w:val="00E743EE"/>
    <w:rsid w:val="00E7494F"/>
    <w:rsid w:val="00E759D9"/>
    <w:rsid w:val="00E762EB"/>
    <w:rsid w:val="00E76825"/>
    <w:rsid w:val="00E76B61"/>
    <w:rsid w:val="00E76BB6"/>
    <w:rsid w:val="00E777AF"/>
    <w:rsid w:val="00E77E30"/>
    <w:rsid w:val="00E801B2"/>
    <w:rsid w:val="00E80C77"/>
    <w:rsid w:val="00E81747"/>
    <w:rsid w:val="00E8435C"/>
    <w:rsid w:val="00E84774"/>
    <w:rsid w:val="00E85563"/>
    <w:rsid w:val="00E85B05"/>
    <w:rsid w:val="00E8644D"/>
    <w:rsid w:val="00E8652E"/>
    <w:rsid w:val="00E86F8C"/>
    <w:rsid w:val="00E87614"/>
    <w:rsid w:val="00E9017F"/>
    <w:rsid w:val="00E90494"/>
    <w:rsid w:val="00E9053D"/>
    <w:rsid w:val="00E9242D"/>
    <w:rsid w:val="00E929E6"/>
    <w:rsid w:val="00E93196"/>
    <w:rsid w:val="00E93990"/>
    <w:rsid w:val="00E94B56"/>
    <w:rsid w:val="00E95096"/>
    <w:rsid w:val="00E95181"/>
    <w:rsid w:val="00E957A5"/>
    <w:rsid w:val="00E968E0"/>
    <w:rsid w:val="00E97374"/>
    <w:rsid w:val="00EA2074"/>
    <w:rsid w:val="00EA3796"/>
    <w:rsid w:val="00EA38F4"/>
    <w:rsid w:val="00EA426C"/>
    <w:rsid w:val="00EA46FB"/>
    <w:rsid w:val="00EA5180"/>
    <w:rsid w:val="00EA55B9"/>
    <w:rsid w:val="00EA6D98"/>
    <w:rsid w:val="00EA7064"/>
    <w:rsid w:val="00EA799B"/>
    <w:rsid w:val="00EA7AB3"/>
    <w:rsid w:val="00EB0911"/>
    <w:rsid w:val="00EB12BA"/>
    <w:rsid w:val="00EB2283"/>
    <w:rsid w:val="00EB33D3"/>
    <w:rsid w:val="00EB3BA4"/>
    <w:rsid w:val="00EB5255"/>
    <w:rsid w:val="00EB5C47"/>
    <w:rsid w:val="00EB5D02"/>
    <w:rsid w:val="00EB5D79"/>
    <w:rsid w:val="00EB65F9"/>
    <w:rsid w:val="00EB7474"/>
    <w:rsid w:val="00EB7612"/>
    <w:rsid w:val="00EC1FEE"/>
    <w:rsid w:val="00EC3271"/>
    <w:rsid w:val="00EC4580"/>
    <w:rsid w:val="00EC4AF3"/>
    <w:rsid w:val="00EC7FD8"/>
    <w:rsid w:val="00ED0639"/>
    <w:rsid w:val="00ED1046"/>
    <w:rsid w:val="00ED1218"/>
    <w:rsid w:val="00ED1CBD"/>
    <w:rsid w:val="00ED290C"/>
    <w:rsid w:val="00ED2C6B"/>
    <w:rsid w:val="00ED3064"/>
    <w:rsid w:val="00ED620B"/>
    <w:rsid w:val="00ED6B9D"/>
    <w:rsid w:val="00EE0264"/>
    <w:rsid w:val="00EE0B45"/>
    <w:rsid w:val="00EE155B"/>
    <w:rsid w:val="00EE1F71"/>
    <w:rsid w:val="00EE20FF"/>
    <w:rsid w:val="00EE21A4"/>
    <w:rsid w:val="00EE3006"/>
    <w:rsid w:val="00EE3A89"/>
    <w:rsid w:val="00EE4EF2"/>
    <w:rsid w:val="00EE5470"/>
    <w:rsid w:val="00EE66E3"/>
    <w:rsid w:val="00EE69EE"/>
    <w:rsid w:val="00EF1E87"/>
    <w:rsid w:val="00EF34D1"/>
    <w:rsid w:val="00EF4755"/>
    <w:rsid w:val="00EF5482"/>
    <w:rsid w:val="00EF6152"/>
    <w:rsid w:val="00EF6667"/>
    <w:rsid w:val="00EF6908"/>
    <w:rsid w:val="00EF69D9"/>
    <w:rsid w:val="00EF6DE1"/>
    <w:rsid w:val="00EF7135"/>
    <w:rsid w:val="00EF7459"/>
    <w:rsid w:val="00F027DB"/>
    <w:rsid w:val="00F02D7F"/>
    <w:rsid w:val="00F037F4"/>
    <w:rsid w:val="00F038F9"/>
    <w:rsid w:val="00F055A6"/>
    <w:rsid w:val="00F0612B"/>
    <w:rsid w:val="00F0643B"/>
    <w:rsid w:val="00F06512"/>
    <w:rsid w:val="00F07749"/>
    <w:rsid w:val="00F0793A"/>
    <w:rsid w:val="00F1091A"/>
    <w:rsid w:val="00F10BE4"/>
    <w:rsid w:val="00F11B4B"/>
    <w:rsid w:val="00F11E0B"/>
    <w:rsid w:val="00F11E78"/>
    <w:rsid w:val="00F12686"/>
    <w:rsid w:val="00F12865"/>
    <w:rsid w:val="00F12AC7"/>
    <w:rsid w:val="00F12EF7"/>
    <w:rsid w:val="00F14A7A"/>
    <w:rsid w:val="00F15614"/>
    <w:rsid w:val="00F156DD"/>
    <w:rsid w:val="00F15CB3"/>
    <w:rsid w:val="00F1724A"/>
    <w:rsid w:val="00F17DA1"/>
    <w:rsid w:val="00F21E1D"/>
    <w:rsid w:val="00F22033"/>
    <w:rsid w:val="00F22985"/>
    <w:rsid w:val="00F2380D"/>
    <w:rsid w:val="00F25EF6"/>
    <w:rsid w:val="00F26826"/>
    <w:rsid w:val="00F3036B"/>
    <w:rsid w:val="00F31821"/>
    <w:rsid w:val="00F32A11"/>
    <w:rsid w:val="00F334A3"/>
    <w:rsid w:val="00F33739"/>
    <w:rsid w:val="00F3383E"/>
    <w:rsid w:val="00F34350"/>
    <w:rsid w:val="00F35620"/>
    <w:rsid w:val="00F36C36"/>
    <w:rsid w:val="00F37FD5"/>
    <w:rsid w:val="00F401DE"/>
    <w:rsid w:val="00F4045F"/>
    <w:rsid w:val="00F40677"/>
    <w:rsid w:val="00F411D7"/>
    <w:rsid w:val="00F4158A"/>
    <w:rsid w:val="00F41719"/>
    <w:rsid w:val="00F41725"/>
    <w:rsid w:val="00F429BA"/>
    <w:rsid w:val="00F449B0"/>
    <w:rsid w:val="00F45310"/>
    <w:rsid w:val="00F45615"/>
    <w:rsid w:val="00F465A7"/>
    <w:rsid w:val="00F466C7"/>
    <w:rsid w:val="00F47CB6"/>
    <w:rsid w:val="00F5072D"/>
    <w:rsid w:val="00F50B7C"/>
    <w:rsid w:val="00F50BAD"/>
    <w:rsid w:val="00F5130E"/>
    <w:rsid w:val="00F52BD0"/>
    <w:rsid w:val="00F5489E"/>
    <w:rsid w:val="00F550E6"/>
    <w:rsid w:val="00F55B52"/>
    <w:rsid w:val="00F568EE"/>
    <w:rsid w:val="00F60460"/>
    <w:rsid w:val="00F610C9"/>
    <w:rsid w:val="00F61EFC"/>
    <w:rsid w:val="00F645E9"/>
    <w:rsid w:val="00F65678"/>
    <w:rsid w:val="00F66409"/>
    <w:rsid w:val="00F66450"/>
    <w:rsid w:val="00F6667E"/>
    <w:rsid w:val="00F66F06"/>
    <w:rsid w:val="00F67423"/>
    <w:rsid w:val="00F678A9"/>
    <w:rsid w:val="00F71607"/>
    <w:rsid w:val="00F71789"/>
    <w:rsid w:val="00F72663"/>
    <w:rsid w:val="00F74345"/>
    <w:rsid w:val="00F74542"/>
    <w:rsid w:val="00F74D34"/>
    <w:rsid w:val="00F75205"/>
    <w:rsid w:val="00F757AD"/>
    <w:rsid w:val="00F76399"/>
    <w:rsid w:val="00F80A0A"/>
    <w:rsid w:val="00F82B19"/>
    <w:rsid w:val="00F84076"/>
    <w:rsid w:val="00F84A8D"/>
    <w:rsid w:val="00F852E0"/>
    <w:rsid w:val="00F852F0"/>
    <w:rsid w:val="00F856FB"/>
    <w:rsid w:val="00F8597F"/>
    <w:rsid w:val="00F86679"/>
    <w:rsid w:val="00F86C7E"/>
    <w:rsid w:val="00F86F89"/>
    <w:rsid w:val="00F9049C"/>
    <w:rsid w:val="00F910F3"/>
    <w:rsid w:val="00F91B3E"/>
    <w:rsid w:val="00F9212D"/>
    <w:rsid w:val="00F93945"/>
    <w:rsid w:val="00F9432B"/>
    <w:rsid w:val="00F95830"/>
    <w:rsid w:val="00F965DA"/>
    <w:rsid w:val="00F97572"/>
    <w:rsid w:val="00FA062F"/>
    <w:rsid w:val="00FA072C"/>
    <w:rsid w:val="00FA13A8"/>
    <w:rsid w:val="00FA1B15"/>
    <w:rsid w:val="00FA1DFA"/>
    <w:rsid w:val="00FA2649"/>
    <w:rsid w:val="00FA30EA"/>
    <w:rsid w:val="00FA3E65"/>
    <w:rsid w:val="00FA406A"/>
    <w:rsid w:val="00FA4340"/>
    <w:rsid w:val="00FA4E2F"/>
    <w:rsid w:val="00FA52C7"/>
    <w:rsid w:val="00FA67FC"/>
    <w:rsid w:val="00FB1444"/>
    <w:rsid w:val="00FB36DE"/>
    <w:rsid w:val="00FB38D3"/>
    <w:rsid w:val="00FB41F2"/>
    <w:rsid w:val="00FB42B0"/>
    <w:rsid w:val="00FB503A"/>
    <w:rsid w:val="00FB516C"/>
    <w:rsid w:val="00FB52A7"/>
    <w:rsid w:val="00FB5752"/>
    <w:rsid w:val="00FB57D3"/>
    <w:rsid w:val="00FB5EE9"/>
    <w:rsid w:val="00FB6254"/>
    <w:rsid w:val="00FB696D"/>
    <w:rsid w:val="00FB6BDC"/>
    <w:rsid w:val="00FB6EB9"/>
    <w:rsid w:val="00FC0C16"/>
    <w:rsid w:val="00FC115B"/>
    <w:rsid w:val="00FC15ED"/>
    <w:rsid w:val="00FC19BC"/>
    <w:rsid w:val="00FC1E11"/>
    <w:rsid w:val="00FC4398"/>
    <w:rsid w:val="00FC48F3"/>
    <w:rsid w:val="00FC5616"/>
    <w:rsid w:val="00FC66B6"/>
    <w:rsid w:val="00FC699A"/>
    <w:rsid w:val="00FC6BE0"/>
    <w:rsid w:val="00FC6D77"/>
    <w:rsid w:val="00FC732E"/>
    <w:rsid w:val="00FC7EB2"/>
    <w:rsid w:val="00FD0236"/>
    <w:rsid w:val="00FD03FC"/>
    <w:rsid w:val="00FD0795"/>
    <w:rsid w:val="00FD0C3C"/>
    <w:rsid w:val="00FD0DD3"/>
    <w:rsid w:val="00FD18F4"/>
    <w:rsid w:val="00FD1C83"/>
    <w:rsid w:val="00FD342A"/>
    <w:rsid w:val="00FD45D8"/>
    <w:rsid w:val="00FD54DB"/>
    <w:rsid w:val="00FD605E"/>
    <w:rsid w:val="00FD619F"/>
    <w:rsid w:val="00FD63DC"/>
    <w:rsid w:val="00FD6841"/>
    <w:rsid w:val="00FD7100"/>
    <w:rsid w:val="00FE0719"/>
    <w:rsid w:val="00FE15D7"/>
    <w:rsid w:val="00FE196C"/>
    <w:rsid w:val="00FE2B31"/>
    <w:rsid w:val="00FE2FF6"/>
    <w:rsid w:val="00FE36AA"/>
    <w:rsid w:val="00FE3A69"/>
    <w:rsid w:val="00FE40EE"/>
    <w:rsid w:val="00FE48F4"/>
    <w:rsid w:val="00FE49A3"/>
    <w:rsid w:val="00FE4FFB"/>
    <w:rsid w:val="00FE6042"/>
    <w:rsid w:val="00FE71E0"/>
    <w:rsid w:val="00FE7D78"/>
    <w:rsid w:val="00FE7DA6"/>
    <w:rsid w:val="00FF0142"/>
    <w:rsid w:val="00FF04CB"/>
    <w:rsid w:val="00FF0914"/>
    <w:rsid w:val="00FF0E45"/>
    <w:rsid w:val="00FF1C92"/>
    <w:rsid w:val="00FF1D2E"/>
    <w:rsid w:val="00FF2A1A"/>
    <w:rsid w:val="00FF4DC2"/>
    <w:rsid w:val="00FF4EF1"/>
    <w:rsid w:val="00FF729F"/>
    <w:rsid w:val="00FF7575"/>
    <w:rsid w:val="01031CC0"/>
    <w:rsid w:val="01070D0C"/>
    <w:rsid w:val="011837C3"/>
    <w:rsid w:val="011C74C0"/>
    <w:rsid w:val="01222A41"/>
    <w:rsid w:val="01250686"/>
    <w:rsid w:val="012860A5"/>
    <w:rsid w:val="01290F7E"/>
    <w:rsid w:val="014574BA"/>
    <w:rsid w:val="014818F2"/>
    <w:rsid w:val="01486CA1"/>
    <w:rsid w:val="014D4F5A"/>
    <w:rsid w:val="015B3238"/>
    <w:rsid w:val="015D1E09"/>
    <w:rsid w:val="015E3081"/>
    <w:rsid w:val="01672113"/>
    <w:rsid w:val="01810306"/>
    <w:rsid w:val="01840747"/>
    <w:rsid w:val="0194745F"/>
    <w:rsid w:val="01A248A7"/>
    <w:rsid w:val="01B31427"/>
    <w:rsid w:val="01CC37BF"/>
    <w:rsid w:val="01CD1064"/>
    <w:rsid w:val="01D00136"/>
    <w:rsid w:val="01D26B61"/>
    <w:rsid w:val="01D27F4C"/>
    <w:rsid w:val="01D809DF"/>
    <w:rsid w:val="01DC2113"/>
    <w:rsid w:val="01F86BB0"/>
    <w:rsid w:val="02007DFB"/>
    <w:rsid w:val="02133803"/>
    <w:rsid w:val="021857A2"/>
    <w:rsid w:val="02257C23"/>
    <w:rsid w:val="022A0D48"/>
    <w:rsid w:val="022E4839"/>
    <w:rsid w:val="02337390"/>
    <w:rsid w:val="02374902"/>
    <w:rsid w:val="023D36F2"/>
    <w:rsid w:val="023F4471"/>
    <w:rsid w:val="024963F3"/>
    <w:rsid w:val="024B52AA"/>
    <w:rsid w:val="025C411B"/>
    <w:rsid w:val="02697903"/>
    <w:rsid w:val="026B59B4"/>
    <w:rsid w:val="026D3AF8"/>
    <w:rsid w:val="02720839"/>
    <w:rsid w:val="027B2371"/>
    <w:rsid w:val="028D7B01"/>
    <w:rsid w:val="029F7272"/>
    <w:rsid w:val="02AF4A7A"/>
    <w:rsid w:val="02B94FB8"/>
    <w:rsid w:val="02CA6202"/>
    <w:rsid w:val="02DE24A5"/>
    <w:rsid w:val="02E1776D"/>
    <w:rsid w:val="02E20922"/>
    <w:rsid w:val="02E769F1"/>
    <w:rsid w:val="02EC1A11"/>
    <w:rsid w:val="02F35142"/>
    <w:rsid w:val="02F96569"/>
    <w:rsid w:val="02FB064D"/>
    <w:rsid w:val="031C701C"/>
    <w:rsid w:val="03243BD3"/>
    <w:rsid w:val="03257E3A"/>
    <w:rsid w:val="035751CD"/>
    <w:rsid w:val="035C5D76"/>
    <w:rsid w:val="035E7709"/>
    <w:rsid w:val="0367606A"/>
    <w:rsid w:val="036C66E1"/>
    <w:rsid w:val="03737B8E"/>
    <w:rsid w:val="039011DC"/>
    <w:rsid w:val="03971EDE"/>
    <w:rsid w:val="03973F39"/>
    <w:rsid w:val="039B3DC0"/>
    <w:rsid w:val="03A647CB"/>
    <w:rsid w:val="03BF3C0A"/>
    <w:rsid w:val="03C02D87"/>
    <w:rsid w:val="03EA7B21"/>
    <w:rsid w:val="03F35447"/>
    <w:rsid w:val="03F86CF1"/>
    <w:rsid w:val="03FC2442"/>
    <w:rsid w:val="04331881"/>
    <w:rsid w:val="044D4089"/>
    <w:rsid w:val="044E0E32"/>
    <w:rsid w:val="044E2F58"/>
    <w:rsid w:val="04500D7D"/>
    <w:rsid w:val="046A6B1D"/>
    <w:rsid w:val="046B19E4"/>
    <w:rsid w:val="047B62C9"/>
    <w:rsid w:val="04884442"/>
    <w:rsid w:val="049049E4"/>
    <w:rsid w:val="04935EE3"/>
    <w:rsid w:val="049D4255"/>
    <w:rsid w:val="04A3579B"/>
    <w:rsid w:val="04B52518"/>
    <w:rsid w:val="04C04FF6"/>
    <w:rsid w:val="04C16F84"/>
    <w:rsid w:val="04C37215"/>
    <w:rsid w:val="04D12B2F"/>
    <w:rsid w:val="04D16594"/>
    <w:rsid w:val="04D76A6A"/>
    <w:rsid w:val="04D9665A"/>
    <w:rsid w:val="04DB587F"/>
    <w:rsid w:val="04DC0752"/>
    <w:rsid w:val="04E23639"/>
    <w:rsid w:val="04ED3152"/>
    <w:rsid w:val="04FD4912"/>
    <w:rsid w:val="05131852"/>
    <w:rsid w:val="051D0493"/>
    <w:rsid w:val="05325032"/>
    <w:rsid w:val="053A79EE"/>
    <w:rsid w:val="05401334"/>
    <w:rsid w:val="05563BE5"/>
    <w:rsid w:val="05694C96"/>
    <w:rsid w:val="059A0BEE"/>
    <w:rsid w:val="05BF3622"/>
    <w:rsid w:val="05C23916"/>
    <w:rsid w:val="05CB12DF"/>
    <w:rsid w:val="05D50D0F"/>
    <w:rsid w:val="05E73424"/>
    <w:rsid w:val="05F16E80"/>
    <w:rsid w:val="05F2793C"/>
    <w:rsid w:val="05F83EAE"/>
    <w:rsid w:val="06112117"/>
    <w:rsid w:val="061D76FA"/>
    <w:rsid w:val="061F3975"/>
    <w:rsid w:val="06210C4C"/>
    <w:rsid w:val="062120BB"/>
    <w:rsid w:val="0624613D"/>
    <w:rsid w:val="06293751"/>
    <w:rsid w:val="062F39F0"/>
    <w:rsid w:val="06310DD9"/>
    <w:rsid w:val="0634654D"/>
    <w:rsid w:val="063627BC"/>
    <w:rsid w:val="06390CB6"/>
    <w:rsid w:val="063E7D85"/>
    <w:rsid w:val="064960D1"/>
    <w:rsid w:val="064A23A1"/>
    <w:rsid w:val="066125B5"/>
    <w:rsid w:val="06900166"/>
    <w:rsid w:val="069A1C02"/>
    <w:rsid w:val="06B8545D"/>
    <w:rsid w:val="06BC017A"/>
    <w:rsid w:val="06EA03A3"/>
    <w:rsid w:val="06EB43B9"/>
    <w:rsid w:val="06F927F5"/>
    <w:rsid w:val="06FD0428"/>
    <w:rsid w:val="070F74C9"/>
    <w:rsid w:val="071A6E84"/>
    <w:rsid w:val="07293586"/>
    <w:rsid w:val="07295285"/>
    <w:rsid w:val="072F7CDD"/>
    <w:rsid w:val="073F1F2E"/>
    <w:rsid w:val="07636392"/>
    <w:rsid w:val="07705BF2"/>
    <w:rsid w:val="077150B7"/>
    <w:rsid w:val="07770C56"/>
    <w:rsid w:val="07834FAC"/>
    <w:rsid w:val="07954C1A"/>
    <w:rsid w:val="07970A98"/>
    <w:rsid w:val="0799533B"/>
    <w:rsid w:val="079C2696"/>
    <w:rsid w:val="079F78A5"/>
    <w:rsid w:val="07AB2622"/>
    <w:rsid w:val="07AB396F"/>
    <w:rsid w:val="07B672C1"/>
    <w:rsid w:val="07C94E18"/>
    <w:rsid w:val="07D523EB"/>
    <w:rsid w:val="07FA487D"/>
    <w:rsid w:val="07FC2827"/>
    <w:rsid w:val="080A0B32"/>
    <w:rsid w:val="080B4BAB"/>
    <w:rsid w:val="08114471"/>
    <w:rsid w:val="08381BDD"/>
    <w:rsid w:val="083878AA"/>
    <w:rsid w:val="083B17FB"/>
    <w:rsid w:val="08510946"/>
    <w:rsid w:val="08747AFF"/>
    <w:rsid w:val="088846BD"/>
    <w:rsid w:val="088D7A09"/>
    <w:rsid w:val="089010C6"/>
    <w:rsid w:val="089B3692"/>
    <w:rsid w:val="089E3E17"/>
    <w:rsid w:val="08A27337"/>
    <w:rsid w:val="08B1198F"/>
    <w:rsid w:val="08C566DE"/>
    <w:rsid w:val="08C75F45"/>
    <w:rsid w:val="08C8368E"/>
    <w:rsid w:val="08DF719C"/>
    <w:rsid w:val="08EE7575"/>
    <w:rsid w:val="08F26196"/>
    <w:rsid w:val="08FA7CD2"/>
    <w:rsid w:val="090C7545"/>
    <w:rsid w:val="090F0188"/>
    <w:rsid w:val="09143AEA"/>
    <w:rsid w:val="091B5CE9"/>
    <w:rsid w:val="0921719B"/>
    <w:rsid w:val="092217DD"/>
    <w:rsid w:val="092D5FB6"/>
    <w:rsid w:val="093328BD"/>
    <w:rsid w:val="09384341"/>
    <w:rsid w:val="093A7294"/>
    <w:rsid w:val="0943321F"/>
    <w:rsid w:val="09481422"/>
    <w:rsid w:val="09633E01"/>
    <w:rsid w:val="099F3749"/>
    <w:rsid w:val="09A47E77"/>
    <w:rsid w:val="09AF207D"/>
    <w:rsid w:val="09BD7870"/>
    <w:rsid w:val="09D409FD"/>
    <w:rsid w:val="09DF365C"/>
    <w:rsid w:val="09EA2302"/>
    <w:rsid w:val="0A0262C5"/>
    <w:rsid w:val="0A11244D"/>
    <w:rsid w:val="0A2019F2"/>
    <w:rsid w:val="0A2028AB"/>
    <w:rsid w:val="0A263993"/>
    <w:rsid w:val="0A27326D"/>
    <w:rsid w:val="0A2B344F"/>
    <w:rsid w:val="0A2C2083"/>
    <w:rsid w:val="0A2D3AC2"/>
    <w:rsid w:val="0A4B29AC"/>
    <w:rsid w:val="0A661BAD"/>
    <w:rsid w:val="0A691DE5"/>
    <w:rsid w:val="0A69350A"/>
    <w:rsid w:val="0A761D72"/>
    <w:rsid w:val="0A8235E3"/>
    <w:rsid w:val="0A830989"/>
    <w:rsid w:val="0A8447F9"/>
    <w:rsid w:val="0A991319"/>
    <w:rsid w:val="0A991E1D"/>
    <w:rsid w:val="0A9F477B"/>
    <w:rsid w:val="0AA755DF"/>
    <w:rsid w:val="0AAA61B7"/>
    <w:rsid w:val="0AAC05E5"/>
    <w:rsid w:val="0ABA69ED"/>
    <w:rsid w:val="0AC12A23"/>
    <w:rsid w:val="0AC2201E"/>
    <w:rsid w:val="0AC37758"/>
    <w:rsid w:val="0AE75A4A"/>
    <w:rsid w:val="0AE944CB"/>
    <w:rsid w:val="0AEA2F37"/>
    <w:rsid w:val="0AEC7C8D"/>
    <w:rsid w:val="0AF939C9"/>
    <w:rsid w:val="0AFD1558"/>
    <w:rsid w:val="0AFD66E3"/>
    <w:rsid w:val="0B077F8D"/>
    <w:rsid w:val="0B120D44"/>
    <w:rsid w:val="0B1861E2"/>
    <w:rsid w:val="0B321CD1"/>
    <w:rsid w:val="0B383909"/>
    <w:rsid w:val="0B443B1A"/>
    <w:rsid w:val="0B5528B4"/>
    <w:rsid w:val="0B554854"/>
    <w:rsid w:val="0B6D4097"/>
    <w:rsid w:val="0B716CC1"/>
    <w:rsid w:val="0B732F2C"/>
    <w:rsid w:val="0B867309"/>
    <w:rsid w:val="0B93245A"/>
    <w:rsid w:val="0B957346"/>
    <w:rsid w:val="0B964615"/>
    <w:rsid w:val="0B9976D0"/>
    <w:rsid w:val="0BB034DD"/>
    <w:rsid w:val="0BBA7F14"/>
    <w:rsid w:val="0BC562CD"/>
    <w:rsid w:val="0BD27BF6"/>
    <w:rsid w:val="0BE66795"/>
    <w:rsid w:val="0BF4682D"/>
    <w:rsid w:val="0C25063B"/>
    <w:rsid w:val="0C3B3C7D"/>
    <w:rsid w:val="0C3C2DD1"/>
    <w:rsid w:val="0C497853"/>
    <w:rsid w:val="0C4A6383"/>
    <w:rsid w:val="0C894271"/>
    <w:rsid w:val="0C956625"/>
    <w:rsid w:val="0CAB2EAE"/>
    <w:rsid w:val="0CAF4D5A"/>
    <w:rsid w:val="0CB94AB3"/>
    <w:rsid w:val="0CD2700F"/>
    <w:rsid w:val="0CD579F5"/>
    <w:rsid w:val="0CDC7304"/>
    <w:rsid w:val="0CE05D90"/>
    <w:rsid w:val="0CF54452"/>
    <w:rsid w:val="0CF55C26"/>
    <w:rsid w:val="0CF564D9"/>
    <w:rsid w:val="0CFF3BA5"/>
    <w:rsid w:val="0D016177"/>
    <w:rsid w:val="0D0611E2"/>
    <w:rsid w:val="0D253568"/>
    <w:rsid w:val="0D621C7D"/>
    <w:rsid w:val="0D637600"/>
    <w:rsid w:val="0D6563BD"/>
    <w:rsid w:val="0D67521A"/>
    <w:rsid w:val="0D6E3256"/>
    <w:rsid w:val="0D821A1D"/>
    <w:rsid w:val="0D976429"/>
    <w:rsid w:val="0DAF6902"/>
    <w:rsid w:val="0DBE2974"/>
    <w:rsid w:val="0DC43391"/>
    <w:rsid w:val="0DD61052"/>
    <w:rsid w:val="0DE16622"/>
    <w:rsid w:val="0DF75082"/>
    <w:rsid w:val="0DFE6E01"/>
    <w:rsid w:val="0E073709"/>
    <w:rsid w:val="0E1F1D9E"/>
    <w:rsid w:val="0E2A021A"/>
    <w:rsid w:val="0E371A11"/>
    <w:rsid w:val="0E3E127C"/>
    <w:rsid w:val="0E663E6E"/>
    <w:rsid w:val="0E697DC2"/>
    <w:rsid w:val="0E6B45D3"/>
    <w:rsid w:val="0E6E10CF"/>
    <w:rsid w:val="0E712E99"/>
    <w:rsid w:val="0E73034D"/>
    <w:rsid w:val="0E736EE7"/>
    <w:rsid w:val="0E750AD1"/>
    <w:rsid w:val="0E7E0B6A"/>
    <w:rsid w:val="0E8D7E09"/>
    <w:rsid w:val="0E927ACD"/>
    <w:rsid w:val="0E953A02"/>
    <w:rsid w:val="0E96714E"/>
    <w:rsid w:val="0EAC7E8E"/>
    <w:rsid w:val="0EB6364E"/>
    <w:rsid w:val="0ECF4C39"/>
    <w:rsid w:val="0ED87C76"/>
    <w:rsid w:val="0ED978B9"/>
    <w:rsid w:val="0EDD0DD3"/>
    <w:rsid w:val="0EDF722F"/>
    <w:rsid w:val="0F13775A"/>
    <w:rsid w:val="0F166FCA"/>
    <w:rsid w:val="0F1E0C3C"/>
    <w:rsid w:val="0F263697"/>
    <w:rsid w:val="0F2C3520"/>
    <w:rsid w:val="0F3E5B3E"/>
    <w:rsid w:val="0F497F56"/>
    <w:rsid w:val="0F4E5FE3"/>
    <w:rsid w:val="0F546791"/>
    <w:rsid w:val="0F587FEA"/>
    <w:rsid w:val="0F5F45FE"/>
    <w:rsid w:val="0F79044A"/>
    <w:rsid w:val="0F7921A9"/>
    <w:rsid w:val="0F8501FC"/>
    <w:rsid w:val="0F925A77"/>
    <w:rsid w:val="0F943740"/>
    <w:rsid w:val="0F996775"/>
    <w:rsid w:val="0F9A112B"/>
    <w:rsid w:val="0FA20284"/>
    <w:rsid w:val="0FA37765"/>
    <w:rsid w:val="0FA615B3"/>
    <w:rsid w:val="0FB2301F"/>
    <w:rsid w:val="0FB80AD8"/>
    <w:rsid w:val="0FBF2A1F"/>
    <w:rsid w:val="0FD85CF6"/>
    <w:rsid w:val="0FEB11AE"/>
    <w:rsid w:val="0FEE45D2"/>
    <w:rsid w:val="0FEF08E4"/>
    <w:rsid w:val="0FF55AF9"/>
    <w:rsid w:val="0FF7643E"/>
    <w:rsid w:val="0FFD44B5"/>
    <w:rsid w:val="0FFF133B"/>
    <w:rsid w:val="100A1780"/>
    <w:rsid w:val="102D3EDB"/>
    <w:rsid w:val="10312CD7"/>
    <w:rsid w:val="10373E03"/>
    <w:rsid w:val="103E0444"/>
    <w:rsid w:val="104375DE"/>
    <w:rsid w:val="106D2F64"/>
    <w:rsid w:val="108A5A69"/>
    <w:rsid w:val="10A45E19"/>
    <w:rsid w:val="10AA6D61"/>
    <w:rsid w:val="10B63710"/>
    <w:rsid w:val="10B9542A"/>
    <w:rsid w:val="10C3067D"/>
    <w:rsid w:val="10C70B2C"/>
    <w:rsid w:val="10E0386F"/>
    <w:rsid w:val="10F10820"/>
    <w:rsid w:val="110A4D43"/>
    <w:rsid w:val="111C2F7A"/>
    <w:rsid w:val="11390075"/>
    <w:rsid w:val="11433CFC"/>
    <w:rsid w:val="114D0C28"/>
    <w:rsid w:val="11665CA1"/>
    <w:rsid w:val="11790ACA"/>
    <w:rsid w:val="117A2474"/>
    <w:rsid w:val="117B48A9"/>
    <w:rsid w:val="11894686"/>
    <w:rsid w:val="11965B70"/>
    <w:rsid w:val="11AD564A"/>
    <w:rsid w:val="11BB76D3"/>
    <w:rsid w:val="11DF5A90"/>
    <w:rsid w:val="11EB6425"/>
    <w:rsid w:val="11EE5C96"/>
    <w:rsid w:val="11FD080B"/>
    <w:rsid w:val="12030A3B"/>
    <w:rsid w:val="12073D28"/>
    <w:rsid w:val="120C1AA8"/>
    <w:rsid w:val="12296A3A"/>
    <w:rsid w:val="12304A60"/>
    <w:rsid w:val="124D3116"/>
    <w:rsid w:val="124E024F"/>
    <w:rsid w:val="12581CB4"/>
    <w:rsid w:val="125F660B"/>
    <w:rsid w:val="1261645C"/>
    <w:rsid w:val="128D0D77"/>
    <w:rsid w:val="128D3DBB"/>
    <w:rsid w:val="129E5CBA"/>
    <w:rsid w:val="12E7002B"/>
    <w:rsid w:val="12F13313"/>
    <w:rsid w:val="12F47048"/>
    <w:rsid w:val="12FA76A4"/>
    <w:rsid w:val="12FD254C"/>
    <w:rsid w:val="1301662B"/>
    <w:rsid w:val="133348BC"/>
    <w:rsid w:val="13346475"/>
    <w:rsid w:val="1336492A"/>
    <w:rsid w:val="1337391F"/>
    <w:rsid w:val="133739BE"/>
    <w:rsid w:val="134027E7"/>
    <w:rsid w:val="13407A72"/>
    <w:rsid w:val="134753CA"/>
    <w:rsid w:val="134D510F"/>
    <w:rsid w:val="135D722C"/>
    <w:rsid w:val="13645F7C"/>
    <w:rsid w:val="1367174B"/>
    <w:rsid w:val="1368062D"/>
    <w:rsid w:val="136B48D1"/>
    <w:rsid w:val="136F43B8"/>
    <w:rsid w:val="137F2DB6"/>
    <w:rsid w:val="13806373"/>
    <w:rsid w:val="13927D2E"/>
    <w:rsid w:val="13951726"/>
    <w:rsid w:val="13A3476B"/>
    <w:rsid w:val="13A761E4"/>
    <w:rsid w:val="13C91E5B"/>
    <w:rsid w:val="13CB5FFB"/>
    <w:rsid w:val="13E16A11"/>
    <w:rsid w:val="13F82FC5"/>
    <w:rsid w:val="14065A16"/>
    <w:rsid w:val="140B63F8"/>
    <w:rsid w:val="14221647"/>
    <w:rsid w:val="143554B7"/>
    <w:rsid w:val="14394E45"/>
    <w:rsid w:val="14396509"/>
    <w:rsid w:val="143C5577"/>
    <w:rsid w:val="14461FDB"/>
    <w:rsid w:val="146123AC"/>
    <w:rsid w:val="149E1E30"/>
    <w:rsid w:val="14AA01F3"/>
    <w:rsid w:val="14AA3A23"/>
    <w:rsid w:val="14B4176A"/>
    <w:rsid w:val="14BF3DEC"/>
    <w:rsid w:val="14D651C5"/>
    <w:rsid w:val="14DD2C3C"/>
    <w:rsid w:val="14DD77BE"/>
    <w:rsid w:val="14E31C89"/>
    <w:rsid w:val="14F238F6"/>
    <w:rsid w:val="14FA0456"/>
    <w:rsid w:val="151A5D90"/>
    <w:rsid w:val="151D3B4B"/>
    <w:rsid w:val="151D48B8"/>
    <w:rsid w:val="15242E7C"/>
    <w:rsid w:val="152772D8"/>
    <w:rsid w:val="152B00A7"/>
    <w:rsid w:val="152B7A6B"/>
    <w:rsid w:val="15463394"/>
    <w:rsid w:val="155D794A"/>
    <w:rsid w:val="155E3902"/>
    <w:rsid w:val="156C5ADE"/>
    <w:rsid w:val="15757273"/>
    <w:rsid w:val="159D090A"/>
    <w:rsid w:val="15A33CFF"/>
    <w:rsid w:val="15B71B1D"/>
    <w:rsid w:val="15CF6E8B"/>
    <w:rsid w:val="15D04B12"/>
    <w:rsid w:val="15DD380C"/>
    <w:rsid w:val="15DE2FFB"/>
    <w:rsid w:val="15E33902"/>
    <w:rsid w:val="15EE396D"/>
    <w:rsid w:val="15F43760"/>
    <w:rsid w:val="15F9400B"/>
    <w:rsid w:val="16087E1D"/>
    <w:rsid w:val="160D0B3E"/>
    <w:rsid w:val="160F35DC"/>
    <w:rsid w:val="16157B99"/>
    <w:rsid w:val="161708AB"/>
    <w:rsid w:val="162B53A1"/>
    <w:rsid w:val="162C39B4"/>
    <w:rsid w:val="16321EE2"/>
    <w:rsid w:val="16424906"/>
    <w:rsid w:val="16466468"/>
    <w:rsid w:val="16480E3A"/>
    <w:rsid w:val="164D0F49"/>
    <w:rsid w:val="165C2F63"/>
    <w:rsid w:val="16762975"/>
    <w:rsid w:val="16826097"/>
    <w:rsid w:val="16937F01"/>
    <w:rsid w:val="169E373F"/>
    <w:rsid w:val="16BD6F38"/>
    <w:rsid w:val="16CA189C"/>
    <w:rsid w:val="16D60706"/>
    <w:rsid w:val="16E02C81"/>
    <w:rsid w:val="170C084D"/>
    <w:rsid w:val="170E28DF"/>
    <w:rsid w:val="172120C7"/>
    <w:rsid w:val="172B3F0B"/>
    <w:rsid w:val="173E1403"/>
    <w:rsid w:val="174C2044"/>
    <w:rsid w:val="174E2EB7"/>
    <w:rsid w:val="175946A7"/>
    <w:rsid w:val="17645A1F"/>
    <w:rsid w:val="17701D14"/>
    <w:rsid w:val="17735226"/>
    <w:rsid w:val="17870974"/>
    <w:rsid w:val="17887D5F"/>
    <w:rsid w:val="178B437E"/>
    <w:rsid w:val="17957219"/>
    <w:rsid w:val="17B965B0"/>
    <w:rsid w:val="17C349EC"/>
    <w:rsid w:val="17D06466"/>
    <w:rsid w:val="17DD6663"/>
    <w:rsid w:val="17E643AF"/>
    <w:rsid w:val="17F221A6"/>
    <w:rsid w:val="1806742A"/>
    <w:rsid w:val="180B2DEE"/>
    <w:rsid w:val="181A2737"/>
    <w:rsid w:val="181F4A63"/>
    <w:rsid w:val="182047D8"/>
    <w:rsid w:val="18237A9B"/>
    <w:rsid w:val="182C3777"/>
    <w:rsid w:val="18461DBF"/>
    <w:rsid w:val="184D2AC7"/>
    <w:rsid w:val="184E23DC"/>
    <w:rsid w:val="185135E7"/>
    <w:rsid w:val="18564ED1"/>
    <w:rsid w:val="185C34E9"/>
    <w:rsid w:val="185D2611"/>
    <w:rsid w:val="187B4DDE"/>
    <w:rsid w:val="18801B6C"/>
    <w:rsid w:val="188822F6"/>
    <w:rsid w:val="189416D6"/>
    <w:rsid w:val="189F624C"/>
    <w:rsid w:val="189F66C1"/>
    <w:rsid w:val="189F7070"/>
    <w:rsid w:val="18A214BF"/>
    <w:rsid w:val="18A83CA4"/>
    <w:rsid w:val="18B42C61"/>
    <w:rsid w:val="18BA0FE2"/>
    <w:rsid w:val="18C56A0E"/>
    <w:rsid w:val="18C9293D"/>
    <w:rsid w:val="18DD05B5"/>
    <w:rsid w:val="18F017C5"/>
    <w:rsid w:val="191942C2"/>
    <w:rsid w:val="192B343D"/>
    <w:rsid w:val="192D5062"/>
    <w:rsid w:val="19346BA6"/>
    <w:rsid w:val="19495286"/>
    <w:rsid w:val="194C312C"/>
    <w:rsid w:val="194D0443"/>
    <w:rsid w:val="1954040B"/>
    <w:rsid w:val="1965635A"/>
    <w:rsid w:val="196D465A"/>
    <w:rsid w:val="198771E8"/>
    <w:rsid w:val="198B10C8"/>
    <w:rsid w:val="19900F16"/>
    <w:rsid w:val="19924EC5"/>
    <w:rsid w:val="19A74196"/>
    <w:rsid w:val="19B32E3F"/>
    <w:rsid w:val="19B9516B"/>
    <w:rsid w:val="19B975F4"/>
    <w:rsid w:val="19C911C4"/>
    <w:rsid w:val="19D22512"/>
    <w:rsid w:val="19D32F99"/>
    <w:rsid w:val="19E54F54"/>
    <w:rsid w:val="19EC72AE"/>
    <w:rsid w:val="19F12F35"/>
    <w:rsid w:val="19F618F8"/>
    <w:rsid w:val="19FF2773"/>
    <w:rsid w:val="1A0D02C4"/>
    <w:rsid w:val="1A0D5ED9"/>
    <w:rsid w:val="1A1A67C1"/>
    <w:rsid w:val="1A1C66C0"/>
    <w:rsid w:val="1A243886"/>
    <w:rsid w:val="1A42393B"/>
    <w:rsid w:val="1A4563DB"/>
    <w:rsid w:val="1A774211"/>
    <w:rsid w:val="1A7A0A4C"/>
    <w:rsid w:val="1A7B2FC3"/>
    <w:rsid w:val="1A954DF9"/>
    <w:rsid w:val="1A963906"/>
    <w:rsid w:val="1A9B7FF4"/>
    <w:rsid w:val="1AAD45DE"/>
    <w:rsid w:val="1AB7063D"/>
    <w:rsid w:val="1ABB0FFD"/>
    <w:rsid w:val="1ABE4F3B"/>
    <w:rsid w:val="1AC70D3C"/>
    <w:rsid w:val="1ACE4623"/>
    <w:rsid w:val="1AE26112"/>
    <w:rsid w:val="1AE510D8"/>
    <w:rsid w:val="1AEB0B1A"/>
    <w:rsid w:val="1AEB3822"/>
    <w:rsid w:val="1AFA73DB"/>
    <w:rsid w:val="1B046F80"/>
    <w:rsid w:val="1B162E37"/>
    <w:rsid w:val="1B2D11BC"/>
    <w:rsid w:val="1B3267B5"/>
    <w:rsid w:val="1B352414"/>
    <w:rsid w:val="1B40161D"/>
    <w:rsid w:val="1B441859"/>
    <w:rsid w:val="1B6606B1"/>
    <w:rsid w:val="1B7A20B5"/>
    <w:rsid w:val="1B7C2CCB"/>
    <w:rsid w:val="1B9618B6"/>
    <w:rsid w:val="1B975444"/>
    <w:rsid w:val="1B9862F9"/>
    <w:rsid w:val="1BAB04C0"/>
    <w:rsid w:val="1BB057BC"/>
    <w:rsid w:val="1BD66CFD"/>
    <w:rsid w:val="1BD876B2"/>
    <w:rsid w:val="1BF112FF"/>
    <w:rsid w:val="1C0B5BCF"/>
    <w:rsid w:val="1C0B7B0A"/>
    <w:rsid w:val="1C202A53"/>
    <w:rsid w:val="1C402A1C"/>
    <w:rsid w:val="1C490C01"/>
    <w:rsid w:val="1C575C8E"/>
    <w:rsid w:val="1C5B5A42"/>
    <w:rsid w:val="1C5D5C5E"/>
    <w:rsid w:val="1C5E7925"/>
    <w:rsid w:val="1C664A48"/>
    <w:rsid w:val="1C684D53"/>
    <w:rsid w:val="1C6D5116"/>
    <w:rsid w:val="1C72228F"/>
    <w:rsid w:val="1C7619A3"/>
    <w:rsid w:val="1C7A05BE"/>
    <w:rsid w:val="1CA23671"/>
    <w:rsid w:val="1CC667D5"/>
    <w:rsid w:val="1CD11BB7"/>
    <w:rsid w:val="1CDC4DD5"/>
    <w:rsid w:val="1CE47F9E"/>
    <w:rsid w:val="1CE979C7"/>
    <w:rsid w:val="1CEB521C"/>
    <w:rsid w:val="1CF53848"/>
    <w:rsid w:val="1CFA4063"/>
    <w:rsid w:val="1CFA40BF"/>
    <w:rsid w:val="1CFC3087"/>
    <w:rsid w:val="1CFD070F"/>
    <w:rsid w:val="1D021C88"/>
    <w:rsid w:val="1D0314F6"/>
    <w:rsid w:val="1D0524E6"/>
    <w:rsid w:val="1D352737"/>
    <w:rsid w:val="1D4E5CB8"/>
    <w:rsid w:val="1D546098"/>
    <w:rsid w:val="1D581F12"/>
    <w:rsid w:val="1D5F6196"/>
    <w:rsid w:val="1D6132A5"/>
    <w:rsid w:val="1D79351E"/>
    <w:rsid w:val="1D8A2F97"/>
    <w:rsid w:val="1D8E56D5"/>
    <w:rsid w:val="1D9354E4"/>
    <w:rsid w:val="1DE05D8F"/>
    <w:rsid w:val="1E085F8D"/>
    <w:rsid w:val="1E1C4791"/>
    <w:rsid w:val="1E20192D"/>
    <w:rsid w:val="1E233FF6"/>
    <w:rsid w:val="1E287083"/>
    <w:rsid w:val="1E296894"/>
    <w:rsid w:val="1E346931"/>
    <w:rsid w:val="1E3969A6"/>
    <w:rsid w:val="1E437D7F"/>
    <w:rsid w:val="1E482419"/>
    <w:rsid w:val="1E5405E4"/>
    <w:rsid w:val="1E6B59BA"/>
    <w:rsid w:val="1E6D6D0C"/>
    <w:rsid w:val="1E7A43DA"/>
    <w:rsid w:val="1E897F47"/>
    <w:rsid w:val="1E9163D1"/>
    <w:rsid w:val="1E977F67"/>
    <w:rsid w:val="1E9E1CA7"/>
    <w:rsid w:val="1E9E49F6"/>
    <w:rsid w:val="1EB03CE5"/>
    <w:rsid w:val="1ECA2B47"/>
    <w:rsid w:val="1ED86A2D"/>
    <w:rsid w:val="1EE64EE4"/>
    <w:rsid w:val="1F00421B"/>
    <w:rsid w:val="1F3B3DC9"/>
    <w:rsid w:val="1F405C4C"/>
    <w:rsid w:val="1F4B0C41"/>
    <w:rsid w:val="1F51038C"/>
    <w:rsid w:val="1F666BD8"/>
    <w:rsid w:val="1F796989"/>
    <w:rsid w:val="1F864ED6"/>
    <w:rsid w:val="1F9C5880"/>
    <w:rsid w:val="1FA46A38"/>
    <w:rsid w:val="1FAC4BF8"/>
    <w:rsid w:val="1FB6056F"/>
    <w:rsid w:val="1FBA1D18"/>
    <w:rsid w:val="1FC06372"/>
    <w:rsid w:val="1FCB0B64"/>
    <w:rsid w:val="1FCE490E"/>
    <w:rsid w:val="1FD00A28"/>
    <w:rsid w:val="1FD50173"/>
    <w:rsid w:val="1FD55623"/>
    <w:rsid w:val="1FE41372"/>
    <w:rsid w:val="1FE61AFC"/>
    <w:rsid w:val="1FE7539E"/>
    <w:rsid w:val="1FF95C9E"/>
    <w:rsid w:val="200E17DF"/>
    <w:rsid w:val="201102BB"/>
    <w:rsid w:val="201B46AC"/>
    <w:rsid w:val="20254FBE"/>
    <w:rsid w:val="20277062"/>
    <w:rsid w:val="202A5432"/>
    <w:rsid w:val="203E55D3"/>
    <w:rsid w:val="20651585"/>
    <w:rsid w:val="20671BE0"/>
    <w:rsid w:val="2085324E"/>
    <w:rsid w:val="208A14F6"/>
    <w:rsid w:val="20963CB8"/>
    <w:rsid w:val="20A81A1B"/>
    <w:rsid w:val="20B07FB6"/>
    <w:rsid w:val="20B646FB"/>
    <w:rsid w:val="20C365AD"/>
    <w:rsid w:val="20DE0791"/>
    <w:rsid w:val="20DE5EDD"/>
    <w:rsid w:val="20E43CE3"/>
    <w:rsid w:val="20ED77D5"/>
    <w:rsid w:val="20F11769"/>
    <w:rsid w:val="210F7A5C"/>
    <w:rsid w:val="2112552E"/>
    <w:rsid w:val="21351C3F"/>
    <w:rsid w:val="213B74B1"/>
    <w:rsid w:val="213F13B6"/>
    <w:rsid w:val="21587558"/>
    <w:rsid w:val="215A2310"/>
    <w:rsid w:val="21647768"/>
    <w:rsid w:val="21651998"/>
    <w:rsid w:val="21755E60"/>
    <w:rsid w:val="217D1F10"/>
    <w:rsid w:val="21817CF9"/>
    <w:rsid w:val="21981FDD"/>
    <w:rsid w:val="219C1C89"/>
    <w:rsid w:val="21A540BB"/>
    <w:rsid w:val="21A7762C"/>
    <w:rsid w:val="21A85027"/>
    <w:rsid w:val="21B21FC9"/>
    <w:rsid w:val="21CB0A3E"/>
    <w:rsid w:val="21CF36A3"/>
    <w:rsid w:val="21D51CD6"/>
    <w:rsid w:val="21DA5E99"/>
    <w:rsid w:val="21DE318A"/>
    <w:rsid w:val="21DF0C82"/>
    <w:rsid w:val="21E84CB0"/>
    <w:rsid w:val="21EF5B80"/>
    <w:rsid w:val="22000907"/>
    <w:rsid w:val="221945C0"/>
    <w:rsid w:val="22245297"/>
    <w:rsid w:val="2237602B"/>
    <w:rsid w:val="223A42EF"/>
    <w:rsid w:val="223A7048"/>
    <w:rsid w:val="22506A5F"/>
    <w:rsid w:val="22516161"/>
    <w:rsid w:val="22542B66"/>
    <w:rsid w:val="22576990"/>
    <w:rsid w:val="227118EA"/>
    <w:rsid w:val="227D76F4"/>
    <w:rsid w:val="228E24D9"/>
    <w:rsid w:val="229F2D61"/>
    <w:rsid w:val="22BB36DF"/>
    <w:rsid w:val="22C07518"/>
    <w:rsid w:val="22C66C3F"/>
    <w:rsid w:val="22D71A68"/>
    <w:rsid w:val="22D85746"/>
    <w:rsid w:val="22E2228B"/>
    <w:rsid w:val="22E83DA8"/>
    <w:rsid w:val="22EF6BB9"/>
    <w:rsid w:val="22F47480"/>
    <w:rsid w:val="22FF6A77"/>
    <w:rsid w:val="230F52DC"/>
    <w:rsid w:val="2314145E"/>
    <w:rsid w:val="23205E49"/>
    <w:rsid w:val="2325238E"/>
    <w:rsid w:val="2342795C"/>
    <w:rsid w:val="234D1737"/>
    <w:rsid w:val="235A39FA"/>
    <w:rsid w:val="23675FE5"/>
    <w:rsid w:val="23681B5E"/>
    <w:rsid w:val="236D6DF0"/>
    <w:rsid w:val="23733DC3"/>
    <w:rsid w:val="237B6B50"/>
    <w:rsid w:val="238841D7"/>
    <w:rsid w:val="238908D1"/>
    <w:rsid w:val="238A42AF"/>
    <w:rsid w:val="238B6BE8"/>
    <w:rsid w:val="23954FFB"/>
    <w:rsid w:val="23957AE5"/>
    <w:rsid w:val="239C093D"/>
    <w:rsid w:val="23A32A6B"/>
    <w:rsid w:val="23AD3AB4"/>
    <w:rsid w:val="23AD5156"/>
    <w:rsid w:val="23B13427"/>
    <w:rsid w:val="23B4085A"/>
    <w:rsid w:val="23B56978"/>
    <w:rsid w:val="23CD7253"/>
    <w:rsid w:val="23CE48A0"/>
    <w:rsid w:val="23DE1C48"/>
    <w:rsid w:val="24012E1D"/>
    <w:rsid w:val="24020D5E"/>
    <w:rsid w:val="240210CD"/>
    <w:rsid w:val="240551C4"/>
    <w:rsid w:val="241662E9"/>
    <w:rsid w:val="242C2C36"/>
    <w:rsid w:val="2433507F"/>
    <w:rsid w:val="24477741"/>
    <w:rsid w:val="24497781"/>
    <w:rsid w:val="245401AE"/>
    <w:rsid w:val="246709ED"/>
    <w:rsid w:val="247022A7"/>
    <w:rsid w:val="24707178"/>
    <w:rsid w:val="24A41BBC"/>
    <w:rsid w:val="24A75DD1"/>
    <w:rsid w:val="24AF5C78"/>
    <w:rsid w:val="24B544DC"/>
    <w:rsid w:val="24B7520A"/>
    <w:rsid w:val="24B90815"/>
    <w:rsid w:val="24BF09F7"/>
    <w:rsid w:val="24E355C5"/>
    <w:rsid w:val="24E63C93"/>
    <w:rsid w:val="24EF5C66"/>
    <w:rsid w:val="24F53360"/>
    <w:rsid w:val="24FE504F"/>
    <w:rsid w:val="250210FC"/>
    <w:rsid w:val="25030CF8"/>
    <w:rsid w:val="251F10C7"/>
    <w:rsid w:val="252217F3"/>
    <w:rsid w:val="252D53FE"/>
    <w:rsid w:val="253F514C"/>
    <w:rsid w:val="2554048D"/>
    <w:rsid w:val="255720CE"/>
    <w:rsid w:val="25583467"/>
    <w:rsid w:val="255A694F"/>
    <w:rsid w:val="257451CA"/>
    <w:rsid w:val="25747BEC"/>
    <w:rsid w:val="257C5559"/>
    <w:rsid w:val="25987D07"/>
    <w:rsid w:val="259C0E49"/>
    <w:rsid w:val="25AA463B"/>
    <w:rsid w:val="25AA7B9C"/>
    <w:rsid w:val="25AE66C3"/>
    <w:rsid w:val="25B376D8"/>
    <w:rsid w:val="25BA7C7E"/>
    <w:rsid w:val="25BD209D"/>
    <w:rsid w:val="25C6523C"/>
    <w:rsid w:val="25C72C92"/>
    <w:rsid w:val="25CD1E0C"/>
    <w:rsid w:val="25E53C37"/>
    <w:rsid w:val="25EC2D81"/>
    <w:rsid w:val="25F26A3F"/>
    <w:rsid w:val="25F74749"/>
    <w:rsid w:val="26084224"/>
    <w:rsid w:val="261E5109"/>
    <w:rsid w:val="263045C1"/>
    <w:rsid w:val="263C041A"/>
    <w:rsid w:val="26414AD3"/>
    <w:rsid w:val="26515C4B"/>
    <w:rsid w:val="265A3DAB"/>
    <w:rsid w:val="26603F82"/>
    <w:rsid w:val="26701DA2"/>
    <w:rsid w:val="267047E0"/>
    <w:rsid w:val="26725F02"/>
    <w:rsid w:val="268655BD"/>
    <w:rsid w:val="26A167B6"/>
    <w:rsid w:val="26A27421"/>
    <w:rsid w:val="26BE19EF"/>
    <w:rsid w:val="26C47410"/>
    <w:rsid w:val="26C63C01"/>
    <w:rsid w:val="26F76A82"/>
    <w:rsid w:val="2706498E"/>
    <w:rsid w:val="270F1E90"/>
    <w:rsid w:val="271C2272"/>
    <w:rsid w:val="27206D38"/>
    <w:rsid w:val="27242576"/>
    <w:rsid w:val="27256ABB"/>
    <w:rsid w:val="272E4A5A"/>
    <w:rsid w:val="275478A0"/>
    <w:rsid w:val="27561C28"/>
    <w:rsid w:val="2766241B"/>
    <w:rsid w:val="277057A2"/>
    <w:rsid w:val="277435EF"/>
    <w:rsid w:val="277B4318"/>
    <w:rsid w:val="277E00CF"/>
    <w:rsid w:val="278E13C2"/>
    <w:rsid w:val="278E27EC"/>
    <w:rsid w:val="27AA752F"/>
    <w:rsid w:val="27BC7750"/>
    <w:rsid w:val="27BF4E6F"/>
    <w:rsid w:val="27C077EE"/>
    <w:rsid w:val="27CA5C74"/>
    <w:rsid w:val="27CD1C92"/>
    <w:rsid w:val="27D21671"/>
    <w:rsid w:val="27D761F3"/>
    <w:rsid w:val="27E41307"/>
    <w:rsid w:val="27E84F11"/>
    <w:rsid w:val="27FE2AE4"/>
    <w:rsid w:val="2819130E"/>
    <w:rsid w:val="28212BE6"/>
    <w:rsid w:val="282348AE"/>
    <w:rsid w:val="282429E8"/>
    <w:rsid w:val="28372B7F"/>
    <w:rsid w:val="283D462B"/>
    <w:rsid w:val="28433F5A"/>
    <w:rsid w:val="286D5F65"/>
    <w:rsid w:val="2877641E"/>
    <w:rsid w:val="288E4AD2"/>
    <w:rsid w:val="289654D2"/>
    <w:rsid w:val="28996143"/>
    <w:rsid w:val="28A41347"/>
    <w:rsid w:val="28A45D52"/>
    <w:rsid w:val="28A6098D"/>
    <w:rsid w:val="28B1127A"/>
    <w:rsid w:val="28C17F3F"/>
    <w:rsid w:val="28C30571"/>
    <w:rsid w:val="28C522F5"/>
    <w:rsid w:val="28CC5921"/>
    <w:rsid w:val="28CF45C2"/>
    <w:rsid w:val="28E51233"/>
    <w:rsid w:val="28EA5D1E"/>
    <w:rsid w:val="28EB60FB"/>
    <w:rsid w:val="28F034B1"/>
    <w:rsid w:val="28F21669"/>
    <w:rsid w:val="29055BE8"/>
    <w:rsid w:val="291034DE"/>
    <w:rsid w:val="29206EB8"/>
    <w:rsid w:val="2924703F"/>
    <w:rsid w:val="29331E56"/>
    <w:rsid w:val="295029C0"/>
    <w:rsid w:val="29542197"/>
    <w:rsid w:val="29595666"/>
    <w:rsid w:val="29621FF4"/>
    <w:rsid w:val="29672352"/>
    <w:rsid w:val="297E4AA6"/>
    <w:rsid w:val="29874881"/>
    <w:rsid w:val="298C0CFB"/>
    <w:rsid w:val="29956099"/>
    <w:rsid w:val="29984254"/>
    <w:rsid w:val="299A15AC"/>
    <w:rsid w:val="299B1B74"/>
    <w:rsid w:val="299F5B4C"/>
    <w:rsid w:val="29AB0921"/>
    <w:rsid w:val="29B87E05"/>
    <w:rsid w:val="29C267C8"/>
    <w:rsid w:val="29C711D1"/>
    <w:rsid w:val="29C921BE"/>
    <w:rsid w:val="29CA304E"/>
    <w:rsid w:val="29D027E9"/>
    <w:rsid w:val="29D11C10"/>
    <w:rsid w:val="29E325E0"/>
    <w:rsid w:val="29E9242B"/>
    <w:rsid w:val="29FA2169"/>
    <w:rsid w:val="2A0C2FBE"/>
    <w:rsid w:val="2A157A9D"/>
    <w:rsid w:val="2A187F68"/>
    <w:rsid w:val="2A196B2E"/>
    <w:rsid w:val="2A1F3798"/>
    <w:rsid w:val="2A221581"/>
    <w:rsid w:val="2A2A506B"/>
    <w:rsid w:val="2A3A0890"/>
    <w:rsid w:val="2A452503"/>
    <w:rsid w:val="2A5C588F"/>
    <w:rsid w:val="2A60593D"/>
    <w:rsid w:val="2A661523"/>
    <w:rsid w:val="2A702666"/>
    <w:rsid w:val="2A8157B7"/>
    <w:rsid w:val="2A8A3AC2"/>
    <w:rsid w:val="2A975249"/>
    <w:rsid w:val="2AA37048"/>
    <w:rsid w:val="2AA73F5B"/>
    <w:rsid w:val="2ABC79FE"/>
    <w:rsid w:val="2AD86C74"/>
    <w:rsid w:val="2AE40C76"/>
    <w:rsid w:val="2AF2781B"/>
    <w:rsid w:val="2AF76EC3"/>
    <w:rsid w:val="2B063D47"/>
    <w:rsid w:val="2B1A7609"/>
    <w:rsid w:val="2B267384"/>
    <w:rsid w:val="2B4150BC"/>
    <w:rsid w:val="2B551472"/>
    <w:rsid w:val="2B5D20D7"/>
    <w:rsid w:val="2B635B8E"/>
    <w:rsid w:val="2B650BFF"/>
    <w:rsid w:val="2B681D4E"/>
    <w:rsid w:val="2B7230CF"/>
    <w:rsid w:val="2B7F6AA6"/>
    <w:rsid w:val="2B81080B"/>
    <w:rsid w:val="2B8C5686"/>
    <w:rsid w:val="2BA936A8"/>
    <w:rsid w:val="2BAE78BE"/>
    <w:rsid w:val="2BB21574"/>
    <w:rsid w:val="2BC001EF"/>
    <w:rsid w:val="2BCB5886"/>
    <w:rsid w:val="2BDA2BE9"/>
    <w:rsid w:val="2BDB0346"/>
    <w:rsid w:val="2BE544AF"/>
    <w:rsid w:val="2BEF71CD"/>
    <w:rsid w:val="2BFD6193"/>
    <w:rsid w:val="2BFF4235"/>
    <w:rsid w:val="2C015FA1"/>
    <w:rsid w:val="2C03675B"/>
    <w:rsid w:val="2C2172C4"/>
    <w:rsid w:val="2C2227A9"/>
    <w:rsid w:val="2C2A71DF"/>
    <w:rsid w:val="2C315A5A"/>
    <w:rsid w:val="2C352AE3"/>
    <w:rsid w:val="2C380536"/>
    <w:rsid w:val="2C3F0980"/>
    <w:rsid w:val="2C4B1C25"/>
    <w:rsid w:val="2C5013C8"/>
    <w:rsid w:val="2C7A5161"/>
    <w:rsid w:val="2C7F5513"/>
    <w:rsid w:val="2C804CF0"/>
    <w:rsid w:val="2CA8587C"/>
    <w:rsid w:val="2CA927FA"/>
    <w:rsid w:val="2CCB448B"/>
    <w:rsid w:val="2CCB74C4"/>
    <w:rsid w:val="2CCE400E"/>
    <w:rsid w:val="2CD43D82"/>
    <w:rsid w:val="2CE75EFB"/>
    <w:rsid w:val="2D023258"/>
    <w:rsid w:val="2D057796"/>
    <w:rsid w:val="2D0B5263"/>
    <w:rsid w:val="2D3B242A"/>
    <w:rsid w:val="2D4B7572"/>
    <w:rsid w:val="2D6411C6"/>
    <w:rsid w:val="2D685B7D"/>
    <w:rsid w:val="2D9E56F5"/>
    <w:rsid w:val="2DBC5704"/>
    <w:rsid w:val="2DBF20FD"/>
    <w:rsid w:val="2DC21BE6"/>
    <w:rsid w:val="2DCB1181"/>
    <w:rsid w:val="2DD12EF5"/>
    <w:rsid w:val="2DDC27D6"/>
    <w:rsid w:val="2DE00429"/>
    <w:rsid w:val="2DE00DB5"/>
    <w:rsid w:val="2E150D8F"/>
    <w:rsid w:val="2E180D1D"/>
    <w:rsid w:val="2E1B14D5"/>
    <w:rsid w:val="2E364CEC"/>
    <w:rsid w:val="2E3C6EB4"/>
    <w:rsid w:val="2E614172"/>
    <w:rsid w:val="2E64435B"/>
    <w:rsid w:val="2E667F96"/>
    <w:rsid w:val="2E714643"/>
    <w:rsid w:val="2E8226AB"/>
    <w:rsid w:val="2E907229"/>
    <w:rsid w:val="2E966FC3"/>
    <w:rsid w:val="2E9718D0"/>
    <w:rsid w:val="2EB211B1"/>
    <w:rsid w:val="2EB2173C"/>
    <w:rsid w:val="2EBF14DA"/>
    <w:rsid w:val="2EDB30C0"/>
    <w:rsid w:val="2EE033F6"/>
    <w:rsid w:val="2EE164B3"/>
    <w:rsid w:val="2EE419E4"/>
    <w:rsid w:val="2EE85C04"/>
    <w:rsid w:val="2EF950A3"/>
    <w:rsid w:val="2EFE4B29"/>
    <w:rsid w:val="2F177EEF"/>
    <w:rsid w:val="2F1A1856"/>
    <w:rsid w:val="2F1B7A19"/>
    <w:rsid w:val="2F1E2880"/>
    <w:rsid w:val="2F1E633B"/>
    <w:rsid w:val="2F233201"/>
    <w:rsid w:val="2F430CAD"/>
    <w:rsid w:val="2F513F5E"/>
    <w:rsid w:val="2F5312CA"/>
    <w:rsid w:val="2F546693"/>
    <w:rsid w:val="2F5D26AF"/>
    <w:rsid w:val="2F6E2AC5"/>
    <w:rsid w:val="2F7B0463"/>
    <w:rsid w:val="2F7E14B4"/>
    <w:rsid w:val="2F857A27"/>
    <w:rsid w:val="2F862310"/>
    <w:rsid w:val="2F880E3D"/>
    <w:rsid w:val="2FA0098D"/>
    <w:rsid w:val="2FA57DEE"/>
    <w:rsid w:val="2FC751AB"/>
    <w:rsid w:val="2FCB7EE9"/>
    <w:rsid w:val="2FD065E6"/>
    <w:rsid w:val="2FD96870"/>
    <w:rsid w:val="2FDA1A73"/>
    <w:rsid w:val="2FDC7C2B"/>
    <w:rsid w:val="2FE87E8A"/>
    <w:rsid w:val="2FF279EE"/>
    <w:rsid w:val="300872A7"/>
    <w:rsid w:val="30317A91"/>
    <w:rsid w:val="30342AD7"/>
    <w:rsid w:val="3036514F"/>
    <w:rsid w:val="303F76A1"/>
    <w:rsid w:val="30471B22"/>
    <w:rsid w:val="305212F9"/>
    <w:rsid w:val="30580BC9"/>
    <w:rsid w:val="305F3739"/>
    <w:rsid w:val="306132D7"/>
    <w:rsid w:val="306E79D7"/>
    <w:rsid w:val="30790E83"/>
    <w:rsid w:val="30877155"/>
    <w:rsid w:val="30A47FBE"/>
    <w:rsid w:val="30AB6C95"/>
    <w:rsid w:val="30AD3CE8"/>
    <w:rsid w:val="30B312FD"/>
    <w:rsid w:val="30BA47CC"/>
    <w:rsid w:val="30CB78A0"/>
    <w:rsid w:val="30CD6C7A"/>
    <w:rsid w:val="30DE49A6"/>
    <w:rsid w:val="3100221F"/>
    <w:rsid w:val="31185266"/>
    <w:rsid w:val="311E2ED7"/>
    <w:rsid w:val="31242BF5"/>
    <w:rsid w:val="312B302D"/>
    <w:rsid w:val="312F0053"/>
    <w:rsid w:val="313917B9"/>
    <w:rsid w:val="31436D79"/>
    <w:rsid w:val="314C1D55"/>
    <w:rsid w:val="315619EE"/>
    <w:rsid w:val="315C08D0"/>
    <w:rsid w:val="315C449C"/>
    <w:rsid w:val="316D3DD0"/>
    <w:rsid w:val="316E4F81"/>
    <w:rsid w:val="316F64A7"/>
    <w:rsid w:val="31A66B48"/>
    <w:rsid w:val="31B1314C"/>
    <w:rsid w:val="31B82709"/>
    <w:rsid w:val="31D05482"/>
    <w:rsid w:val="31F22952"/>
    <w:rsid w:val="32010E07"/>
    <w:rsid w:val="320F30FF"/>
    <w:rsid w:val="321E5B2C"/>
    <w:rsid w:val="3229167D"/>
    <w:rsid w:val="322A2581"/>
    <w:rsid w:val="32326A3E"/>
    <w:rsid w:val="32333054"/>
    <w:rsid w:val="323C5320"/>
    <w:rsid w:val="32400B34"/>
    <w:rsid w:val="324D7E6B"/>
    <w:rsid w:val="32584AA6"/>
    <w:rsid w:val="325F245E"/>
    <w:rsid w:val="32646F7B"/>
    <w:rsid w:val="326660F9"/>
    <w:rsid w:val="326A2ABD"/>
    <w:rsid w:val="326B7C1E"/>
    <w:rsid w:val="32723FFE"/>
    <w:rsid w:val="32747F69"/>
    <w:rsid w:val="327510C5"/>
    <w:rsid w:val="32754CDC"/>
    <w:rsid w:val="328B5B24"/>
    <w:rsid w:val="329C5042"/>
    <w:rsid w:val="329E6876"/>
    <w:rsid w:val="329F2A37"/>
    <w:rsid w:val="329F700C"/>
    <w:rsid w:val="32B53E6C"/>
    <w:rsid w:val="32BB5381"/>
    <w:rsid w:val="32C57C62"/>
    <w:rsid w:val="32C6175D"/>
    <w:rsid w:val="32C748FB"/>
    <w:rsid w:val="32D3443E"/>
    <w:rsid w:val="32E263B0"/>
    <w:rsid w:val="32E52720"/>
    <w:rsid w:val="32E76225"/>
    <w:rsid w:val="32F142F3"/>
    <w:rsid w:val="32F33BEB"/>
    <w:rsid w:val="32FA4CC8"/>
    <w:rsid w:val="33002EBF"/>
    <w:rsid w:val="33023519"/>
    <w:rsid w:val="331671D1"/>
    <w:rsid w:val="332A1ECC"/>
    <w:rsid w:val="332E4741"/>
    <w:rsid w:val="333015F2"/>
    <w:rsid w:val="33324ED9"/>
    <w:rsid w:val="33331303"/>
    <w:rsid w:val="334B6320"/>
    <w:rsid w:val="334C501A"/>
    <w:rsid w:val="335009FF"/>
    <w:rsid w:val="33590EC3"/>
    <w:rsid w:val="336C0A45"/>
    <w:rsid w:val="3376528C"/>
    <w:rsid w:val="338069F5"/>
    <w:rsid w:val="33863119"/>
    <w:rsid w:val="339436CC"/>
    <w:rsid w:val="33A17E31"/>
    <w:rsid w:val="33A6639C"/>
    <w:rsid w:val="33B65581"/>
    <w:rsid w:val="33BD1630"/>
    <w:rsid w:val="33BF4A47"/>
    <w:rsid w:val="33D934D4"/>
    <w:rsid w:val="33E60D63"/>
    <w:rsid w:val="33ED7470"/>
    <w:rsid w:val="33F23E21"/>
    <w:rsid w:val="33FE2F6A"/>
    <w:rsid w:val="33FF5023"/>
    <w:rsid w:val="3402589D"/>
    <w:rsid w:val="34097389"/>
    <w:rsid w:val="340E07E5"/>
    <w:rsid w:val="341419FC"/>
    <w:rsid w:val="341F347B"/>
    <w:rsid w:val="34210802"/>
    <w:rsid w:val="34235BF7"/>
    <w:rsid w:val="34394232"/>
    <w:rsid w:val="34471B5D"/>
    <w:rsid w:val="34684465"/>
    <w:rsid w:val="346E2270"/>
    <w:rsid w:val="348D0A61"/>
    <w:rsid w:val="34967B08"/>
    <w:rsid w:val="34AB1292"/>
    <w:rsid w:val="34C00A4F"/>
    <w:rsid w:val="34EC79AA"/>
    <w:rsid w:val="34F42E0D"/>
    <w:rsid w:val="34F452A6"/>
    <w:rsid w:val="34F53213"/>
    <w:rsid w:val="35081F3D"/>
    <w:rsid w:val="351865FB"/>
    <w:rsid w:val="35195434"/>
    <w:rsid w:val="351D4AFE"/>
    <w:rsid w:val="35310EB8"/>
    <w:rsid w:val="353A6488"/>
    <w:rsid w:val="35482946"/>
    <w:rsid w:val="355A2304"/>
    <w:rsid w:val="355C48AD"/>
    <w:rsid w:val="35690123"/>
    <w:rsid w:val="35747E49"/>
    <w:rsid w:val="358C5FA8"/>
    <w:rsid w:val="358C7DD9"/>
    <w:rsid w:val="35990E90"/>
    <w:rsid w:val="35A95619"/>
    <w:rsid w:val="35B53FBE"/>
    <w:rsid w:val="35C15DF1"/>
    <w:rsid w:val="35EF6F7B"/>
    <w:rsid w:val="35F81E79"/>
    <w:rsid w:val="36074A7F"/>
    <w:rsid w:val="36111672"/>
    <w:rsid w:val="36241A64"/>
    <w:rsid w:val="363270D4"/>
    <w:rsid w:val="365446AE"/>
    <w:rsid w:val="365962C2"/>
    <w:rsid w:val="36637DF7"/>
    <w:rsid w:val="366A17E9"/>
    <w:rsid w:val="366B4446"/>
    <w:rsid w:val="36825B46"/>
    <w:rsid w:val="36923549"/>
    <w:rsid w:val="36936F78"/>
    <w:rsid w:val="36A35226"/>
    <w:rsid w:val="36AC532E"/>
    <w:rsid w:val="36B75FBF"/>
    <w:rsid w:val="36BB4BEF"/>
    <w:rsid w:val="36BD0C45"/>
    <w:rsid w:val="36C317D1"/>
    <w:rsid w:val="36C62CCE"/>
    <w:rsid w:val="36C92A4D"/>
    <w:rsid w:val="36E0535C"/>
    <w:rsid w:val="36E71C45"/>
    <w:rsid w:val="36EC1645"/>
    <w:rsid w:val="36ED663C"/>
    <w:rsid w:val="37006F78"/>
    <w:rsid w:val="370D41E5"/>
    <w:rsid w:val="371F6892"/>
    <w:rsid w:val="37290083"/>
    <w:rsid w:val="37332FDB"/>
    <w:rsid w:val="373502DF"/>
    <w:rsid w:val="373D1DF0"/>
    <w:rsid w:val="373F1640"/>
    <w:rsid w:val="37535FEA"/>
    <w:rsid w:val="375D2B5F"/>
    <w:rsid w:val="375F65A0"/>
    <w:rsid w:val="376C0584"/>
    <w:rsid w:val="377662ED"/>
    <w:rsid w:val="377C3BAD"/>
    <w:rsid w:val="377F7324"/>
    <w:rsid w:val="378E5F24"/>
    <w:rsid w:val="3794592A"/>
    <w:rsid w:val="379E3B3D"/>
    <w:rsid w:val="37A64D4C"/>
    <w:rsid w:val="37AB3241"/>
    <w:rsid w:val="37AE634A"/>
    <w:rsid w:val="37B05B56"/>
    <w:rsid w:val="37BC0601"/>
    <w:rsid w:val="37C021F0"/>
    <w:rsid w:val="37C15BF0"/>
    <w:rsid w:val="37D3697D"/>
    <w:rsid w:val="37E00298"/>
    <w:rsid w:val="37E36B18"/>
    <w:rsid w:val="37E816EA"/>
    <w:rsid w:val="37F0181D"/>
    <w:rsid w:val="37F35B84"/>
    <w:rsid w:val="37F378CE"/>
    <w:rsid w:val="382F0057"/>
    <w:rsid w:val="383A0F13"/>
    <w:rsid w:val="384B1B1D"/>
    <w:rsid w:val="384C2DFB"/>
    <w:rsid w:val="385F0138"/>
    <w:rsid w:val="38670D13"/>
    <w:rsid w:val="386F03C9"/>
    <w:rsid w:val="38826D3F"/>
    <w:rsid w:val="38835502"/>
    <w:rsid w:val="388A06A6"/>
    <w:rsid w:val="3897618D"/>
    <w:rsid w:val="389E1315"/>
    <w:rsid w:val="389F4AE8"/>
    <w:rsid w:val="38A42C60"/>
    <w:rsid w:val="38B302F9"/>
    <w:rsid w:val="38BA085F"/>
    <w:rsid w:val="38BA5A1A"/>
    <w:rsid w:val="38BF3566"/>
    <w:rsid w:val="38DC112C"/>
    <w:rsid w:val="38E22C87"/>
    <w:rsid w:val="38E47094"/>
    <w:rsid w:val="38F12CD3"/>
    <w:rsid w:val="38F94775"/>
    <w:rsid w:val="392971ED"/>
    <w:rsid w:val="392B114C"/>
    <w:rsid w:val="392B373D"/>
    <w:rsid w:val="393071D0"/>
    <w:rsid w:val="39325651"/>
    <w:rsid w:val="393345E3"/>
    <w:rsid w:val="39626784"/>
    <w:rsid w:val="39654E57"/>
    <w:rsid w:val="39713281"/>
    <w:rsid w:val="398166EC"/>
    <w:rsid w:val="39894CD8"/>
    <w:rsid w:val="3994387C"/>
    <w:rsid w:val="399A6B6A"/>
    <w:rsid w:val="39AB2A00"/>
    <w:rsid w:val="39B065A9"/>
    <w:rsid w:val="39D028F0"/>
    <w:rsid w:val="39EB5E81"/>
    <w:rsid w:val="39ED203D"/>
    <w:rsid w:val="39F14C97"/>
    <w:rsid w:val="39F218E4"/>
    <w:rsid w:val="39F350B4"/>
    <w:rsid w:val="39F66177"/>
    <w:rsid w:val="39FE66A1"/>
    <w:rsid w:val="3A115F55"/>
    <w:rsid w:val="3A153577"/>
    <w:rsid w:val="3A265E9B"/>
    <w:rsid w:val="3A2B6716"/>
    <w:rsid w:val="3A341A43"/>
    <w:rsid w:val="3A50737A"/>
    <w:rsid w:val="3A581B5A"/>
    <w:rsid w:val="3A624D8E"/>
    <w:rsid w:val="3A67020B"/>
    <w:rsid w:val="3A6A20CD"/>
    <w:rsid w:val="3A7255E4"/>
    <w:rsid w:val="3A810316"/>
    <w:rsid w:val="3A872856"/>
    <w:rsid w:val="3AA840F1"/>
    <w:rsid w:val="3AA9055B"/>
    <w:rsid w:val="3ABC519E"/>
    <w:rsid w:val="3ACF1C8D"/>
    <w:rsid w:val="3AEE4ED7"/>
    <w:rsid w:val="3AEF2316"/>
    <w:rsid w:val="3AFB2473"/>
    <w:rsid w:val="3B023277"/>
    <w:rsid w:val="3B0F751E"/>
    <w:rsid w:val="3B266EC1"/>
    <w:rsid w:val="3B36645E"/>
    <w:rsid w:val="3B3763D1"/>
    <w:rsid w:val="3B380835"/>
    <w:rsid w:val="3B3A743F"/>
    <w:rsid w:val="3B3F2CA7"/>
    <w:rsid w:val="3B5219C5"/>
    <w:rsid w:val="3B634407"/>
    <w:rsid w:val="3B6648A7"/>
    <w:rsid w:val="3B704A7B"/>
    <w:rsid w:val="3B82287D"/>
    <w:rsid w:val="3B9D6F58"/>
    <w:rsid w:val="3BA013C0"/>
    <w:rsid w:val="3BAF7814"/>
    <w:rsid w:val="3BBC06E9"/>
    <w:rsid w:val="3BBE3383"/>
    <w:rsid w:val="3BBF4878"/>
    <w:rsid w:val="3BC211E2"/>
    <w:rsid w:val="3BCD7863"/>
    <w:rsid w:val="3BD50F16"/>
    <w:rsid w:val="3BFD1BEB"/>
    <w:rsid w:val="3C145657"/>
    <w:rsid w:val="3C213BF5"/>
    <w:rsid w:val="3C2D2600"/>
    <w:rsid w:val="3C2F6E1E"/>
    <w:rsid w:val="3C461545"/>
    <w:rsid w:val="3C4F64BA"/>
    <w:rsid w:val="3C527B9B"/>
    <w:rsid w:val="3C601BAE"/>
    <w:rsid w:val="3C704E07"/>
    <w:rsid w:val="3C716F2D"/>
    <w:rsid w:val="3C8B0765"/>
    <w:rsid w:val="3C8C7715"/>
    <w:rsid w:val="3CA1529C"/>
    <w:rsid w:val="3CA97CBE"/>
    <w:rsid w:val="3CBC0755"/>
    <w:rsid w:val="3CCE2028"/>
    <w:rsid w:val="3CD601B2"/>
    <w:rsid w:val="3CD94794"/>
    <w:rsid w:val="3CDA245A"/>
    <w:rsid w:val="3CDE35EB"/>
    <w:rsid w:val="3CE17483"/>
    <w:rsid w:val="3CED0461"/>
    <w:rsid w:val="3CF35813"/>
    <w:rsid w:val="3CF60DAD"/>
    <w:rsid w:val="3CF872F7"/>
    <w:rsid w:val="3D125778"/>
    <w:rsid w:val="3D15338A"/>
    <w:rsid w:val="3D1E06B7"/>
    <w:rsid w:val="3D237180"/>
    <w:rsid w:val="3D2A0F44"/>
    <w:rsid w:val="3D2E0B81"/>
    <w:rsid w:val="3D2E3161"/>
    <w:rsid w:val="3D3D6662"/>
    <w:rsid w:val="3D64052C"/>
    <w:rsid w:val="3D687187"/>
    <w:rsid w:val="3D6A38DF"/>
    <w:rsid w:val="3D704367"/>
    <w:rsid w:val="3D7F14C0"/>
    <w:rsid w:val="3D904A9D"/>
    <w:rsid w:val="3DB76B97"/>
    <w:rsid w:val="3DC626AF"/>
    <w:rsid w:val="3DDF4B5B"/>
    <w:rsid w:val="3DEB3981"/>
    <w:rsid w:val="3E027FBC"/>
    <w:rsid w:val="3E111EB9"/>
    <w:rsid w:val="3E150198"/>
    <w:rsid w:val="3E190B32"/>
    <w:rsid w:val="3E1A77AF"/>
    <w:rsid w:val="3E1C621A"/>
    <w:rsid w:val="3E22447A"/>
    <w:rsid w:val="3E235CFC"/>
    <w:rsid w:val="3E3509C0"/>
    <w:rsid w:val="3E3916D5"/>
    <w:rsid w:val="3E66095B"/>
    <w:rsid w:val="3E755E70"/>
    <w:rsid w:val="3E796248"/>
    <w:rsid w:val="3E7C4720"/>
    <w:rsid w:val="3E8A736B"/>
    <w:rsid w:val="3E931F88"/>
    <w:rsid w:val="3E965108"/>
    <w:rsid w:val="3EA12B91"/>
    <w:rsid w:val="3EA321C1"/>
    <w:rsid w:val="3EA51073"/>
    <w:rsid w:val="3EB56158"/>
    <w:rsid w:val="3EB81880"/>
    <w:rsid w:val="3ED12DB5"/>
    <w:rsid w:val="3ED2719A"/>
    <w:rsid w:val="3EDA0523"/>
    <w:rsid w:val="3EE028BB"/>
    <w:rsid w:val="3F0B4D50"/>
    <w:rsid w:val="3F192EEC"/>
    <w:rsid w:val="3F1930D0"/>
    <w:rsid w:val="3F1A0D9A"/>
    <w:rsid w:val="3F330399"/>
    <w:rsid w:val="3F336D60"/>
    <w:rsid w:val="3F4A021A"/>
    <w:rsid w:val="3F4A130D"/>
    <w:rsid w:val="3F524780"/>
    <w:rsid w:val="3F604F9A"/>
    <w:rsid w:val="3F6524F7"/>
    <w:rsid w:val="3F777C51"/>
    <w:rsid w:val="3F7D4A4F"/>
    <w:rsid w:val="3F84044B"/>
    <w:rsid w:val="3F8873F4"/>
    <w:rsid w:val="3FA03A92"/>
    <w:rsid w:val="3FB01C1C"/>
    <w:rsid w:val="3FB35E29"/>
    <w:rsid w:val="3FC04C01"/>
    <w:rsid w:val="3FCC0881"/>
    <w:rsid w:val="3FCC73D6"/>
    <w:rsid w:val="3FCF098B"/>
    <w:rsid w:val="3FD43892"/>
    <w:rsid w:val="3FD77646"/>
    <w:rsid w:val="3FDB74E6"/>
    <w:rsid w:val="3FE84FD6"/>
    <w:rsid w:val="3FED22C7"/>
    <w:rsid w:val="3FEE34AC"/>
    <w:rsid w:val="3FF12099"/>
    <w:rsid w:val="4009735D"/>
    <w:rsid w:val="40277A94"/>
    <w:rsid w:val="402F6566"/>
    <w:rsid w:val="4042060A"/>
    <w:rsid w:val="405454AC"/>
    <w:rsid w:val="405F1B1B"/>
    <w:rsid w:val="406A561F"/>
    <w:rsid w:val="407829DC"/>
    <w:rsid w:val="407A6407"/>
    <w:rsid w:val="40973D22"/>
    <w:rsid w:val="409E1611"/>
    <w:rsid w:val="40A027F4"/>
    <w:rsid w:val="40A328BC"/>
    <w:rsid w:val="40A37EF0"/>
    <w:rsid w:val="40AD515B"/>
    <w:rsid w:val="40B92B20"/>
    <w:rsid w:val="40D00013"/>
    <w:rsid w:val="40DC39F8"/>
    <w:rsid w:val="40F21AC4"/>
    <w:rsid w:val="40F90093"/>
    <w:rsid w:val="40FF07E3"/>
    <w:rsid w:val="410827B4"/>
    <w:rsid w:val="41111723"/>
    <w:rsid w:val="411B1420"/>
    <w:rsid w:val="41217905"/>
    <w:rsid w:val="413C26F6"/>
    <w:rsid w:val="414544E4"/>
    <w:rsid w:val="414C43D2"/>
    <w:rsid w:val="415224F4"/>
    <w:rsid w:val="415953C9"/>
    <w:rsid w:val="415B7A66"/>
    <w:rsid w:val="415D4938"/>
    <w:rsid w:val="415E560E"/>
    <w:rsid w:val="41687AEC"/>
    <w:rsid w:val="41822EAA"/>
    <w:rsid w:val="41877F24"/>
    <w:rsid w:val="418A7DA5"/>
    <w:rsid w:val="41923688"/>
    <w:rsid w:val="419E19FC"/>
    <w:rsid w:val="41A7407A"/>
    <w:rsid w:val="41B63597"/>
    <w:rsid w:val="41C21F3C"/>
    <w:rsid w:val="41D40F44"/>
    <w:rsid w:val="41D774D7"/>
    <w:rsid w:val="4200449D"/>
    <w:rsid w:val="421E0A2A"/>
    <w:rsid w:val="42381CFC"/>
    <w:rsid w:val="423962F9"/>
    <w:rsid w:val="423A3BCC"/>
    <w:rsid w:val="423B189D"/>
    <w:rsid w:val="424E57D2"/>
    <w:rsid w:val="42821BFB"/>
    <w:rsid w:val="428469AF"/>
    <w:rsid w:val="428C4672"/>
    <w:rsid w:val="42962368"/>
    <w:rsid w:val="42B26C49"/>
    <w:rsid w:val="42B309BC"/>
    <w:rsid w:val="42B3259F"/>
    <w:rsid w:val="42C67BD5"/>
    <w:rsid w:val="42C7022C"/>
    <w:rsid w:val="42DC272B"/>
    <w:rsid w:val="42DC77DF"/>
    <w:rsid w:val="42DE4EC8"/>
    <w:rsid w:val="42F16FE1"/>
    <w:rsid w:val="42F82C41"/>
    <w:rsid w:val="42FF3EEF"/>
    <w:rsid w:val="431A4857"/>
    <w:rsid w:val="43233385"/>
    <w:rsid w:val="43263AAE"/>
    <w:rsid w:val="43303402"/>
    <w:rsid w:val="433A6FE6"/>
    <w:rsid w:val="433E0EC1"/>
    <w:rsid w:val="43480868"/>
    <w:rsid w:val="434E5FC4"/>
    <w:rsid w:val="4350713C"/>
    <w:rsid w:val="435F0420"/>
    <w:rsid w:val="436653E0"/>
    <w:rsid w:val="436D17BE"/>
    <w:rsid w:val="43753ABC"/>
    <w:rsid w:val="438B3352"/>
    <w:rsid w:val="439051A5"/>
    <w:rsid w:val="43A146ED"/>
    <w:rsid w:val="43AE4585"/>
    <w:rsid w:val="43AF64F0"/>
    <w:rsid w:val="43BC7D3C"/>
    <w:rsid w:val="43C4431A"/>
    <w:rsid w:val="43EF365C"/>
    <w:rsid w:val="43F2498B"/>
    <w:rsid w:val="43F6684D"/>
    <w:rsid w:val="43FC5F5C"/>
    <w:rsid w:val="44081F3E"/>
    <w:rsid w:val="440A020D"/>
    <w:rsid w:val="440E593F"/>
    <w:rsid w:val="440E6E5B"/>
    <w:rsid w:val="44122E5C"/>
    <w:rsid w:val="441C4EF4"/>
    <w:rsid w:val="442B2122"/>
    <w:rsid w:val="444044AC"/>
    <w:rsid w:val="44453DDE"/>
    <w:rsid w:val="444F14E8"/>
    <w:rsid w:val="445248DC"/>
    <w:rsid w:val="446F5972"/>
    <w:rsid w:val="448E1C9B"/>
    <w:rsid w:val="44A40D42"/>
    <w:rsid w:val="44B951CC"/>
    <w:rsid w:val="44CD14E0"/>
    <w:rsid w:val="44D02A12"/>
    <w:rsid w:val="44F20B0B"/>
    <w:rsid w:val="44F93EC7"/>
    <w:rsid w:val="450D2D56"/>
    <w:rsid w:val="451B105E"/>
    <w:rsid w:val="451C26BF"/>
    <w:rsid w:val="452E5F4C"/>
    <w:rsid w:val="45425584"/>
    <w:rsid w:val="45612018"/>
    <w:rsid w:val="456F1DCB"/>
    <w:rsid w:val="45782311"/>
    <w:rsid w:val="458946E9"/>
    <w:rsid w:val="458F1CDF"/>
    <w:rsid w:val="45A47C0E"/>
    <w:rsid w:val="45A5546D"/>
    <w:rsid w:val="45A87B74"/>
    <w:rsid w:val="45B32949"/>
    <w:rsid w:val="45B86F7D"/>
    <w:rsid w:val="45BF512A"/>
    <w:rsid w:val="45CB6686"/>
    <w:rsid w:val="45CC4682"/>
    <w:rsid w:val="45D00DCA"/>
    <w:rsid w:val="45D05C94"/>
    <w:rsid w:val="45D47EA1"/>
    <w:rsid w:val="46022D46"/>
    <w:rsid w:val="46041818"/>
    <w:rsid w:val="461245A8"/>
    <w:rsid w:val="46153778"/>
    <w:rsid w:val="462413CE"/>
    <w:rsid w:val="46300513"/>
    <w:rsid w:val="463517B1"/>
    <w:rsid w:val="463C7E0C"/>
    <w:rsid w:val="46577FD6"/>
    <w:rsid w:val="466943F9"/>
    <w:rsid w:val="467328F7"/>
    <w:rsid w:val="46752389"/>
    <w:rsid w:val="467B55C0"/>
    <w:rsid w:val="46840346"/>
    <w:rsid w:val="46BC7C2C"/>
    <w:rsid w:val="46BD618B"/>
    <w:rsid w:val="46C77D5A"/>
    <w:rsid w:val="46D955A7"/>
    <w:rsid w:val="46DF0E9A"/>
    <w:rsid w:val="46EA5F12"/>
    <w:rsid w:val="46EC7868"/>
    <w:rsid w:val="46F25B1C"/>
    <w:rsid w:val="46F663C7"/>
    <w:rsid w:val="46FC750A"/>
    <w:rsid w:val="46FE28F8"/>
    <w:rsid w:val="47133957"/>
    <w:rsid w:val="47331014"/>
    <w:rsid w:val="474178A1"/>
    <w:rsid w:val="47806F3B"/>
    <w:rsid w:val="47824566"/>
    <w:rsid w:val="478B41B1"/>
    <w:rsid w:val="478E67C0"/>
    <w:rsid w:val="47A07E0C"/>
    <w:rsid w:val="47AA76FA"/>
    <w:rsid w:val="47AB205F"/>
    <w:rsid w:val="47B94FC7"/>
    <w:rsid w:val="47BA1A40"/>
    <w:rsid w:val="47BC7EA7"/>
    <w:rsid w:val="47D4106D"/>
    <w:rsid w:val="47D64BB7"/>
    <w:rsid w:val="47EE0969"/>
    <w:rsid w:val="47F0700D"/>
    <w:rsid w:val="47F448D4"/>
    <w:rsid w:val="480C6B77"/>
    <w:rsid w:val="4811577C"/>
    <w:rsid w:val="481A7B76"/>
    <w:rsid w:val="483E25FA"/>
    <w:rsid w:val="48510D90"/>
    <w:rsid w:val="4854741D"/>
    <w:rsid w:val="4870272E"/>
    <w:rsid w:val="488022AC"/>
    <w:rsid w:val="489C22D5"/>
    <w:rsid w:val="489E72CF"/>
    <w:rsid w:val="48A70DF9"/>
    <w:rsid w:val="48AE552F"/>
    <w:rsid w:val="48B0670C"/>
    <w:rsid w:val="48EB6C82"/>
    <w:rsid w:val="48EC79A4"/>
    <w:rsid w:val="48F75EB8"/>
    <w:rsid w:val="49121A5C"/>
    <w:rsid w:val="492F0847"/>
    <w:rsid w:val="49352D2A"/>
    <w:rsid w:val="493B53EE"/>
    <w:rsid w:val="493C7C96"/>
    <w:rsid w:val="493D00FA"/>
    <w:rsid w:val="494303AC"/>
    <w:rsid w:val="49570307"/>
    <w:rsid w:val="4957589A"/>
    <w:rsid w:val="496B5DA8"/>
    <w:rsid w:val="49735551"/>
    <w:rsid w:val="497405A9"/>
    <w:rsid w:val="49832D72"/>
    <w:rsid w:val="498B020B"/>
    <w:rsid w:val="49950486"/>
    <w:rsid w:val="499E44F2"/>
    <w:rsid w:val="49C152C7"/>
    <w:rsid w:val="49C16F7D"/>
    <w:rsid w:val="49CF2C03"/>
    <w:rsid w:val="49D83A7E"/>
    <w:rsid w:val="49DC7715"/>
    <w:rsid w:val="4A023139"/>
    <w:rsid w:val="4A031344"/>
    <w:rsid w:val="4A111323"/>
    <w:rsid w:val="4A230024"/>
    <w:rsid w:val="4A433AE3"/>
    <w:rsid w:val="4A5A150F"/>
    <w:rsid w:val="4A6B5687"/>
    <w:rsid w:val="4A6F2D0E"/>
    <w:rsid w:val="4A756146"/>
    <w:rsid w:val="4A7B576F"/>
    <w:rsid w:val="4AA63C07"/>
    <w:rsid w:val="4AB46D7B"/>
    <w:rsid w:val="4ABA05C6"/>
    <w:rsid w:val="4ABB0E3F"/>
    <w:rsid w:val="4ABD172A"/>
    <w:rsid w:val="4AC05C8B"/>
    <w:rsid w:val="4AC5624A"/>
    <w:rsid w:val="4ACA5262"/>
    <w:rsid w:val="4ADE4D13"/>
    <w:rsid w:val="4AE4031D"/>
    <w:rsid w:val="4AE47571"/>
    <w:rsid w:val="4AEF7DFC"/>
    <w:rsid w:val="4AF561A9"/>
    <w:rsid w:val="4AF869CF"/>
    <w:rsid w:val="4AFE7DC8"/>
    <w:rsid w:val="4B005A41"/>
    <w:rsid w:val="4B16180F"/>
    <w:rsid w:val="4B1A1D6F"/>
    <w:rsid w:val="4B252D47"/>
    <w:rsid w:val="4B5819E1"/>
    <w:rsid w:val="4B5F0966"/>
    <w:rsid w:val="4B68367F"/>
    <w:rsid w:val="4B712460"/>
    <w:rsid w:val="4B7C735F"/>
    <w:rsid w:val="4B83388B"/>
    <w:rsid w:val="4B982309"/>
    <w:rsid w:val="4BA00D6D"/>
    <w:rsid w:val="4BA0745A"/>
    <w:rsid w:val="4BA93423"/>
    <w:rsid w:val="4BB050FB"/>
    <w:rsid w:val="4BB5041C"/>
    <w:rsid w:val="4BB613A0"/>
    <w:rsid w:val="4BBB0A8E"/>
    <w:rsid w:val="4BDA4326"/>
    <w:rsid w:val="4BDC7C29"/>
    <w:rsid w:val="4BE4795E"/>
    <w:rsid w:val="4BE55FAA"/>
    <w:rsid w:val="4BEF4ED3"/>
    <w:rsid w:val="4BF110AE"/>
    <w:rsid w:val="4C250800"/>
    <w:rsid w:val="4C3F61DB"/>
    <w:rsid w:val="4C4A0649"/>
    <w:rsid w:val="4C666B82"/>
    <w:rsid w:val="4C734212"/>
    <w:rsid w:val="4C7E5ECA"/>
    <w:rsid w:val="4C8627B7"/>
    <w:rsid w:val="4C876AA5"/>
    <w:rsid w:val="4C981302"/>
    <w:rsid w:val="4C9A70F8"/>
    <w:rsid w:val="4CA344ED"/>
    <w:rsid w:val="4CA56486"/>
    <w:rsid w:val="4CAF48F3"/>
    <w:rsid w:val="4CB07B52"/>
    <w:rsid w:val="4CC61408"/>
    <w:rsid w:val="4CDA6313"/>
    <w:rsid w:val="4CE60B7C"/>
    <w:rsid w:val="4CE94A25"/>
    <w:rsid w:val="4CEB49DE"/>
    <w:rsid w:val="4CF05253"/>
    <w:rsid w:val="4CFC2039"/>
    <w:rsid w:val="4D0E00FB"/>
    <w:rsid w:val="4D176606"/>
    <w:rsid w:val="4D180C96"/>
    <w:rsid w:val="4D23789B"/>
    <w:rsid w:val="4D291E69"/>
    <w:rsid w:val="4D327E0D"/>
    <w:rsid w:val="4D49453C"/>
    <w:rsid w:val="4D55176F"/>
    <w:rsid w:val="4D81693E"/>
    <w:rsid w:val="4DAC30C6"/>
    <w:rsid w:val="4DBF2B39"/>
    <w:rsid w:val="4DC077B7"/>
    <w:rsid w:val="4DC35D0E"/>
    <w:rsid w:val="4DCF4404"/>
    <w:rsid w:val="4DEC1494"/>
    <w:rsid w:val="4DEC4FB0"/>
    <w:rsid w:val="4DF739FA"/>
    <w:rsid w:val="4DF76FB7"/>
    <w:rsid w:val="4DFF0171"/>
    <w:rsid w:val="4E075D8A"/>
    <w:rsid w:val="4E1635D3"/>
    <w:rsid w:val="4E182C90"/>
    <w:rsid w:val="4E216CB9"/>
    <w:rsid w:val="4E223868"/>
    <w:rsid w:val="4E245E81"/>
    <w:rsid w:val="4E323226"/>
    <w:rsid w:val="4E3E6E4C"/>
    <w:rsid w:val="4E4A2915"/>
    <w:rsid w:val="4E756ED9"/>
    <w:rsid w:val="4E814C9F"/>
    <w:rsid w:val="4E916F1E"/>
    <w:rsid w:val="4EC00FAD"/>
    <w:rsid w:val="4EC54E1A"/>
    <w:rsid w:val="4ED55E9F"/>
    <w:rsid w:val="4EDA1030"/>
    <w:rsid w:val="4EDD5402"/>
    <w:rsid w:val="4EEE648A"/>
    <w:rsid w:val="4EFD2805"/>
    <w:rsid w:val="4F155DA1"/>
    <w:rsid w:val="4F2477BC"/>
    <w:rsid w:val="4F2527B2"/>
    <w:rsid w:val="4F343D4D"/>
    <w:rsid w:val="4F3C796C"/>
    <w:rsid w:val="4F3F5D58"/>
    <w:rsid w:val="4F5103EF"/>
    <w:rsid w:val="4F5B662C"/>
    <w:rsid w:val="4F852102"/>
    <w:rsid w:val="4F9843DC"/>
    <w:rsid w:val="4F9F176C"/>
    <w:rsid w:val="4FB05716"/>
    <w:rsid w:val="4FB905DC"/>
    <w:rsid w:val="4FC35BA0"/>
    <w:rsid w:val="4FC60B02"/>
    <w:rsid w:val="4FC62A8C"/>
    <w:rsid w:val="4FCD3A37"/>
    <w:rsid w:val="4FCE4AC1"/>
    <w:rsid w:val="4FDF0F5F"/>
    <w:rsid w:val="4FE20F0D"/>
    <w:rsid w:val="4FE51552"/>
    <w:rsid w:val="4FED431A"/>
    <w:rsid w:val="4FF57978"/>
    <w:rsid w:val="4FFA7C32"/>
    <w:rsid w:val="501041E8"/>
    <w:rsid w:val="501C7586"/>
    <w:rsid w:val="502F2D6A"/>
    <w:rsid w:val="50401BD8"/>
    <w:rsid w:val="50504C4B"/>
    <w:rsid w:val="505112DE"/>
    <w:rsid w:val="505D193A"/>
    <w:rsid w:val="506767C8"/>
    <w:rsid w:val="507951AB"/>
    <w:rsid w:val="507A609F"/>
    <w:rsid w:val="507B582D"/>
    <w:rsid w:val="508E5E86"/>
    <w:rsid w:val="50926885"/>
    <w:rsid w:val="50982119"/>
    <w:rsid w:val="509C6E7C"/>
    <w:rsid w:val="50A15D38"/>
    <w:rsid w:val="50B4609D"/>
    <w:rsid w:val="50B92FA0"/>
    <w:rsid w:val="50BA3352"/>
    <w:rsid w:val="50D26346"/>
    <w:rsid w:val="50D33672"/>
    <w:rsid w:val="50D71560"/>
    <w:rsid w:val="50E73ACC"/>
    <w:rsid w:val="50EB4A16"/>
    <w:rsid w:val="50F0582A"/>
    <w:rsid w:val="51237840"/>
    <w:rsid w:val="51356719"/>
    <w:rsid w:val="513B2E3F"/>
    <w:rsid w:val="513B39C3"/>
    <w:rsid w:val="514336F4"/>
    <w:rsid w:val="51527314"/>
    <w:rsid w:val="51573204"/>
    <w:rsid w:val="5162104E"/>
    <w:rsid w:val="516517AA"/>
    <w:rsid w:val="516F40A3"/>
    <w:rsid w:val="51715353"/>
    <w:rsid w:val="51840591"/>
    <w:rsid w:val="518965D2"/>
    <w:rsid w:val="51AE3DCE"/>
    <w:rsid w:val="51B50C7C"/>
    <w:rsid w:val="51B65CE0"/>
    <w:rsid w:val="51BD0A28"/>
    <w:rsid w:val="51BD2EC4"/>
    <w:rsid w:val="51C12673"/>
    <w:rsid w:val="51C563BD"/>
    <w:rsid w:val="51D75170"/>
    <w:rsid w:val="51E157E3"/>
    <w:rsid w:val="51FD7E1B"/>
    <w:rsid w:val="51FF4E52"/>
    <w:rsid w:val="52050D0B"/>
    <w:rsid w:val="52050E71"/>
    <w:rsid w:val="520B112E"/>
    <w:rsid w:val="52163C56"/>
    <w:rsid w:val="521D5857"/>
    <w:rsid w:val="52347F9D"/>
    <w:rsid w:val="523A6F62"/>
    <w:rsid w:val="524D5726"/>
    <w:rsid w:val="52A05CBC"/>
    <w:rsid w:val="52A94EB5"/>
    <w:rsid w:val="52D416C2"/>
    <w:rsid w:val="52D67C67"/>
    <w:rsid w:val="52E84E13"/>
    <w:rsid w:val="52EA0A49"/>
    <w:rsid w:val="52EF4254"/>
    <w:rsid w:val="52F201A7"/>
    <w:rsid w:val="52F52D66"/>
    <w:rsid w:val="53055AB2"/>
    <w:rsid w:val="530F10DD"/>
    <w:rsid w:val="53117154"/>
    <w:rsid w:val="532965BF"/>
    <w:rsid w:val="532B7DA1"/>
    <w:rsid w:val="532F31A9"/>
    <w:rsid w:val="53371DDC"/>
    <w:rsid w:val="533A4B08"/>
    <w:rsid w:val="533F163E"/>
    <w:rsid w:val="534B7B22"/>
    <w:rsid w:val="535A2BFE"/>
    <w:rsid w:val="5369491A"/>
    <w:rsid w:val="53A039CC"/>
    <w:rsid w:val="53A1505A"/>
    <w:rsid w:val="53AC1E2D"/>
    <w:rsid w:val="53AD4078"/>
    <w:rsid w:val="53BD706B"/>
    <w:rsid w:val="53BE3069"/>
    <w:rsid w:val="53C42979"/>
    <w:rsid w:val="53CC09F8"/>
    <w:rsid w:val="53D27F2B"/>
    <w:rsid w:val="53D77AC9"/>
    <w:rsid w:val="53DC3F16"/>
    <w:rsid w:val="54035EB3"/>
    <w:rsid w:val="54046D48"/>
    <w:rsid w:val="54063E08"/>
    <w:rsid w:val="54142F84"/>
    <w:rsid w:val="542D73A8"/>
    <w:rsid w:val="543437E8"/>
    <w:rsid w:val="544646BF"/>
    <w:rsid w:val="54544D26"/>
    <w:rsid w:val="545C4D78"/>
    <w:rsid w:val="545D7833"/>
    <w:rsid w:val="546128F7"/>
    <w:rsid w:val="5480138F"/>
    <w:rsid w:val="54846115"/>
    <w:rsid w:val="54870F73"/>
    <w:rsid w:val="54925AF1"/>
    <w:rsid w:val="54A25AB5"/>
    <w:rsid w:val="54A76044"/>
    <w:rsid w:val="54BB1450"/>
    <w:rsid w:val="54C74921"/>
    <w:rsid w:val="54CB51C1"/>
    <w:rsid w:val="54CC57B4"/>
    <w:rsid w:val="54DC28B2"/>
    <w:rsid w:val="54F0519B"/>
    <w:rsid w:val="54F73313"/>
    <w:rsid w:val="54F80955"/>
    <w:rsid w:val="54FE3882"/>
    <w:rsid w:val="550A6D4E"/>
    <w:rsid w:val="552C16BC"/>
    <w:rsid w:val="5545108A"/>
    <w:rsid w:val="555170A7"/>
    <w:rsid w:val="55570050"/>
    <w:rsid w:val="555E3E4F"/>
    <w:rsid w:val="5563538C"/>
    <w:rsid w:val="556B4973"/>
    <w:rsid w:val="556F2BDE"/>
    <w:rsid w:val="557229DD"/>
    <w:rsid w:val="557914C7"/>
    <w:rsid w:val="557B26D6"/>
    <w:rsid w:val="557F5A7D"/>
    <w:rsid w:val="557F7201"/>
    <w:rsid w:val="5587536D"/>
    <w:rsid w:val="5593401E"/>
    <w:rsid w:val="559B174B"/>
    <w:rsid w:val="55AC40B5"/>
    <w:rsid w:val="55B4089D"/>
    <w:rsid w:val="55CE0CF4"/>
    <w:rsid w:val="55D519E0"/>
    <w:rsid w:val="55DD366F"/>
    <w:rsid w:val="55F12B64"/>
    <w:rsid w:val="55F61D5C"/>
    <w:rsid w:val="55F80515"/>
    <w:rsid w:val="55F94446"/>
    <w:rsid w:val="55FC3119"/>
    <w:rsid w:val="560C12DF"/>
    <w:rsid w:val="560D47C4"/>
    <w:rsid w:val="560F411F"/>
    <w:rsid w:val="56271890"/>
    <w:rsid w:val="562A15EE"/>
    <w:rsid w:val="5632056C"/>
    <w:rsid w:val="56335BD0"/>
    <w:rsid w:val="56454E54"/>
    <w:rsid w:val="56564B9E"/>
    <w:rsid w:val="56630BAD"/>
    <w:rsid w:val="567804D7"/>
    <w:rsid w:val="567B29ED"/>
    <w:rsid w:val="567F33C8"/>
    <w:rsid w:val="5699524E"/>
    <w:rsid w:val="56A02189"/>
    <w:rsid w:val="56A60ACB"/>
    <w:rsid w:val="56B22A9C"/>
    <w:rsid w:val="56D309FC"/>
    <w:rsid w:val="570861EB"/>
    <w:rsid w:val="57175A46"/>
    <w:rsid w:val="572E4C25"/>
    <w:rsid w:val="57341025"/>
    <w:rsid w:val="575046D6"/>
    <w:rsid w:val="57590D49"/>
    <w:rsid w:val="575F5559"/>
    <w:rsid w:val="57862A11"/>
    <w:rsid w:val="578B4039"/>
    <w:rsid w:val="57A46D5E"/>
    <w:rsid w:val="57AB379B"/>
    <w:rsid w:val="57B72A76"/>
    <w:rsid w:val="57BA2026"/>
    <w:rsid w:val="57BE53FD"/>
    <w:rsid w:val="57C3426C"/>
    <w:rsid w:val="57CE1F93"/>
    <w:rsid w:val="57F43FFB"/>
    <w:rsid w:val="580E4D47"/>
    <w:rsid w:val="5813350E"/>
    <w:rsid w:val="582665FC"/>
    <w:rsid w:val="58350BFA"/>
    <w:rsid w:val="584F641E"/>
    <w:rsid w:val="58583482"/>
    <w:rsid w:val="587551E6"/>
    <w:rsid w:val="58816255"/>
    <w:rsid w:val="58841510"/>
    <w:rsid w:val="588743D1"/>
    <w:rsid w:val="5887701A"/>
    <w:rsid w:val="58986159"/>
    <w:rsid w:val="58CF4D78"/>
    <w:rsid w:val="58D414A1"/>
    <w:rsid w:val="58DF2A60"/>
    <w:rsid w:val="58E0659B"/>
    <w:rsid w:val="58E73667"/>
    <w:rsid w:val="58EB2143"/>
    <w:rsid w:val="58EC742A"/>
    <w:rsid w:val="58F176C4"/>
    <w:rsid w:val="59004039"/>
    <w:rsid w:val="59056087"/>
    <w:rsid w:val="590A6A01"/>
    <w:rsid w:val="591F3D3E"/>
    <w:rsid w:val="592819A2"/>
    <w:rsid w:val="594115DE"/>
    <w:rsid w:val="59462D2E"/>
    <w:rsid w:val="595916EE"/>
    <w:rsid w:val="595C3573"/>
    <w:rsid w:val="596A421F"/>
    <w:rsid w:val="596A4BDE"/>
    <w:rsid w:val="596D3404"/>
    <w:rsid w:val="597459BF"/>
    <w:rsid w:val="5976631B"/>
    <w:rsid w:val="59773DC1"/>
    <w:rsid w:val="598002BB"/>
    <w:rsid w:val="599338C4"/>
    <w:rsid w:val="59B8562B"/>
    <w:rsid w:val="59BE0538"/>
    <w:rsid w:val="59C0439F"/>
    <w:rsid w:val="59D16AA2"/>
    <w:rsid w:val="59E27DFD"/>
    <w:rsid w:val="59ED2407"/>
    <w:rsid w:val="59EE3649"/>
    <w:rsid w:val="59F436CA"/>
    <w:rsid w:val="5A000FE2"/>
    <w:rsid w:val="5A021B41"/>
    <w:rsid w:val="5A100F81"/>
    <w:rsid w:val="5A104EED"/>
    <w:rsid w:val="5A38206C"/>
    <w:rsid w:val="5A4820BF"/>
    <w:rsid w:val="5A4E03B9"/>
    <w:rsid w:val="5A55700B"/>
    <w:rsid w:val="5A663955"/>
    <w:rsid w:val="5A696FA1"/>
    <w:rsid w:val="5A7D49E6"/>
    <w:rsid w:val="5A820063"/>
    <w:rsid w:val="5A8D47A6"/>
    <w:rsid w:val="5A9A1CEB"/>
    <w:rsid w:val="5AA463BA"/>
    <w:rsid w:val="5AB32912"/>
    <w:rsid w:val="5ABA39DD"/>
    <w:rsid w:val="5ABC0D1B"/>
    <w:rsid w:val="5ABE2233"/>
    <w:rsid w:val="5AC95C92"/>
    <w:rsid w:val="5AD9029C"/>
    <w:rsid w:val="5AD909D9"/>
    <w:rsid w:val="5ADA6297"/>
    <w:rsid w:val="5AEC7E73"/>
    <w:rsid w:val="5AED382F"/>
    <w:rsid w:val="5AF34ABD"/>
    <w:rsid w:val="5AFB480B"/>
    <w:rsid w:val="5B0177BC"/>
    <w:rsid w:val="5B191EB5"/>
    <w:rsid w:val="5B257677"/>
    <w:rsid w:val="5B2C77FB"/>
    <w:rsid w:val="5B340130"/>
    <w:rsid w:val="5B371F31"/>
    <w:rsid w:val="5B445446"/>
    <w:rsid w:val="5B486D5C"/>
    <w:rsid w:val="5B4A42EA"/>
    <w:rsid w:val="5B501821"/>
    <w:rsid w:val="5B59468A"/>
    <w:rsid w:val="5B605FCA"/>
    <w:rsid w:val="5B6245B1"/>
    <w:rsid w:val="5B7B2CDB"/>
    <w:rsid w:val="5B9462A0"/>
    <w:rsid w:val="5BBE6B74"/>
    <w:rsid w:val="5BCA7CAD"/>
    <w:rsid w:val="5BCC76B3"/>
    <w:rsid w:val="5BDF5D95"/>
    <w:rsid w:val="5BF16D0E"/>
    <w:rsid w:val="5BFE7528"/>
    <w:rsid w:val="5C0433DC"/>
    <w:rsid w:val="5C092C50"/>
    <w:rsid w:val="5C141533"/>
    <w:rsid w:val="5C30733F"/>
    <w:rsid w:val="5C341831"/>
    <w:rsid w:val="5C451BA2"/>
    <w:rsid w:val="5C4F3653"/>
    <w:rsid w:val="5C5372C8"/>
    <w:rsid w:val="5C7C43E5"/>
    <w:rsid w:val="5C8563D5"/>
    <w:rsid w:val="5C8D6F41"/>
    <w:rsid w:val="5C8F20DB"/>
    <w:rsid w:val="5C94673D"/>
    <w:rsid w:val="5C971446"/>
    <w:rsid w:val="5CB648A7"/>
    <w:rsid w:val="5CB84472"/>
    <w:rsid w:val="5CC805D8"/>
    <w:rsid w:val="5CD2031B"/>
    <w:rsid w:val="5CD673D2"/>
    <w:rsid w:val="5CE750F4"/>
    <w:rsid w:val="5CED2072"/>
    <w:rsid w:val="5CF86274"/>
    <w:rsid w:val="5D0643A6"/>
    <w:rsid w:val="5D0C1FE9"/>
    <w:rsid w:val="5D107BA8"/>
    <w:rsid w:val="5D253BAB"/>
    <w:rsid w:val="5D2567D0"/>
    <w:rsid w:val="5D2B368F"/>
    <w:rsid w:val="5D2B4613"/>
    <w:rsid w:val="5D2C0482"/>
    <w:rsid w:val="5D360BC7"/>
    <w:rsid w:val="5D4F4E7D"/>
    <w:rsid w:val="5D523A09"/>
    <w:rsid w:val="5D594D69"/>
    <w:rsid w:val="5D6A1FAD"/>
    <w:rsid w:val="5D6B3590"/>
    <w:rsid w:val="5D7A10CD"/>
    <w:rsid w:val="5D7B218C"/>
    <w:rsid w:val="5D873945"/>
    <w:rsid w:val="5D93396B"/>
    <w:rsid w:val="5D9434E6"/>
    <w:rsid w:val="5D964CFA"/>
    <w:rsid w:val="5D9936A9"/>
    <w:rsid w:val="5DA01D39"/>
    <w:rsid w:val="5DC74726"/>
    <w:rsid w:val="5DC93914"/>
    <w:rsid w:val="5DCC3DBB"/>
    <w:rsid w:val="5DD70BD5"/>
    <w:rsid w:val="5DDF0A86"/>
    <w:rsid w:val="5DDF4B8C"/>
    <w:rsid w:val="5DFB3886"/>
    <w:rsid w:val="5E005E6E"/>
    <w:rsid w:val="5E064265"/>
    <w:rsid w:val="5E176D14"/>
    <w:rsid w:val="5E1F1A6E"/>
    <w:rsid w:val="5E2467F1"/>
    <w:rsid w:val="5E330251"/>
    <w:rsid w:val="5E337FF2"/>
    <w:rsid w:val="5E4E7BBB"/>
    <w:rsid w:val="5E793B99"/>
    <w:rsid w:val="5E794120"/>
    <w:rsid w:val="5E7D4EFB"/>
    <w:rsid w:val="5E873E9A"/>
    <w:rsid w:val="5E880658"/>
    <w:rsid w:val="5E894ED5"/>
    <w:rsid w:val="5E95615C"/>
    <w:rsid w:val="5E9A05BB"/>
    <w:rsid w:val="5EA556D6"/>
    <w:rsid w:val="5EAC3900"/>
    <w:rsid w:val="5EC62AAE"/>
    <w:rsid w:val="5EC63503"/>
    <w:rsid w:val="5ED76067"/>
    <w:rsid w:val="5ED86F84"/>
    <w:rsid w:val="5EE25574"/>
    <w:rsid w:val="5EF25187"/>
    <w:rsid w:val="5F044FC6"/>
    <w:rsid w:val="5F0A3F9F"/>
    <w:rsid w:val="5F0F4553"/>
    <w:rsid w:val="5F1861FE"/>
    <w:rsid w:val="5F1A2B43"/>
    <w:rsid w:val="5F237983"/>
    <w:rsid w:val="5F26694C"/>
    <w:rsid w:val="5F2E3428"/>
    <w:rsid w:val="5F31530A"/>
    <w:rsid w:val="5F3D4215"/>
    <w:rsid w:val="5F463F63"/>
    <w:rsid w:val="5F5C38A4"/>
    <w:rsid w:val="5F620A0B"/>
    <w:rsid w:val="5F677827"/>
    <w:rsid w:val="5F6F6A6C"/>
    <w:rsid w:val="5F73394E"/>
    <w:rsid w:val="5F756532"/>
    <w:rsid w:val="5F82060E"/>
    <w:rsid w:val="5F821981"/>
    <w:rsid w:val="5F9A6ADF"/>
    <w:rsid w:val="5F9E63E6"/>
    <w:rsid w:val="5FA02E77"/>
    <w:rsid w:val="5FAD42BF"/>
    <w:rsid w:val="5FB837BB"/>
    <w:rsid w:val="5FBF0D29"/>
    <w:rsid w:val="5FC81AED"/>
    <w:rsid w:val="5FCE56CD"/>
    <w:rsid w:val="5FD446BD"/>
    <w:rsid w:val="5FD45810"/>
    <w:rsid w:val="5FE26C98"/>
    <w:rsid w:val="5FE326CB"/>
    <w:rsid w:val="5FEC437A"/>
    <w:rsid w:val="5FED5F7E"/>
    <w:rsid w:val="602844E5"/>
    <w:rsid w:val="602E3046"/>
    <w:rsid w:val="605B0374"/>
    <w:rsid w:val="6072138B"/>
    <w:rsid w:val="60782F1C"/>
    <w:rsid w:val="6089214B"/>
    <w:rsid w:val="608A143F"/>
    <w:rsid w:val="608D6DB8"/>
    <w:rsid w:val="609D2CDB"/>
    <w:rsid w:val="609E48DB"/>
    <w:rsid w:val="60BE7BBF"/>
    <w:rsid w:val="60C26AA1"/>
    <w:rsid w:val="60C27CA3"/>
    <w:rsid w:val="60C96FEC"/>
    <w:rsid w:val="60CC405A"/>
    <w:rsid w:val="60CE355B"/>
    <w:rsid w:val="60E63070"/>
    <w:rsid w:val="60FE4257"/>
    <w:rsid w:val="6112663F"/>
    <w:rsid w:val="6113646C"/>
    <w:rsid w:val="612968CE"/>
    <w:rsid w:val="61395B3A"/>
    <w:rsid w:val="61414B38"/>
    <w:rsid w:val="614349DD"/>
    <w:rsid w:val="61541F72"/>
    <w:rsid w:val="615E3B3A"/>
    <w:rsid w:val="61642270"/>
    <w:rsid w:val="61712F77"/>
    <w:rsid w:val="61835B97"/>
    <w:rsid w:val="61A04540"/>
    <w:rsid w:val="61B372EF"/>
    <w:rsid w:val="61CA5683"/>
    <w:rsid w:val="61CE4FC4"/>
    <w:rsid w:val="61D82A47"/>
    <w:rsid w:val="61E215D8"/>
    <w:rsid w:val="61E965EB"/>
    <w:rsid w:val="62050D0F"/>
    <w:rsid w:val="621B3775"/>
    <w:rsid w:val="622C1B51"/>
    <w:rsid w:val="62364782"/>
    <w:rsid w:val="624445A0"/>
    <w:rsid w:val="6253770E"/>
    <w:rsid w:val="62736A78"/>
    <w:rsid w:val="6280754E"/>
    <w:rsid w:val="62987E92"/>
    <w:rsid w:val="629E17B2"/>
    <w:rsid w:val="62A15559"/>
    <w:rsid w:val="62A56243"/>
    <w:rsid w:val="62B463E4"/>
    <w:rsid w:val="62B61EF0"/>
    <w:rsid w:val="62B83A18"/>
    <w:rsid w:val="62C8170D"/>
    <w:rsid w:val="62D23905"/>
    <w:rsid w:val="62D6719E"/>
    <w:rsid w:val="62E1431E"/>
    <w:rsid w:val="62FB2FDC"/>
    <w:rsid w:val="62FB30A8"/>
    <w:rsid w:val="6311298A"/>
    <w:rsid w:val="632C36E9"/>
    <w:rsid w:val="633776E3"/>
    <w:rsid w:val="633B49B1"/>
    <w:rsid w:val="63435320"/>
    <w:rsid w:val="63446D82"/>
    <w:rsid w:val="6350559A"/>
    <w:rsid w:val="63544F69"/>
    <w:rsid w:val="635B346C"/>
    <w:rsid w:val="636522D0"/>
    <w:rsid w:val="63730516"/>
    <w:rsid w:val="63847915"/>
    <w:rsid w:val="63933DB3"/>
    <w:rsid w:val="6394356A"/>
    <w:rsid w:val="639B54A0"/>
    <w:rsid w:val="639B6E09"/>
    <w:rsid w:val="63A043D9"/>
    <w:rsid w:val="63A25534"/>
    <w:rsid w:val="63A71D57"/>
    <w:rsid w:val="63C00F90"/>
    <w:rsid w:val="63C028E3"/>
    <w:rsid w:val="63C61B2C"/>
    <w:rsid w:val="63CD527C"/>
    <w:rsid w:val="63D13A21"/>
    <w:rsid w:val="63D351D4"/>
    <w:rsid w:val="63D40BE9"/>
    <w:rsid w:val="63D71756"/>
    <w:rsid w:val="63D94E8E"/>
    <w:rsid w:val="63F81362"/>
    <w:rsid w:val="63FC040C"/>
    <w:rsid w:val="64064C15"/>
    <w:rsid w:val="64102431"/>
    <w:rsid w:val="6415590B"/>
    <w:rsid w:val="64177A8A"/>
    <w:rsid w:val="641A5304"/>
    <w:rsid w:val="641D5F86"/>
    <w:rsid w:val="641F4827"/>
    <w:rsid w:val="6428338B"/>
    <w:rsid w:val="643D56FD"/>
    <w:rsid w:val="64414AEB"/>
    <w:rsid w:val="644274C5"/>
    <w:rsid w:val="644D0A30"/>
    <w:rsid w:val="644D2584"/>
    <w:rsid w:val="644F6E41"/>
    <w:rsid w:val="645D0B0E"/>
    <w:rsid w:val="646D34E5"/>
    <w:rsid w:val="6477675E"/>
    <w:rsid w:val="64A5243A"/>
    <w:rsid w:val="64AA06D0"/>
    <w:rsid w:val="64E32052"/>
    <w:rsid w:val="64EC06E2"/>
    <w:rsid w:val="64F531DE"/>
    <w:rsid w:val="64FB1EFD"/>
    <w:rsid w:val="651D076B"/>
    <w:rsid w:val="652027AA"/>
    <w:rsid w:val="65373578"/>
    <w:rsid w:val="653A7EB8"/>
    <w:rsid w:val="654900FB"/>
    <w:rsid w:val="6554593B"/>
    <w:rsid w:val="655D3518"/>
    <w:rsid w:val="657617E0"/>
    <w:rsid w:val="657B2CDB"/>
    <w:rsid w:val="657F3479"/>
    <w:rsid w:val="658F0B80"/>
    <w:rsid w:val="659C77F7"/>
    <w:rsid w:val="659D04A9"/>
    <w:rsid w:val="65C9123C"/>
    <w:rsid w:val="65D40E7C"/>
    <w:rsid w:val="65D7002E"/>
    <w:rsid w:val="65E332B4"/>
    <w:rsid w:val="65FB6649"/>
    <w:rsid w:val="66124C43"/>
    <w:rsid w:val="662907FE"/>
    <w:rsid w:val="66326BB9"/>
    <w:rsid w:val="66346221"/>
    <w:rsid w:val="66475A6D"/>
    <w:rsid w:val="6656217E"/>
    <w:rsid w:val="665F0957"/>
    <w:rsid w:val="6661015E"/>
    <w:rsid w:val="668A475D"/>
    <w:rsid w:val="66911EBD"/>
    <w:rsid w:val="669D6D08"/>
    <w:rsid w:val="66A71793"/>
    <w:rsid w:val="66C53266"/>
    <w:rsid w:val="66E515AC"/>
    <w:rsid w:val="66FA0E20"/>
    <w:rsid w:val="67142C00"/>
    <w:rsid w:val="671A7062"/>
    <w:rsid w:val="671F124A"/>
    <w:rsid w:val="6729594C"/>
    <w:rsid w:val="674D5FE1"/>
    <w:rsid w:val="67585589"/>
    <w:rsid w:val="675A59A3"/>
    <w:rsid w:val="676C15F0"/>
    <w:rsid w:val="677A33C6"/>
    <w:rsid w:val="67870E10"/>
    <w:rsid w:val="67A43094"/>
    <w:rsid w:val="67CF5490"/>
    <w:rsid w:val="67D00B27"/>
    <w:rsid w:val="67D0475F"/>
    <w:rsid w:val="67FA4C55"/>
    <w:rsid w:val="681046AB"/>
    <w:rsid w:val="681F6961"/>
    <w:rsid w:val="6839025F"/>
    <w:rsid w:val="683C3C32"/>
    <w:rsid w:val="684969A7"/>
    <w:rsid w:val="684A00F8"/>
    <w:rsid w:val="68523042"/>
    <w:rsid w:val="68570D9A"/>
    <w:rsid w:val="68610A2F"/>
    <w:rsid w:val="68626DA9"/>
    <w:rsid w:val="686D206F"/>
    <w:rsid w:val="68805514"/>
    <w:rsid w:val="689E3F62"/>
    <w:rsid w:val="68A60286"/>
    <w:rsid w:val="68AB4EB9"/>
    <w:rsid w:val="68D40253"/>
    <w:rsid w:val="68DD5009"/>
    <w:rsid w:val="68E23E0B"/>
    <w:rsid w:val="68E40380"/>
    <w:rsid w:val="68EC7861"/>
    <w:rsid w:val="68F1591B"/>
    <w:rsid w:val="68F95B84"/>
    <w:rsid w:val="691D7677"/>
    <w:rsid w:val="69272501"/>
    <w:rsid w:val="69316E2F"/>
    <w:rsid w:val="69457C44"/>
    <w:rsid w:val="694A5C72"/>
    <w:rsid w:val="694E2071"/>
    <w:rsid w:val="697440F7"/>
    <w:rsid w:val="69766163"/>
    <w:rsid w:val="69781A4C"/>
    <w:rsid w:val="697A3B33"/>
    <w:rsid w:val="699102C2"/>
    <w:rsid w:val="699B1A2E"/>
    <w:rsid w:val="69AC6EAA"/>
    <w:rsid w:val="69B90C88"/>
    <w:rsid w:val="69C14EDB"/>
    <w:rsid w:val="69D44760"/>
    <w:rsid w:val="69E74C2E"/>
    <w:rsid w:val="69EF4F2F"/>
    <w:rsid w:val="69F63015"/>
    <w:rsid w:val="69FA2DBF"/>
    <w:rsid w:val="6A0E5B6C"/>
    <w:rsid w:val="6A1E7759"/>
    <w:rsid w:val="6A227DA9"/>
    <w:rsid w:val="6A2536C5"/>
    <w:rsid w:val="6A260A0B"/>
    <w:rsid w:val="6A395705"/>
    <w:rsid w:val="6A3F13FA"/>
    <w:rsid w:val="6A4D04B8"/>
    <w:rsid w:val="6A520EC7"/>
    <w:rsid w:val="6A627569"/>
    <w:rsid w:val="6A681263"/>
    <w:rsid w:val="6A6D2E44"/>
    <w:rsid w:val="6A6D488B"/>
    <w:rsid w:val="6A7D3D3D"/>
    <w:rsid w:val="6A80662D"/>
    <w:rsid w:val="6A8674D8"/>
    <w:rsid w:val="6A9507F5"/>
    <w:rsid w:val="6AA00BAF"/>
    <w:rsid w:val="6AB10371"/>
    <w:rsid w:val="6AB2486D"/>
    <w:rsid w:val="6AB8111B"/>
    <w:rsid w:val="6AC70264"/>
    <w:rsid w:val="6AD223E9"/>
    <w:rsid w:val="6ADE08A2"/>
    <w:rsid w:val="6AF82F89"/>
    <w:rsid w:val="6AF87E20"/>
    <w:rsid w:val="6AFB5BA3"/>
    <w:rsid w:val="6B04213D"/>
    <w:rsid w:val="6B144D07"/>
    <w:rsid w:val="6B1C6AAB"/>
    <w:rsid w:val="6B237627"/>
    <w:rsid w:val="6B322639"/>
    <w:rsid w:val="6B360F09"/>
    <w:rsid w:val="6B361C94"/>
    <w:rsid w:val="6B557044"/>
    <w:rsid w:val="6B635930"/>
    <w:rsid w:val="6B66423E"/>
    <w:rsid w:val="6B724E17"/>
    <w:rsid w:val="6B7A2D7F"/>
    <w:rsid w:val="6B8859C3"/>
    <w:rsid w:val="6B912B00"/>
    <w:rsid w:val="6B97412B"/>
    <w:rsid w:val="6BB17EAE"/>
    <w:rsid w:val="6BB21A03"/>
    <w:rsid w:val="6BB263E0"/>
    <w:rsid w:val="6BD46244"/>
    <w:rsid w:val="6BD73FFC"/>
    <w:rsid w:val="6BDD1DB2"/>
    <w:rsid w:val="6BDE22EF"/>
    <w:rsid w:val="6BE7751A"/>
    <w:rsid w:val="6BEF66BF"/>
    <w:rsid w:val="6C004316"/>
    <w:rsid w:val="6C1830B6"/>
    <w:rsid w:val="6C1A3EF1"/>
    <w:rsid w:val="6C1C6947"/>
    <w:rsid w:val="6C1E134E"/>
    <w:rsid w:val="6C2F2808"/>
    <w:rsid w:val="6C4B683D"/>
    <w:rsid w:val="6C5339E3"/>
    <w:rsid w:val="6C58146C"/>
    <w:rsid w:val="6C636C38"/>
    <w:rsid w:val="6C8C7769"/>
    <w:rsid w:val="6CA63235"/>
    <w:rsid w:val="6CA70B39"/>
    <w:rsid w:val="6CA950BA"/>
    <w:rsid w:val="6CB05D2E"/>
    <w:rsid w:val="6CB76135"/>
    <w:rsid w:val="6CBB242C"/>
    <w:rsid w:val="6CC22702"/>
    <w:rsid w:val="6CC66473"/>
    <w:rsid w:val="6CD35F3D"/>
    <w:rsid w:val="6CDC5BBC"/>
    <w:rsid w:val="6CF04B30"/>
    <w:rsid w:val="6CF7043C"/>
    <w:rsid w:val="6CF74D3F"/>
    <w:rsid w:val="6D1438A1"/>
    <w:rsid w:val="6D1B0EA5"/>
    <w:rsid w:val="6D267E2D"/>
    <w:rsid w:val="6D291CCC"/>
    <w:rsid w:val="6D32215A"/>
    <w:rsid w:val="6D473169"/>
    <w:rsid w:val="6D4D16CE"/>
    <w:rsid w:val="6D846427"/>
    <w:rsid w:val="6D9C3A77"/>
    <w:rsid w:val="6DB34098"/>
    <w:rsid w:val="6DB545B6"/>
    <w:rsid w:val="6DBD765C"/>
    <w:rsid w:val="6DBE71AC"/>
    <w:rsid w:val="6DC920D3"/>
    <w:rsid w:val="6DCC1B1E"/>
    <w:rsid w:val="6DCC1CCA"/>
    <w:rsid w:val="6DE02FB4"/>
    <w:rsid w:val="6DE64007"/>
    <w:rsid w:val="6DF206A9"/>
    <w:rsid w:val="6DF57FC1"/>
    <w:rsid w:val="6E094C75"/>
    <w:rsid w:val="6E1064F8"/>
    <w:rsid w:val="6E1B177C"/>
    <w:rsid w:val="6E344691"/>
    <w:rsid w:val="6E3D6D0E"/>
    <w:rsid w:val="6E514CED"/>
    <w:rsid w:val="6E535B46"/>
    <w:rsid w:val="6E5C21F0"/>
    <w:rsid w:val="6E5F0390"/>
    <w:rsid w:val="6E7904CF"/>
    <w:rsid w:val="6E81721D"/>
    <w:rsid w:val="6E845D63"/>
    <w:rsid w:val="6EA22E53"/>
    <w:rsid w:val="6EB563D5"/>
    <w:rsid w:val="6EC1415E"/>
    <w:rsid w:val="6ECF6555"/>
    <w:rsid w:val="6ED92677"/>
    <w:rsid w:val="6EE36DE1"/>
    <w:rsid w:val="6EEF5AF1"/>
    <w:rsid w:val="6F0A220C"/>
    <w:rsid w:val="6F1C7C5A"/>
    <w:rsid w:val="6F1F75F7"/>
    <w:rsid w:val="6F225983"/>
    <w:rsid w:val="6F2341CE"/>
    <w:rsid w:val="6F236DB5"/>
    <w:rsid w:val="6F2C77A0"/>
    <w:rsid w:val="6F2E4977"/>
    <w:rsid w:val="6F2F224C"/>
    <w:rsid w:val="6F331B44"/>
    <w:rsid w:val="6F400CA5"/>
    <w:rsid w:val="6F4478BF"/>
    <w:rsid w:val="6F5314D9"/>
    <w:rsid w:val="6F576412"/>
    <w:rsid w:val="6F5952EA"/>
    <w:rsid w:val="6F6B466E"/>
    <w:rsid w:val="6F70475D"/>
    <w:rsid w:val="6F793C5A"/>
    <w:rsid w:val="6F814A0A"/>
    <w:rsid w:val="6F847DDE"/>
    <w:rsid w:val="6F857B8A"/>
    <w:rsid w:val="6F861C1A"/>
    <w:rsid w:val="6F8A0689"/>
    <w:rsid w:val="6F9533B7"/>
    <w:rsid w:val="6F9F1C69"/>
    <w:rsid w:val="6FA35E9E"/>
    <w:rsid w:val="6FA55F1C"/>
    <w:rsid w:val="6FB048AE"/>
    <w:rsid w:val="6FB44031"/>
    <w:rsid w:val="6FB60542"/>
    <w:rsid w:val="6FC3263A"/>
    <w:rsid w:val="6FC37C07"/>
    <w:rsid w:val="6FC94263"/>
    <w:rsid w:val="6FCA3CBC"/>
    <w:rsid w:val="6FD31437"/>
    <w:rsid w:val="6FD74555"/>
    <w:rsid w:val="6FDE54D3"/>
    <w:rsid w:val="6FF31132"/>
    <w:rsid w:val="6FF3404A"/>
    <w:rsid w:val="6FFC5590"/>
    <w:rsid w:val="70000DAC"/>
    <w:rsid w:val="70140BB6"/>
    <w:rsid w:val="703B49A2"/>
    <w:rsid w:val="704B43EF"/>
    <w:rsid w:val="704C48FB"/>
    <w:rsid w:val="705B3B06"/>
    <w:rsid w:val="706D1DD0"/>
    <w:rsid w:val="70822AA3"/>
    <w:rsid w:val="70852D5A"/>
    <w:rsid w:val="70856B87"/>
    <w:rsid w:val="708638F4"/>
    <w:rsid w:val="708B22CB"/>
    <w:rsid w:val="708D5DB0"/>
    <w:rsid w:val="709973FB"/>
    <w:rsid w:val="709B5694"/>
    <w:rsid w:val="70A76087"/>
    <w:rsid w:val="70B26E0A"/>
    <w:rsid w:val="70C64104"/>
    <w:rsid w:val="70D527EE"/>
    <w:rsid w:val="70E37D7F"/>
    <w:rsid w:val="70F03966"/>
    <w:rsid w:val="70FC793F"/>
    <w:rsid w:val="710654E8"/>
    <w:rsid w:val="711C66C3"/>
    <w:rsid w:val="712B7D04"/>
    <w:rsid w:val="713646C0"/>
    <w:rsid w:val="714D2EC4"/>
    <w:rsid w:val="715B5300"/>
    <w:rsid w:val="7165462D"/>
    <w:rsid w:val="71674653"/>
    <w:rsid w:val="71696914"/>
    <w:rsid w:val="71A35996"/>
    <w:rsid w:val="71A5237D"/>
    <w:rsid w:val="71A652EA"/>
    <w:rsid w:val="71A83766"/>
    <w:rsid w:val="71AA0173"/>
    <w:rsid w:val="71AF474D"/>
    <w:rsid w:val="71D27F8A"/>
    <w:rsid w:val="71DD61FC"/>
    <w:rsid w:val="71E35F0D"/>
    <w:rsid w:val="71E371E1"/>
    <w:rsid w:val="71E96AFD"/>
    <w:rsid w:val="71EC21EE"/>
    <w:rsid w:val="71F757ED"/>
    <w:rsid w:val="71FA1A10"/>
    <w:rsid w:val="71FC0FA3"/>
    <w:rsid w:val="71FF31FC"/>
    <w:rsid w:val="72032B3F"/>
    <w:rsid w:val="721814EF"/>
    <w:rsid w:val="721C32F3"/>
    <w:rsid w:val="72234A28"/>
    <w:rsid w:val="72256589"/>
    <w:rsid w:val="7240196B"/>
    <w:rsid w:val="7243212B"/>
    <w:rsid w:val="72455F37"/>
    <w:rsid w:val="72553024"/>
    <w:rsid w:val="72587170"/>
    <w:rsid w:val="725B2B9B"/>
    <w:rsid w:val="7261073B"/>
    <w:rsid w:val="726612C3"/>
    <w:rsid w:val="726821D6"/>
    <w:rsid w:val="726A2DE2"/>
    <w:rsid w:val="72702DAA"/>
    <w:rsid w:val="72792E9C"/>
    <w:rsid w:val="727A3394"/>
    <w:rsid w:val="72911044"/>
    <w:rsid w:val="729B2E6D"/>
    <w:rsid w:val="729C7231"/>
    <w:rsid w:val="72AA0CF3"/>
    <w:rsid w:val="72AF2147"/>
    <w:rsid w:val="72AF4820"/>
    <w:rsid w:val="72BE2F90"/>
    <w:rsid w:val="72E145C3"/>
    <w:rsid w:val="72E51F34"/>
    <w:rsid w:val="72EA7F3F"/>
    <w:rsid w:val="72EB3D0F"/>
    <w:rsid w:val="73122968"/>
    <w:rsid w:val="731F5D5E"/>
    <w:rsid w:val="733D128A"/>
    <w:rsid w:val="73422D24"/>
    <w:rsid w:val="73577A85"/>
    <w:rsid w:val="735F20BB"/>
    <w:rsid w:val="736C0434"/>
    <w:rsid w:val="736C78E5"/>
    <w:rsid w:val="7379562B"/>
    <w:rsid w:val="73796F15"/>
    <w:rsid w:val="737B4EAA"/>
    <w:rsid w:val="738323FE"/>
    <w:rsid w:val="73AB584C"/>
    <w:rsid w:val="73C14251"/>
    <w:rsid w:val="73C51AD5"/>
    <w:rsid w:val="73C73C1C"/>
    <w:rsid w:val="73E7745D"/>
    <w:rsid w:val="73EF5D4D"/>
    <w:rsid w:val="73F14062"/>
    <w:rsid w:val="73F2419B"/>
    <w:rsid w:val="73F56D74"/>
    <w:rsid w:val="73F958D6"/>
    <w:rsid w:val="73FA4B7B"/>
    <w:rsid w:val="73FA5EA0"/>
    <w:rsid w:val="74105BCE"/>
    <w:rsid w:val="74167CBF"/>
    <w:rsid w:val="74197C58"/>
    <w:rsid w:val="741B3394"/>
    <w:rsid w:val="741C5146"/>
    <w:rsid w:val="741E793C"/>
    <w:rsid w:val="742F3DC1"/>
    <w:rsid w:val="7439786A"/>
    <w:rsid w:val="743B43A2"/>
    <w:rsid w:val="745B095F"/>
    <w:rsid w:val="745D5BD9"/>
    <w:rsid w:val="745E3194"/>
    <w:rsid w:val="745E3944"/>
    <w:rsid w:val="74602241"/>
    <w:rsid w:val="74672A62"/>
    <w:rsid w:val="746B1FEA"/>
    <w:rsid w:val="746F4AD9"/>
    <w:rsid w:val="74727C37"/>
    <w:rsid w:val="74750913"/>
    <w:rsid w:val="747B5C55"/>
    <w:rsid w:val="7480766C"/>
    <w:rsid w:val="74853E5D"/>
    <w:rsid w:val="748B5D42"/>
    <w:rsid w:val="74910F72"/>
    <w:rsid w:val="74922734"/>
    <w:rsid w:val="74940834"/>
    <w:rsid w:val="74946B9D"/>
    <w:rsid w:val="74A803A9"/>
    <w:rsid w:val="74B47A4C"/>
    <w:rsid w:val="74CD01D8"/>
    <w:rsid w:val="74DC3DB4"/>
    <w:rsid w:val="74DE4685"/>
    <w:rsid w:val="74E759EA"/>
    <w:rsid w:val="74F006CD"/>
    <w:rsid w:val="74F2444D"/>
    <w:rsid w:val="74F57957"/>
    <w:rsid w:val="75094B1F"/>
    <w:rsid w:val="75115B9A"/>
    <w:rsid w:val="75117598"/>
    <w:rsid w:val="751A5305"/>
    <w:rsid w:val="751D51D3"/>
    <w:rsid w:val="752869CF"/>
    <w:rsid w:val="75310D24"/>
    <w:rsid w:val="75363ACC"/>
    <w:rsid w:val="754E0E15"/>
    <w:rsid w:val="755966D8"/>
    <w:rsid w:val="75667E34"/>
    <w:rsid w:val="75726195"/>
    <w:rsid w:val="75871A80"/>
    <w:rsid w:val="759C0B82"/>
    <w:rsid w:val="75B10443"/>
    <w:rsid w:val="75DE0ABC"/>
    <w:rsid w:val="75F21E91"/>
    <w:rsid w:val="75F26656"/>
    <w:rsid w:val="76104833"/>
    <w:rsid w:val="76133609"/>
    <w:rsid w:val="761A4144"/>
    <w:rsid w:val="7635099D"/>
    <w:rsid w:val="763C359D"/>
    <w:rsid w:val="763D57C6"/>
    <w:rsid w:val="763F670D"/>
    <w:rsid w:val="7642798F"/>
    <w:rsid w:val="764E54A1"/>
    <w:rsid w:val="764F4F39"/>
    <w:rsid w:val="766A232A"/>
    <w:rsid w:val="766C09DF"/>
    <w:rsid w:val="766E0C20"/>
    <w:rsid w:val="76723FDD"/>
    <w:rsid w:val="76796BD5"/>
    <w:rsid w:val="76833E42"/>
    <w:rsid w:val="768569C4"/>
    <w:rsid w:val="768E6A3D"/>
    <w:rsid w:val="7694102B"/>
    <w:rsid w:val="76A71125"/>
    <w:rsid w:val="76D578B3"/>
    <w:rsid w:val="76EB4EA0"/>
    <w:rsid w:val="76F73376"/>
    <w:rsid w:val="76FF5472"/>
    <w:rsid w:val="77047FD3"/>
    <w:rsid w:val="770B27BF"/>
    <w:rsid w:val="770E4F82"/>
    <w:rsid w:val="77216EEE"/>
    <w:rsid w:val="7740193F"/>
    <w:rsid w:val="77523D4A"/>
    <w:rsid w:val="775F5128"/>
    <w:rsid w:val="77613BEC"/>
    <w:rsid w:val="77614E48"/>
    <w:rsid w:val="77634171"/>
    <w:rsid w:val="77710438"/>
    <w:rsid w:val="77727C7E"/>
    <w:rsid w:val="77762421"/>
    <w:rsid w:val="77782DB8"/>
    <w:rsid w:val="77824E57"/>
    <w:rsid w:val="77907953"/>
    <w:rsid w:val="77930423"/>
    <w:rsid w:val="77991266"/>
    <w:rsid w:val="77A17CEE"/>
    <w:rsid w:val="77A61B86"/>
    <w:rsid w:val="77A7213A"/>
    <w:rsid w:val="77A80CB1"/>
    <w:rsid w:val="77AA6A0E"/>
    <w:rsid w:val="77AF3E8F"/>
    <w:rsid w:val="77B56B1F"/>
    <w:rsid w:val="77C519A6"/>
    <w:rsid w:val="77E726D1"/>
    <w:rsid w:val="77FA194F"/>
    <w:rsid w:val="780F09F4"/>
    <w:rsid w:val="781C6563"/>
    <w:rsid w:val="781D6393"/>
    <w:rsid w:val="781E5417"/>
    <w:rsid w:val="781E71C5"/>
    <w:rsid w:val="78292F0B"/>
    <w:rsid w:val="782A6665"/>
    <w:rsid w:val="78372827"/>
    <w:rsid w:val="78381100"/>
    <w:rsid w:val="784C3D32"/>
    <w:rsid w:val="78585189"/>
    <w:rsid w:val="78764DA6"/>
    <w:rsid w:val="78A61D56"/>
    <w:rsid w:val="78A706FC"/>
    <w:rsid w:val="78A90480"/>
    <w:rsid w:val="78A9300D"/>
    <w:rsid w:val="78B302D2"/>
    <w:rsid w:val="78C9311B"/>
    <w:rsid w:val="78CB6353"/>
    <w:rsid w:val="78D8793B"/>
    <w:rsid w:val="78E068EC"/>
    <w:rsid w:val="78E421BD"/>
    <w:rsid w:val="78F75677"/>
    <w:rsid w:val="78FE6B23"/>
    <w:rsid w:val="79084BE7"/>
    <w:rsid w:val="790B6F17"/>
    <w:rsid w:val="790C79FF"/>
    <w:rsid w:val="79104CA2"/>
    <w:rsid w:val="79140DD9"/>
    <w:rsid w:val="79252C5E"/>
    <w:rsid w:val="79330163"/>
    <w:rsid w:val="7935580E"/>
    <w:rsid w:val="793B64AC"/>
    <w:rsid w:val="794B63CD"/>
    <w:rsid w:val="79536517"/>
    <w:rsid w:val="79703A50"/>
    <w:rsid w:val="79707F2A"/>
    <w:rsid w:val="79726B05"/>
    <w:rsid w:val="797B0524"/>
    <w:rsid w:val="79814453"/>
    <w:rsid w:val="7981546C"/>
    <w:rsid w:val="798E7B75"/>
    <w:rsid w:val="799D40D6"/>
    <w:rsid w:val="79A22A06"/>
    <w:rsid w:val="79A5011B"/>
    <w:rsid w:val="79AF1121"/>
    <w:rsid w:val="79BA1F31"/>
    <w:rsid w:val="79D1706F"/>
    <w:rsid w:val="79DE6C45"/>
    <w:rsid w:val="79EA3BB5"/>
    <w:rsid w:val="79F905A7"/>
    <w:rsid w:val="7A1E6945"/>
    <w:rsid w:val="7A2717E3"/>
    <w:rsid w:val="7A2F7F14"/>
    <w:rsid w:val="7A32769F"/>
    <w:rsid w:val="7A35088C"/>
    <w:rsid w:val="7A364017"/>
    <w:rsid w:val="7A4044CD"/>
    <w:rsid w:val="7A474E34"/>
    <w:rsid w:val="7A550E69"/>
    <w:rsid w:val="7A6106E4"/>
    <w:rsid w:val="7A6C3EEC"/>
    <w:rsid w:val="7A7D492A"/>
    <w:rsid w:val="7A8265E1"/>
    <w:rsid w:val="7A8706BE"/>
    <w:rsid w:val="7A987229"/>
    <w:rsid w:val="7AA63B4E"/>
    <w:rsid w:val="7AA7194E"/>
    <w:rsid w:val="7AB237FF"/>
    <w:rsid w:val="7ACD57CD"/>
    <w:rsid w:val="7AD56225"/>
    <w:rsid w:val="7AE51BCD"/>
    <w:rsid w:val="7AEA143C"/>
    <w:rsid w:val="7AED3FEF"/>
    <w:rsid w:val="7AFD0A6D"/>
    <w:rsid w:val="7B157372"/>
    <w:rsid w:val="7B2F7E84"/>
    <w:rsid w:val="7B372074"/>
    <w:rsid w:val="7B4C4049"/>
    <w:rsid w:val="7B645531"/>
    <w:rsid w:val="7B686D42"/>
    <w:rsid w:val="7B6F5EA6"/>
    <w:rsid w:val="7B7247BA"/>
    <w:rsid w:val="7B795DD4"/>
    <w:rsid w:val="7B7E279C"/>
    <w:rsid w:val="7B841746"/>
    <w:rsid w:val="7BBA1330"/>
    <w:rsid w:val="7BBD4F47"/>
    <w:rsid w:val="7BD51E44"/>
    <w:rsid w:val="7BE828A6"/>
    <w:rsid w:val="7BF818EA"/>
    <w:rsid w:val="7C0A6B1F"/>
    <w:rsid w:val="7C190AB7"/>
    <w:rsid w:val="7C2E0ADD"/>
    <w:rsid w:val="7C30415A"/>
    <w:rsid w:val="7C3C60B0"/>
    <w:rsid w:val="7C4C3570"/>
    <w:rsid w:val="7C517942"/>
    <w:rsid w:val="7C5A61BF"/>
    <w:rsid w:val="7C5E6B74"/>
    <w:rsid w:val="7C5F4F8D"/>
    <w:rsid w:val="7C6C5AC7"/>
    <w:rsid w:val="7C874A8E"/>
    <w:rsid w:val="7C8B70E4"/>
    <w:rsid w:val="7C9248BC"/>
    <w:rsid w:val="7C961218"/>
    <w:rsid w:val="7CBC110D"/>
    <w:rsid w:val="7CC11F97"/>
    <w:rsid w:val="7CC6544B"/>
    <w:rsid w:val="7CC97687"/>
    <w:rsid w:val="7CD33F5E"/>
    <w:rsid w:val="7CD754FA"/>
    <w:rsid w:val="7CEA0852"/>
    <w:rsid w:val="7CF341EB"/>
    <w:rsid w:val="7CF924D0"/>
    <w:rsid w:val="7D0239FF"/>
    <w:rsid w:val="7D084F04"/>
    <w:rsid w:val="7D0923FA"/>
    <w:rsid w:val="7D0D4290"/>
    <w:rsid w:val="7D241657"/>
    <w:rsid w:val="7D297FC6"/>
    <w:rsid w:val="7D396C2C"/>
    <w:rsid w:val="7D4125FD"/>
    <w:rsid w:val="7D4B7464"/>
    <w:rsid w:val="7D5E40CD"/>
    <w:rsid w:val="7D77240D"/>
    <w:rsid w:val="7D831D6A"/>
    <w:rsid w:val="7D873408"/>
    <w:rsid w:val="7D894AA5"/>
    <w:rsid w:val="7D8A0813"/>
    <w:rsid w:val="7D8E771C"/>
    <w:rsid w:val="7D9E47CC"/>
    <w:rsid w:val="7DAE683F"/>
    <w:rsid w:val="7DC61F22"/>
    <w:rsid w:val="7DCD56F2"/>
    <w:rsid w:val="7DDB3E20"/>
    <w:rsid w:val="7DE47007"/>
    <w:rsid w:val="7DE50460"/>
    <w:rsid w:val="7DE73CAC"/>
    <w:rsid w:val="7DF24F98"/>
    <w:rsid w:val="7DF5417A"/>
    <w:rsid w:val="7DFF4C9F"/>
    <w:rsid w:val="7E0F597A"/>
    <w:rsid w:val="7E3D573D"/>
    <w:rsid w:val="7E3E6556"/>
    <w:rsid w:val="7E442374"/>
    <w:rsid w:val="7E4E5ABF"/>
    <w:rsid w:val="7E676329"/>
    <w:rsid w:val="7EA23D68"/>
    <w:rsid w:val="7EAC28DD"/>
    <w:rsid w:val="7EBC7738"/>
    <w:rsid w:val="7EC70F32"/>
    <w:rsid w:val="7ED00B75"/>
    <w:rsid w:val="7F001CE7"/>
    <w:rsid w:val="7F0662B5"/>
    <w:rsid w:val="7F082E9C"/>
    <w:rsid w:val="7F0C5FC9"/>
    <w:rsid w:val="7F0E2AE3"/>
    <w:rsid w:val="7F105A98"/>
    <w:rsid w:val="7F207CC7"/>
    <w:rsid w:val="7F3F2F68"/>
    <w:rsid w:val="7F41637A"/>
    <w:rsid w:val="7F457077"/>
    <w:rsid w:val="7F497F82"/>
    <w:rsid w:val="7F5F1A75"/>
    <w:rsid w:val="7F654A19"/>
    <w:rsid w:val="7F664991"/>
    <w:rsid w:val="7F7B6CAB"/>
    <w:rsid w:val="7F836717"/>
    <w:rsid w:val="7F893C15"/>
    <w:rsid w:val="7F9935D5"/>
    <w:rsid w:val="7FB839E3"/>
    <w:rsid w:val="7FD051AF"/>
    <w:rsid w:val="7FE0673E"/>
    <w:rsid w:val="7FE47E50"/>
    <w:rsid w:val="7FE87B57"/>
    <w:rsid w:val="7FF9169B"/>
    <w:rsid w:val="7FFD1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qFormat="1" w:uiPriority="0" w:semiHidden="0" w:name="Note Heading"/>
    <w:lsdException w:uiPriority="0" w:name="Body Text 2"/>
    <w:lsdException w:uiPriority="0" w:name="Body Text 3"/>
    <w:lsdException w:qFormat="1" w:unhideWhenUsed="0" w:uiPriority="99" w:semiHidden="0" w:name="Body Text Indent 2"/>
    <w:lsdException w:qFormat="1" w:unhideWhenUsed="0" w:uiPriority="0" w:semiHidden="0" w:name="Body Text Indent 3"/>
    <w:lsdException w:uiPriority="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144"/>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4"/>
    <w:next w:val="1"/>
    <w:link w:val="143"/>
    <w:unhideWhenUsed/>
    <w:qFormat/>
    <w:uiPriority w:val="9"/>
    <w:pPr>
      <w:keepNext/>
      <w:keepLines/>
      <w:spacing w:before="260" w:after="260" w:line="416" w:lineRule="auto"/>
      <w:outlineLvl w:val="1"/>
    </w:pPr>
    <w:rPr>
      <w:rFonts w:asciiTheme="majorHAnsi" w:hAnsiTheme="majorHAnsi" w:eastAsiaTheme="majorEastAsia" w:cstheme="majorBidi"/>
      <w:bCs/>
      <w:sz w:val="32"/>
      <w:szCs w:val="32"/>
    </w:rPr>
  </w:style>
  <w:style w:type="paragraph" w:styleId="5">
    <w:name w:val="heading 3"/>
    <w:basedOn w:val="1"/>
    <w:next w:val="1"/>
    <w:link w:val="63"/>
    <w:qFormat/>
    <w:uiPriority w:val="9"/>
    <w:pPr>
      <w:keepNext/>
      <w:keepLines/>
      <w:spacing w:before="260" w:after="260" w:line="416" w:lineRule="auto"/>
      <w:outlineLvl w:val="2"/>
    </w:pPr>
    <w:rPr>
      <w:b/>
      <w:bCs/>
      <w:sz w:val="32"/>
      <w:szCs w:val="32"/>
    </w:rPr>
  </w:style>
  <w:style w:type="paragraph" w:styleId="6">
    <w:name w:val="heading 4"/>
    <w:basedOn w:val="1"/>
    <w:next w:val="1"/>
    <w:link w:val="64"/>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259"/>
    <w:unhideWhenUsed/>
    <w:qFormat/>
    <w:uiPriority w:val="9"/>
    <w:pPr>
      <w:keepNext/>
      <w:keepLines/>
      <w:autoSpaceDE w:val="0"/>
      <w:autoSpaceDN w:val="0"/>
      <w:spacing w:before="280" w:after="290" w:line="376" w:lineRule="auto"/>
      <w:jc w:val="left"/>
      <w:outlineLvl w:val="4"/>
    </w:pPr>
    <w:rPr>
      <w:rFonts w:ascii="宋体" w:hAnsi="宋体" w:cs="宋体"/>
      <w:b/>
      <w:bCs/>
      <w:sz w:val="28"/>
      <w:szCs w:val="28"/>
      <w:lang w:eastAsia="en-US"/>
    </w:rPr>
  </w:style>
  <w:style w:type="paragraph" w:styleId="8">
    <w:name w:val="heading 6"/>
    <w:basedOn w:val="1"/>
    <w:next w:val="1"/>
    <w:link w:val="260"/>
    <w:unhideWhenUsed/>
    <w:qFormat/>
    <w:uiPriority w:val="9"/>
    <w:pPr>
      <w:keepNext/>
      <w:keepLines/>
      <w:autoSpaceDE w:val="0"/>
      <w:autoSpaceDN w:val="0"/>
      <w:spacing w:before="240" w:after="64" w:line="320" w:lineRule="auto"/>
      <w:jc w:val="left"/>
      <w:outlineLvl w:val="5"/>
    </w:pPr>
    <w:rPr>
      <w:rFonts w:asciiTheme="majorHAnsi" w:hAnsiTheme="majorHAnsi" w:eastAsiaTheme="majorEastAsia" w:cstheme="majorBidi"/>
      <w:b/>
      <w:bCs/>
      <w:sz w:val="24"/>
      <w:szCs w:val="24"/>
      <w:lang w:eastAsia="en-US"/>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目录 21"/>
    <w:basedOn w:val="1"/>
    <w:next w:val="1"/>
    <w:qFormat/>
    <w:uiPriority w:val="0"/>
    <w:pPr>
      <w:ind w:left="420" w:leftChars="200"/>
    </w:pPr>
    <w:rPr>
      <w:b/>
      <w:sz w:val="28"/>
    </w:rPr>
  </w:style>
  <w:style w:type="paragraph" w:styleId="9">
    <w:name w:val="toc 7"/>
    <w:basedOn w:val="1"/>
    <w:next w:val="1"/>
    <w:qFormat/>
    <w:uiPriority w:val="0"/>
    <w:pPr>
      <w:spacing w:line="360" w:lineRule="auto"/>
      <w:ind w:left="2520" w:leftChars="1200" w:firstLine="200" w:firstLineChars="200"/>
    </w:pPr>
    <w:rPr>
      <w:kern w:val="2"/>
      <w:sz w:val="24"/>
    </w:rPr>
  </w:style>
  <w:style w:type="paragraph" w:styleId="10">
    <w:name w:val="Note Heading"/>
    <w:basedOn w:val="1"/>
    <w:next w:val="1"/>
    <w:link w:val="65"/>
    <w:unhideWhenUsed/>
    <w:qFormat/>
    <w:uiPriority w:val="0"/>
    <w:pPr>
      <w:jc w:val="center"/>
    </w:pPr>
    <w:rPr>
      <w:rFonts w:eastAsia="仿宋_GB2312"/>
      <w:sz w:val="24"/>
      <w:lang w:eastAsia="en-US"/>
    </w:rPr>
  </w:style>
  <w:style w:type="paragraph" w:styleId="11">
    <w:name w:val="Normal Indent"/>
    <w:basedOn w:val="1"/>
    <w:link w:val="66"/>
    <w:unhideWhenUsed/>
    <w:qFormat/>
    <w:uiPriority w:val="0"/>
    <w:pPr>
      <w:spacing w:beforeLines="50" w:line="360" w:lineRule="auto"/>
      <w:ind w:firstLine="200" w:firstLineChars="200"/>
    </w:pPr>
    <w:rPr>
      <w:sz w:val="24"/>
    </w:rPr>
  </w:style>
  <w:style w:type="paragraph" w:styleId="12">
    <w:name w:val="caption"/>
    <w:basedOn w:val="1"/>
    <w:next w:val="1"/>
    <w:qFormat/>
    <w:uiPriority w:val="0"/>
    <w:pPr>
      <w:spacing w:line="360" w:lineRule="auto"/>
      <w:ind w:firstLine="200" w:firstLineChars="200"/>
    </w:pPr>
    <w:rPr>
      <w:rFonts w:ascii="Arial" w:hAnsi="Arial" w:eastAsia="黑体" w:cs="Arial"/>
      <w:kern w:val="2"/>
    </w:rPr>
  </w:style>
  <w:style w:type="paragraph" w:styleId="13">
    <w:name w:val="Document Map"/>
    <w:basedOn w:val="1"/>
    <w:link w:val="67"/>
    <w:qFormat/>
    <w:uiPriority w:val="99"/>
    <w:rPr>
      <w:rFonts w:ascii="宋体"/>
      <w:sz w:val="18"/>
      <w:szCs w:val="18"/>
    </w:rPr>
  </w:style>
  <w:style w:type="paragraph" w:styleId="14">
    <w:name w:val="toa heading"/>
    <w:basedOn w:val="1"/>
    <w:next w:val="1"/>
    <w:qFormat/>
    <w:uiPriority w:val="0"/>
    <w:pPr>
      <w:spacing w:before="120"/>
    </w:pPr>
    <w:rPr>
      <w:rFonts w:ascii="Arial" w:hAnsi="Arial" w:cs="Arial" w:eastAsiaTheme="minorEastAsia"/>
      <w:kern w:val="2"/>
      <w:sz w:val="24"/>
      <w:szCs w:val="24"/>
    </w:rPr>
  </w:style>
  <w:style w:type="paragraph" w:styleId="15">
    <w:name w:val="annotation text"/>
    <w:basedOn w:val="1"/>
    <w:link w:val="68"/>
    <w:qFormat/>
    <w:uiPriority w:val="0"/>
    <w:pPr>
      <w:jc w:val="left"/>
    </w:pPr>
    <w:rPr>
      <w:sz w:val="24"/>
    </w:rPr>
  </w:style>
  <w:style w:type="paragraph" w:styleId="16">
    <w:name w:val="Salutation"/>
    <w:basedOn w:val="1"/>
    <w:next w:val="1"/>
    <w:link w:val="69"/>
    <w:qFormat/>
    <w:uiPriority w:val="0"/>
    <w:pPr>
      <w:widowControl/>
      <w:jc w:val="left"/>
    </w:pPr>
    <w:rPr>
      <w:sz w:val="24"/>
    </w:rPr>
  </w:style>
  <w:style w:type="paragraph" w:styleId="17">
    <w:name w:val="Body Text"/>
    <w:basedOn w:val="1"/>
    <w:next w:val="1"/>
    <w:link w:val="70"/>
    <w:qFormat/>
    <w:uiPriority w:val="1"/>
    <w:pPr>
      <w:widowControl/>
      <w:snapToGrid w:val="0"/>
      <w:spacing w:before="60" w:after="160" w:line="259" w:lineRule="auto"/>
      <w:ind w:right="113"/>
    </w:pPr>
    <w:rPr>
      <w:sz w:val="18"/>
    </w:rPr>
  </w:style>
  <w:style w:type="paragraph" w:styleId="18">
    <w:name w:val="Body Text Indent"/>
    <w:basedOn w:val="1"/>
    <w:link w:val="71"/>
    <w:qFormat/>
    <w:uiPriority w:val="99"/>
    <w:pPr>
      <w:spacing w:after="120"/>
      <w:ind w:left="420" w:leftChars="200"/>
    </w:pPr>
    <w:rPr>
      <w:sz w:val="24"/>
    </w:rPr>
  </w:style>
  <w:style w:type="paragraph" w:styleId="19">
    <w:name w:val="List 2"/>
    <w:basedOn w:val="1"/>
    <w:qFormat/>
    <w:uiPriority w:val="0"/>
    <w:pPr>
      <w:spacing w:line="360" w:lineRule="auto"/>
      <w:ind w:firstLine="200" w:firstLineChars="200"/>
      <w:jc w:val="center"/>
      <w:outlineLvl w:val="2"/>
    </w:pPr>
    <w:rPr>
      <w:rFonts w:ascii="宋体"/>
      <w:spacing w:val="-10"/>
      <w:sz w:val="24"/>
    </w:rPr>
  </w:style>
  <w:style w:type="paragraph" w:styleId="20">
    <w:name w:val="toc 5"/>
    <w:basedOn w:val="1"/>
    <w:next w:val="1"/>
    <w:qFormat/>
    <w:uiPriority w:val="0"/>
    <w:pPr>
      <w:spacing w:line="360" w:lineRule="auto"/>
      <w:ind w:left="1680" w:leftChars="800" w:firstLine="200" w:firstLineChars="200"/>
    </w:pPr>
    <w:rPr>
      <w:kern w:val="2"/>
      <w:sz w:val="24"/>
    </w:rPr>
  </w:style>
  <w:style w:type="paragraph" w:styleId="21">
    <w:name w:val="toc 3"/>
    <w:basedOn w:val="1"/>
    <w:next w:val="1"/>
    <w:qFormat/>
    <w:uiPriority w:val="39"/>
    <w:pPr>
      <w:spacing w:line="360" w:lineRule="auto"/>
      <w:ind w:left="840" w:leftChars="400" w:firstLine="200" w:firstLineChars="200"/>
    </w:pPr>
    <w:rPr>
      <w:kern w:val="2"/>
      <w:sz w:val="24"/>
    </w:rPr>
  </w:style>
  <w:style w:type="paragraph" w:styleId="22">
    <w:name w:val="Plain Text"/>
    <w:basedOn w:val="1"/>
    <w:next w:val="1"/>
    <w:link w:val="72"/>
    <w:qFormat/>
    <w:uiPriority w:val="99"/>
    <w:rPr>
      <w:rFonts w:ascii="宋体" w:hAnsi="Courier New"/>
      <w:szCs w:val="21"/>
    </w:rPr>
  </w:style>
  <w:style w:type="paragraph" w:styleId="23">
    <w:name w:val="toc 8"/>
    <w:basedOn w:val="1"/>
    <w:next w:val="1"/>
    <w:qFormat/>
    <w:uiPriority w:val="0"/>
    <w:pPr>
      <w:spacing w:line="360" w:lineRule="auto"/>
      <w:ind w:left="2940" w:leftChars="1400" w:firstLine="200" w:firstLineChars="200"/>
    </w:pPr>
    <w:rPr>
      <w:kern w:val="2"/>
      <w:sz w:val="24"/>
    </w:rPr>
  </w:style>
  <w:style w:type="paragraph" w:styleId="24">
    <w:name w:val="Date"/>
    <w:basedOn w:val="1"/>
    <w:next w:val="1"/>
    <w:link w:val="73"/>
    <w:qFormat/>
    <w:uiPriority w:val="99"/>
    <w:pPr>
      <w:ind w:left="100" w:leftChars="2500"/>
    </w:pPr>
    <w:rPr>
      <w:sz w:val="24"/>
    </w:rPr>
  </w:style>
  <w:style w:type="paragraph" w:styleId="25">
    <w:name w:val="Body Text Indent 2"/>
    <w:basedOn w:val="1"/>
    <w:link w:val="174"/>
    <w:qFormat/>
    <w:uiPriority w:val="99"/>
    <w:pPr>
      <w:ind w:left="105" w:firstLine="465"/>
    </w:pPr>
    <w:rPr>
      <w:sz w:val="28"/>
    </w:rPr>
  </w:style>
  <w:style w:type="paragraph" w:styleId="26">
    <w:name w:val="endnote text"/>
    <w:basedOn w:val="1"/>
    <w:link w:val="167"/>
    <w:qFormat/>
    <w:uiPriority w:val="99"/>
    <w:pPr>
      <w:snapToGrid w:val="0"/>
      <w:spacing w:line="360" w:lineRule="auto"/>
      <w:ind w:firstLine="200" w:firstLineChars="200"/>
      <w:jc w:val="left"/>
    </w:pPr>
    <w:rPr>
      <w:kern w:val="2"/>
      <w:sz w:val="24"/>
      <w:szCs w:val="24"/>
    </w:rPr>
  </w:style>
  <w:style w:type="paragraph" w:styleId="27">
    <w:name w:val="Balloon Text"/>
    <w:basedOn w:val="1"/>
    <w:link w:val="74"/>
    <w:qFormat/>
    <w:uiPriority w:val="0"/>
    <w:rPr>
      <w:sz w:val="18"/>
    </w:rPr>
  </w:style>
  <w:style w:type="paragraph" w:styleId="28">
    <w:name w:val="footer"/>
    <w:basedOn w:val="1"/>
    <w:link w:val="75"/>
    <w:qFormat/>
    <w:uiPriority w:val="0"/>
    <w:pPr>
      <w:tabs>
        <w:tab w:val="center" w:pos="4153"/>
        <w:tab w:val="right" w:pos="8306"/>
      </w:tabs>
      <w:snapToGrid w:val="0"/>
      <w:jc w:val="left"/>
    </w:pPr>
    <w:rPr>
      <w:sz w:val="18"/>
    </w:rPr>
  </w:style>
  <w:style w:type="paragraph" w:styleId="29">
    <w:name w:val="header"/>
    <w:basedOn w:val="1"/>
    <w:next w:val="1"/>
    <w:link w:val="76"/>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rPr>
      <w:rFonts w:ascii="Calibri" w:hAnsi="Calibri"/>
      <w:szCs w:val="22"/>
    </w:rPr>
  </w:style>
  <w:style w:type="paragraph" w:styleId="31">
    <w:name w:val="toc 4"/>
    <w:basedOn w:val="1"/>
    <w:next w:val="1"/>
    <w:qFormat/>
    <w:uiPriority w:val="0"/>
    <w:pPr>
      <w:spacing w:line="360" w:lineRule="auto"/>
      <w:ind w:left="1260" w:leftChars="600" w:firstLine="200" w:firstLineChars="200"/>
    </w:pPr>
    <w:rPr>
      <w:kern w:val="2"/>
      <w:sz w:val="24"/>
    </w:rPr>
  </w:style>
  <w:style w:type="paragraph" w:styleId="32">
    <w:name w:val="index heading"/>
    <w:basedOn w:val="1"/>
    <w:next w:val="33"/>
    <w:qFormat/>
    <w:uiPriority w:val="0"/>
    <w:pPr>
      <w:spacing w:line="360" w:lineRule="auto"/>
      <w:ind w:firstLine="200" w:firstLineChars="200"/>
    </w:pPr>
    <w:rPr>
      <w:rFonts w:ascii="宋体"/>
      <w:bCs/>
      <w:kern w:val="2"/>
      <w:sz w:val="24"/>
    </w:rPr>
  </w:style>
  <w:style w:type="paragraph" w:styleId="33">
    <w:name w:val="index 1"/>
    <w:basedOn w:val="1"/>
    <w:next w:val="1"/>
    <w:qFormat/>
    <w:uiPriority w:val="0"/>
    <w:pPr>
      <w:spacing w:line="360" w:lineRule="auto"/>
      <w:ind w:firstLine="200" w:firstLineChars="200"/>
    </w:pPr>
    <w:rPr>
      <w:kern w:val="2"/>
      <w:sz w:val="24"/>
    </w:rPr>
  </w:style>
  <w:style w:type="paragraph" w:styleId="34">
    <w:name w:val="Subtitle"/>
    <w:next w:val="1"/>
    <w:link w:val="188"/>
    <w:qFormat/>
    <w:uiPriority w:val="11"/>
    <w:pPr>
      <w:jc w:val="center"/>
    </w:pPr>
    <w:rPr>
      <w:rFonts w:ascii="Calibri" w:hAnsi="Calibri" w:eastAsia="宋体" w:cs="Times New Roman"/>
      <w:bCs/>
      <w:kern w:val="28"/>
      <w:sz w:val="21"/>
      <w:szCs w:val="32"/>
      <w:lang w:val="en-US" w:eastAsia="zh-CN" w:bidi="ar-SA"/>
    </w:rPr>
  </w:style>
  <w:style w:type="paragraph" w:styleId="35">
    <w:name w:val="List"/>
    <w:basedOn w:val="1"/>
    <w:qFormat/>
    <w:uiPriority w:val="0"/>
    <w:pPr>
      <w:spacing w:line="360" w:lineRule="auto"/>
      <w:ind w:left="200" w:hanging="200" w:hangingChars="200"/>
    </w:pPr>
    <w:rPr>
      <w:kern w:val="2"/>
      <w:sz w:val="24"/>
    </w:rPr>
  </w:style>
  <w:style w:type="paragraph" w:styleId="36">
    <w:name w:val="toc 6"/>
    <w:basedOn w:val="1"/>
    <w:next w:val="1"/>
    <w:qFormat/>
    <w:uiPriority w:val="0"/>
    <w:pPr>
      <w:spacing w:line="360" w:lineRule="auto"/>
      <w:ind w:left="2100" w:leftChars="1000" w:firstLine="200" w:firstLineChars="200"/>
    </w:pPr>
    <w:rPr>
      <w:kern w:val="2"/>
      <w:sz w:val="24"/>
    </w:rPr>
  </w:style>
  <w:style w:type="paragraph" w:styleId="37">
    <w:name w:val="Body Text Indent 3"/>
    <w:basedOn w:val="1"/>
    <w:link w:val="186"/>
    <w:qFormat/>
    <w:uiPriority w:val="0"/>
    <w:pPr>
      <w:spacing w:line="360" w:lineRule="auto"/>
      <w:ind w:firstLine="570" w:firstLineChars="200"/>
    </w:pPr>
    <w:rPr>
      <w:kern w:val="2"/>
      <w:sz w:val="24"/>
      <w:szCs w:val="24"/>
    </w:rPr>
  </w:style>
  <w:style w:type="paragraph" w:styleId="38">
    <w:name w:val="toc 2"/>
    <w:basedOn w:val="1"/>
    <w:next w:val="1"/>
    <w:qFormat/>
    <w:uiPriority w:val="39"/>
    <w:pPr>
      <w:spacing w:line="360" w:lineRule="auto"/>
      <w:ind w:left="420" w:leftChars="200" w:firstLine="200" w:firstLineChars="200"/>
    </w:pPr>
    <w:rPr>
      <w:kern w:val="2"/>
      <w:sz w:val="24"/>
    </w:rPr>
  </w:style>
  <w:style w:type="paragraph" w:styleId="39">
    <w:name w:val="toc 9"/>
    <w:basedOn w:val="1"/>
    <w:next w:val="1"/>
    <w:qFormat/>
    <w:uiPriority w:val="0"/>
    <w:pPr>
      <w:spacing w:line="360" w:lineRule="auto"/>
      <w:ind w:left="3360" w:leftChars="1600" w:firstLine="200" w:firstLineChars="200"/>
    </w:pPr>
    <w:rPr>
      <w:kern w:val="2"/>
      <w:sz w:val="24"/>
    </w:rPr>
  </w:style>
  <w:style w:type="paragraph" w:styleId="40">
    <w:name w:val="Normal (Web)"/>
    <w:basedOn w:val="1"/>
    <w:link w:val="77"/>
    <w:qFormat/>
    <w:uiPriority w:val="99"/>
    <w:pPr>
      <w:widowControl/>
      <w:spacing w:before="100" w:beforeAutospacing="1" w:after="100" w:afterAutospacing="1"/>
      <w:jc w:val="left"/>
    </w:pPr>
    <w:rPr>
      <w:rFonts w:ascii="宋体" w:hAnsi="宋体"/>
      <w:sz w:val="24"/>
    </w:rPr>
  </w:style>
  <w:style w:type="paragraph" w:styleId="41">
    <w:name w:val="annotation subject"/>
    <w:basedOn w:val="15"/>
    <w:next w:val="15"/>
    <w:link w:val="78"/>
    <w:qFormat/>
    <w:uiPriority w:val="0"/>
    <w:rPr>
      <w:b/>
      <w:kern w:val="2"/>
    </w:rPr>
  </w:style>
  <w:style w:type="paragraph" w:styleId="42">
    <w:name w:val="Body Text First Indent"/>
    <w:basedOn w:val="17"/>
    <w:link w:val="79"/>
    <w:qFormat/>
    <w:uiPriority w:val="0"/>
    <w:pPr>
      <w:widowControl w:val="0"/>
      <w:snapToGrid/>
      <w:spacing w:before="0" w:after="120" w:line="240" w:lineRule="auto"/>
      <w:ind w:right="0" w:firstLine="420" w:firstLineChars="100"/>
    </w:pPr>
    <w:rPr>
      <w:kern w:val="2"/>
      <w:sz w:val="21"/>
      <w:szCs w:val="24"/>
    </w:rPr>
  </w:style>
  <w:style w:type="paragraph" w:styleId="43">
    <w:name w:val="Body Text First Indent 2"/>
    <w:basedOn w:val="18"/>
    <w:link w:val="80"/>
    <w:unhideWhenUsed/>
    <w:qFormat/>
    <w:uiPriority w:val="99"/>
    <w:pPr>
      <w:ind w:firstLine="420" w:firstLineChars="200"/>
    </w:pPr>
    <w:rPr>
      <w:rFonts w:ascii="Calibri" w:hAnsi="Calibri"/>
      <w:kern w:val="2"/>
      <w:sz w:val="21"/>
      <w:szCs w:val="22"/>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bCs/>
    </w:rPr>
  </w:style>
  <w:style w:type="character" w:styleId="48">
    <w:name w:val="endnote reference"/>
    <w:basedOn w:val="46"/>
    <w:qFormat/>
    <w:uiPriority w:val="0"/>
    <w:rPr>
      <w:sz w:val="21"/>
      <w:vertAlign w:val="superscript"/>
    </w:rPr>
  </w:style>
  <w:style w:type="character" w:styleId="49">
    <w:name w:val="page number"/>
    <w:basedOn w:val="46"/>
    <w:qFormat/>
    <w:uiPriority w:val="0"/>
  </w:style>
  <w:style w:type="character" w:styleId="50">
    <w:name w:val="FollowedHyperlink"/>
    <w:qFormat/>
    <w:uiPriority w:val="99"/>
    <w:rPr>
      <w:color w:val="555555"/>
      <w:u w:val="none"/>
    </w:rPr>
  </w:style>
  <w:style w:type="character" w:styleId="51">
    <w:name w:val="Emphasis"/>
    <w:qFormat/>
    <w:uiPriority w:val="0"/>
  </w:style>
  <w:style w:type="character" w:styleId="52">
    <w:name w:val="HTML Definition"/>
    <w:qFormat/>
    <w:uiPriority w:val="0"/>
  </w:style>
  <w:style w:type="character" w:styleId="53">
    <w:name w:val="HTML Variable"/>
    <w:qFormat/>
    <w:uiPriority w:val="0"/>
  </w:style>
  <w:style w:type="character" w:styleId="54">
    <w:name w:val="Hyperlink"/>
    <w:unhideWhenUsed/>
    <w:qFormat/>
    <w:uiPriority w:val="99"/>
    <w:rPr>
      <w:color w:val="555555"/>
      <w:u w:val="none"/>
    </w:rPr>
  </w:style>
  <w:style w:type="character" w:styleId="55">
    <w:name w:val="HTML Code"/>
    <w:qFormat/>
    <w:uiPriority w:val="0"/>
    <w:rPr>
      <w:rFonts w:hint="default" w:ascii="serif" w:hAnsi="serif" w:eastAsia="serif" w:cs="serif"/>
      <w:sz w:val="21"/>
      <w:szCs w:val="21"/>
    </w:rPr>
  </w:style>
  <w:style w:type="character" w:styleId="56">
    <w:name w:val="annotation reference"/>
    <w:qFormat/>
    <w:uiPriority w:val="0"/>
    <w:rPr>
      <w:sz w:val="21"/>
    </w:rPr>
  </w:style>
  <w:style w:type="character" w:styleId="57">
    <w:name w:val="HTML Cite"/>
    <w:qFormat/>
    <w:uiPriority w:val="0"/>
  </w:style>
  <w:style w:type="character" w:styleId="58">
    <w:name w:val="HTML Keyboard"/>
    <w:qFormat/>
    <w:uiPriority w:val="0"/>
    <w:rPr>
      <w:rFonts w:ascii="serif" w:hAnsi="serif" w:eastAsia="serif" w:cs="serif"/>
      <w:sz w:val="21"/>
      <w:szCs w:val="21"/>
    </w:rPr>
  </w:style>
  <w:style w:type="character" w:styleId="59">
    <w:name w:val="HTML Sample"/>
    <w:qFormat/>
    <w:uiPriority w:val="0"/>
    <w:rPr>
      <w:rFonts w:hint="default" w:ascii="serif" w:hAnsi="serif" w:eastAsia="serif" w:cs="serif"/>
      <w:sz w:val="21"/>
      <w:szCs w:val="21"/>
    </w:rPr>
  </w:style>
  <w:style w:type="paragraph" w:customStyle="1" w:styleId="60">
    <w:name w:val="正文1"/>
    <w:basedOn w:val="1"/>
    <w:qFormat/>
    <w:uiPriority w:val="0"/>
    <w:pPr>
      <w:tabs>
        <w:tab w:val="left" w:pos="2490"/>
      </w:tabs>
      <w:spacing w:line="400" w:lineRule="exact"/>
      <w:ind w:firstLine="200" w:firstLineChars="200"/>
    </w:pPr>
    <w:rPr>
      <w:kern w:val="2"/>
      <w:sz w:val="24"/>
      <w:szCs w:val="28"/>
    </w:rPr>
  </w:style>
  <w:style w:type="paragraph" w:customStyle="1" w:styleId="61">
    <w:name w:val="表头"/>
    <w:basedOn w:val="1"/>
    <w:next w:val="11"/>
    <w:qFormat/>
    <w:uiPriority w:val="0"/>
    <w:pPr>
      <w:spacing w:line="360" w:lineRule="auto"/>
      <w:ind w:firstLine="200" w:firstLineChars="200"/>
      <w:jc w:val="center"/>
    </w:pPr>
    <w:rPr>
      <w:rFonts w:eastAsia="黑体"/>
      <w:kern w:val="2"/>
      <w:sz w:val="21"/>
      <w:szCs w:val="24"/>
    </w:rPr>
  </w:style>
  <w:style w:type="paragraph" w:customStyle="1" w:styleId="62">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63">
    <w:name w:val="标题 3 字符"/>
    <w:link w:val="5"/>
    <w:qFormat/>
    <w:uiPriority w:val="9"/>
    <w:rPr>
      <w:b/>
      <w:bCs/>
      <w:kern w:val="2"/>
      <w:sz w:val="32"/>
      <w:szCs w:val="32"/>
    </w:rPr>
  </w:style>
  <w:style w:type="character" w:customStyle="1" w:styleId="64">
    <w:name w:val="标题 4 字符"/>
    <w:link w:val="6"/>
    <w:qFormat/>
    <w:uiPriority w:val="9"/>
    <w:rPr>
      <w:rFonts w:ascii="Cambria" w:hAnsi="Cambria" w:eastAsia="宋体" w:cs="Times New Roman"/>
      <w:b/>
      <w:bCs/>
      <w:kern w:val="2"/>
      <w:sz w:val="28"/>
      <w:szCs w:val="28"/>
    </w:rPr>
  </w:style>
  <w:style w:type="character" w:customStyle="1" w:styleId="65">
    <w:name w:val="注释标题 字符"/>
    <w:link w:val="10"/>
    <w:qFormat/>
    <w:uiPriority w:val="0"/>
    <w:rPr>
      <w:rFonts w:eastAsia="仿宋_GB2312"/>
      <w:sz w:val="24"/>
      <w:lang w:eastAsia="en-US"/>
    </w:rPr>
  </w:style>
  <w:style w:type="character" w:customStyle="1" w:styleId="66">
    <w:name w:val="正文缩进 字符1"/>
    <w:link w:val="11"/>
    <w:qFormat/>
    <w:uiPriority w:val="0"/>
    <w:rPr>
      <w:sz w:val="24"/>
    </w:rPr>
  </w:style>
  <w:style w:type="character" w:customStyle="1" w:styleId="67">
    <w:name w:val="文档结构图 字符"/>
    <w:link w:val="13"/>
    <w:qFormat/>
    <w:uiPriority w:val="99"/>
    <w:rPr>
      <w:rFonts w:ascii="宋体"/>
      <w:kern w:val="2"/>
      <w:sz w:val="18"/>
      <w:szCs w:val="18"/>
    </w:rPr>
  </w:style>
  <w:style w:type="character" w:customStyle="1" w:styleId="68">
    <w:name w:val="批注文字 字符2"/>
    <w:link w:val="15"/>
    <w:qFormat/>
    <w:uiPriority w:val="0"/>
    <w:rPr>
      <w:rFonts w:ascii="Times New Roman" w:hAnsi="Times New Roman" w:eastAsia="宋体"/>
      <w:sz w:val="24"/>
    </w:rPr>
  </w:style>
  <w:style w:type="character" w:customStyle="1" w:styleId="69">
    <w:name w:val="称呼 字符"/>
    <w:link w:val="16"/>
    <w:qFormat/>
    <w:uiPriority w:val="0"/>
    <w:rPr>
      <w:sz w:val="24"/>
    </w:rPr>
  </w:style>
  <w:style w:type="character" w:customStyle="1" w:styleId="70">
    <w:name w:val="正文文本 字符2"/>
    <w:basedOn w:val="46"/>
    <w:link w:val="17"/>
    <w:qFormat/>
    <w:uiPriority w:val="1"/>
    <w:rPr>
      <w:sz w:val="18"/>
    </w:rPr>
  </w:style>
  <w:style w:type="character" w:customStyle="1" w:styleId="71">
    <w:name w:val="正文文本缩进 字符"/>
    <w:link w:val="18"/>
    <w:qFormat/>
    <w:uiPriority w:val="99"/>
    <w:rPr>
      <w:rFonts w:ascii="Times New Roman" w:hAnsi="Times New Roman" w:eastAsia="宋体"/>
      <w:sz w:val="24"/>
    </w:rPr>
  </w:style>
  <w:style w:type="character" w:customStyle="1" w:styleId="72">
    <w:name w:val="纯文本 字符1"/>
    <w:link w:val="22"/>
    <w:qFormat/>
    <w:uiPriority w:val="99"/>
    <w:rPr>
      <w:rFonts w:ascii="宋体" w:hAnsi="Courier New"/>
      <w:kern w:val="2"/>
      <w:sz w:val="21"/>
      <w:szCs w:val="21"/>
    </w:rPr>
  </w:style>
  <w:style w:type="character" w:customStyle="1" w:styleId="73">
    <w:name w:val="日期 字符1"/>
    <w:link w:val="24"/>
    <w:qFormat/>
    <w:uiPriority w:val="99"/>
    <w:rPr>
      <w:rFonts w:ascii="Times New Roman" w:hAnsi="Times New Roman" w:eastAsia="宋体"/>
      <w:sz w:val="24"/>
    </w:rPr>
  </w:style>
  <w:style w:type="character" w:customStyle="1" w:styleId="74">
    <w:name w:val="批注框文本 字符1"/>
    <w:link w:val="27"/>
    <w:qFormat/>
    <w:uiPriority w:val="0"/>
    <w:rPr>
      <w:rFonts w:ascii="Times New Roman" w:hAnsi="Times New Roman" w:eastAsia="宋体"/>
      <w:sz w:val="18"/>
    </w:rPr>
  </w:style>
  <w:style w:type="character" w:customStyle="1" w:styleId="75">
    <w:name w:val="页脚 字符1"/>
    <w:link w:val="28"/>
    <w:qFormat/>
    <w:uiPriority w:val="0"/>
    <w:rPr>
      <w:sz w:val="18"/>
    </w:rPr>
  </w:style>
  <w:style w:type="character" w:customStyle="1" w:styleId="76">
    <w:name w:val="页眉 字符1"/>
    <w:link w:val="29"/>
    <w:qFormat/>
    <w:uiPriority w:val="0"/>
    <w:rPr>
      <w:sz w:val="18"/>
    </w:rPr>
  </w:style>
  <w:style w:type="character" w:customStyle="1" w:styleId="77">
    <w:name w:val="普通(网站) 字符1"/>
    <w:link w:val="40"/>
    <w:qFormat/>
    <w:uiPriority w:val="99"/>
    <w:rPr>
      <w:rFonts w:ascii="宋体" w:hAnsi="宋体" w:eastAsia="宋体"/>
      <w:sz w:val="24"/>
    </w:rPr>
  </w:style>
  <w:style w:type="character" w:customStyle="1" w:styleId="78">
    <w:name w:val="批注主题 字符"/>
    <w:link w:val="41"/>
    <w:qFormat/>
    <w:uiPriority w:val="0"/>
    <w:rPr>
      <w:rFonts w:ascii="Times New Roman" w:hAnsi="Times New Roman" w:eastAsia="宋体"/>
      <w:b/>
      <w:kern w:val="2"/>
      <w:sz w:val="24"/>
    </w:rPr>
  </w:style>
  <w:style w:type="character" w:customStyle="1" w:styleId="79">
    <w:name w:val="正文文本首行缩进 字符"/>
    <w:link w:val="42"/>
    <w:qFormat/>
    <w:uiPriority w:val="0"/>
    <w:rPr>
      <w:kern w:val="2"/>
      <w:sz w:val="21"/>
      <w:szCs w:val="24"/>
    </w:rPr>
  </w:style>
  <w:style w:type="character" w:customStyle="1" w:styleId="80">
    <w:name w:val="正文文本首行缩进 2 字符"/>
    <w:link w:val="43"/>
    <w:qFormat/>
    <w:uiPriority w:val="99"/>
    <w:rPr>
      <w:rFonts w:ascii="Calibri" w:hAnsi="Calibri" w:eastAsia="宋体"/>
      <w:kern w:val="2"/>
      <w:sz w:val="21"/>
      <w:szCs w:val="22"/>
    </w:rPr>
  </w:style>
  <w:style w:type="paragraph" w:customStyle="1" w:styleId="81">
    <w:name w:val="样式 标题 1 + 四号 段前: 0 磅 段后: 0 磅 行距: 1.5 倍行距"/>
    <w:basedOn w:val="82"/>
    <w:next w:val="83"/>
    <w:qFormat/>
    <w:uiPriority w:val="99"/>
    <w:pPr>
      <w:jc w:val="center"/>
    </w:pPr>
  </w:style>
  <w:style w:type="paragraph" w:customStyle="1" w:styleId="82">
    <w:name w:val="1正文"/>
    <w:qFormat/>
    <w:uiPriority w:val="0"/>
    <w:pPr>
      <w:snapToGrid w:val="0"/>
      <w:spacing w:line="360" w:lineRule="auto"/>
      <w:ind w:firstLine="200" w:firstLineChars="200"/>
      <w:jc w:val="both"/>
    </w:pPr>
    <w:rPr>
      <w:rFonts w:ascii="Tms Rmn" w:hAnsi="Tms Rmn" w:eastAsia="華康中楷體" w:cs="??"/>
      <w:kern w:val="2"/>
      <w:sz w:val="24"/>
      <w:szCs w:val="24"/>
      <w:lang w:val="en-US" w:eastAsia="zh-CN" w:bidi="ar-SA"/>
    </w:rPr>
  </w:style>
  <w:style w:type="paragraph" w:customStyle="1" w:styleId="83">
    <w:name w:val="文本正文"/>
    <w:basedOn w:val="1"/>
    <w:qFormat/>
    <w:uiPriority w:val="0"/>
    <w:pPr>
      <w:snapToGrid w:val="0"/>
      <w:spacing w:line="360" w:lineRule="auto"/>
      <w:ind w:firstLine="510"/>
      <w:jc w:val="left"/>
    </w:pPr>
    <w:rPr>
      <w:spacing w:val="4"/>
      <w:kern w:val="24"/>
      <w:lang w:val="zh-CN"/>
    </w:rPr>
  </w:style>
  <w:style w:type="character" w:customStyle="1" w:styleId="84">
    <w:name w:val="正文文本 字符1"/>
    <w:semiHidden/>
    <w:qFormat/>
    <w:uiPriority w:val="0"/>
    <w:rPr>
      <w:rFonts w:ascii="Times New Roman" w:hAnsi="Times New Roman" w:eastAsia="宋体"/>
      <w:sz w:val="24"/>
    </w:rPr>
  </w:style>
  <w:style w:type="character" w:customStyle="1" w:styleId="85">
    <w:name w:val="页脚 字符"/>
    <w:qFormat/>
    <w:uiPriority w:val="99"/>
  </w:style>
  <w:style w:type="character" w:customStyle="1" w:styleId="86">
    <w:name w:val="批注文字 字符1"/>
    <w:semiHidden/>
    <w:qFormat/>
    <w:uiPriority w:val="0"/>
    <w:rPr>
      <w:rFonts w:ascii="Times New Roman" w:hAnsi="Times New Roman" w:eastAsia="宋体"/>
      <w:sz w:val="24"/>
    </w:rPr>
  </w:style>
  <w:style w:type="character" w:customStyle="1" w:styleId="87">
    <w:name w:val="日期 字符"/>
    <w:semiHidden/>
    <w:qFormat/>
    <w:uiPriority w:val="0"/>
    <w:rPr>
      <w:rFonts w:ascii="Times New Roman" w:hAnsi="Times New Roman" w:eastAsia="宋体"/>
      <w:sz w:val="24"/>
    </w:rPr>
  </w:style>
  <w:style w:type="character" w:customStyle="1" w:styleId="88">
    <w:name w:val="表格 Char"/>
    <w:link w:val="89"/>
    <w:qFormat/>
    <w:uiPriority w:val="0"/>
    <w:rPr>
      <w:rFonts w:ascii="宋体"/>
      <w:sz w:val="21"/>
    </w:rPr>
  </w:style>
  <w:style w:type="paragraph" w:customStyle="1" w:styleId="89">
    <w:name w:val="表格"/>
    <w:basedOn w:val="61"/>
    <w:link w:val="88"/>
    <w:qFormat/>
    <w:uiPriority w:val="0"/>
    <w:pPr>
      <w:adjustRightInd w:val="0"/>
      <w:snapToGrid w:val="0"/>
      <w:spacing w:beforeLines="10" w:afterLines="10" w:line="259" w:lineRule="auto"/>
      <w:jc w:val="center"/>
    </w:pPr>
    <w:rPr>
      <w:rFonts w:ascii="宋体"/>
    </w:rPr>
  </w:style>
  <w:style w:type="character" w:customStyle="1" w:styleId="90">
    <w:name w:val="Char Char3"/>
    <w:qFormat/>
    <w:uiPriority w:val="0"/>
    <w:rPr>
      <w:rFonts w:hint="eastAsia" w:ascii="宋体" w:hAnsi="宋体" w:eastAsia="宋体"/>
      <w:kern w:val="2"/>
      <w:sz w:val="28"/>
      <w:szCs w:val="24"/>
      <w:lang w:val="en-US" w:eastAsia="zh-CN" w:bidi="ar-SA"/>
    </w:rPr>
  </w:style>
  <w:style w:type="paragraph" w:customStyle="1" w:styleId="9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普通(网站)2"/>
    <w:basedOn w:val="1"/>
    <w:qFormat/>
    <w:uiPriority w:val="0"/>
    <w:pPr>
      <w:widowControl/>
      <w:spacing w:before="100" w:beforeAutospacing="1" w:after="100" w:afterAutospacing="1"/>
      <w:jc w:val="left"/>
    </w:pPr>
    <w:rPr>
      <w:rFonts w:ascii="宋体" w:hAnsi="宋体"/>
      <w:sz w:val="24"/>
    </w:rPr>
  </w:style>
  <w:style w:type="paragraph" w:customStyle="1" w:styleId="93">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94">
    <w:name w:val="表格文字1"/>
    <w:basedOn w:val="95"/>
    <w:next w:val="93"/>
    <w:qFormat/>
    <w:uiPriority w:val="0"/>
    <w:pPr>
      <w:adjustRightInd w:val="0"/>
      <w:snapToGrid w:val="0"/>
      <w:jc w:val="center"/>
    </w:pPr>
    <w:rPr>
      <w:snapToGrid w:val="0"/>
      <w:szCs w:val="21"/>
    </w:rPr>
  </w:style>
  <w:style w:type="paragraph" w:customStyle="1" w:styleId="95">
    <w:name w:val="表格中文字"/>
    <w:basedOn w:val="1"/>
    <w:qFormat/>
    <w:uiPriority w:val="0"/>
    <w:rPr>
      <w:szCs w:val="52"/>
    </w:rPr>
  </w:style>
  <w:style w:type="paragraph" w:customStyle="1" w:styleId="96">
    <w:name w:val="Default"/>
    <w:basedOn w:val="97"/>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98">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
    <w:name w:val="AA正文"/>
    <w:basedOn w:val="1"/>
    <w:qFormat/>
    <w:uiPriority w:val="99"/>
    <w:pPr>
      <w:ind w:firstLine="800"/>
    </w:pPr>
  </w:style>
  <w:style w:type="paragraph" w:customStyle="1" w:styleId="100">
    <w:name w:val="123456"/>
    <w:basedOn w:val="1"/>
    <w:qFormat/>
    <w:uiPriority w:val="0"/>
    <w:pPr>
      <w:spacing w:line="360" w:lineRule="auto"/>
      <w:ind w:firstLine="200" w:firstLineChars="200"/>
    </w:pPr>
    <w:rPr>
      <w:sz w:val="24"/>
    </w:rPr>
  </w:style>
  <w:style w:type="paragraph" w:styleId="101">
    <w:name w:val="List Paragraph"/>
    <w:basedOn w:val="1"/>
    <w:link w:val="102"/>
    <w:qFormat/>
    <w:uiPriority w:val="1"/>
    <w:pPr>
      <w:ind w:firstLine="420" w:firstLineChars="200"/>
    </w:pPr>
    <w:rPr>
      <w:rFonts w:ascii="Calibri" w:hAnsi="Calibri"/>
      <w:szCs w:val="22"/>
    </w:rPr>
  </w:style>
  <w:style w:type="character" w:customStyle="1" w:styleId="102">
    <w:name w:val="列表段落 字符"/>
    <w:link w:val="101"/>
    <w:qFormat/>
    <w:uiPriority w:val="1"/>
    <w:rPr>
      <w:rFonts w:ascii="Calibri" w:hAnsi="Calibri"/>
      <w:kern w:val="2"/>
      <w:sz w:val="21"/>
      <w:szCs w:val="22"/>
    </w:rPr>
  </w:style>
  <w:style w:type="character" w:customStyle="1" w:styleId="103">
    <w:name w:val="注释标题 Char"/>
    <w:qFormat/>
    <w:uiPriority w:val="0"/>
    <w:rPr>
      <w:kern w:val="2"/>
      <w:sz w:val="21"/>
      <w:szCs w:val="24"/>
    </w:rPr>
  </w:style>
  <w:style w:type="paragraph" w:customStyle="1" w:styleId="104">
    <w:name w:val="正文文本缩进 21"/>
    <w:basedOn w:val="1"/>
    <w:qFormat/>
    <w:uiPriority w:val="0"/>
    <w:pPr>
      <w:spacing w:after="120" w:line="480" w:lineRule="auto"/>
      <w:ind w:left="420" w:leftChars="200"/>
    </w:pPr>
    <w:rPr>
      <w:rFonts w:ascii="Calibri" w:hAnsi="Calibri"/>
      <w:szCs w:val="22"/>
    </w:rPr>
  </w:style>
  <w:style w:type="paragraph" w:customStyle="1" w:styleId="105">
    <w:name w:val="Table Paragraph"/>
    <w:basedOn w:val="1"/>
    <w:qFormat/>
    <w:uiPriority w:val="1"/>
    <w:pPr>
      <w:jc w:val="left"/>
    </w:pPr>
    <w:rPr>
      <w:rFonts w:ascii="Calibri" w:hAnsi="Calibri"/>
      <w:sz w:val="22"/>
      <w:szCs w:val="22"/>
      <w:lang w:eastAsia="en-US"/>
    </w:rPr>
  </w:style>
  <w:style w:type="paragraph" w:customStyle="1" w:styleId="106">
    <w:name w:val="Char Char Char Char"/>
    <w:basedOn w:val="1"/>
    <w:qFormat/>
    <w:uiPriority w:val="0"/>
    <w:pPr>
      <w:adjustRightInd w:val="0"/>
      <w:snapToGrid w:val="0"/>
      <w:spacing w:line="360" w:lineRule="auto"/>
      <w:ind w:firstLine="200" w:firstLineChars="200"/>
    </w:pPr>
    <w:rPr>
      <w:sz w:val="24"/>
    </w:rPr>
  </w:style>
  <w:style w:type="character" w:customStyle="1" w:styleId="107">
    <w:name w:val="font41"/>
    <w:qFormat/>
    <w:uiPriority w:val="0"/>
    <w:rPr>
      <w:rFonts w:hint="eastAsia" w:ascii="宋体" w:hAnsi="宋体" w:eastAsia="宋体" w:cs="宋体"/>
      <w:b/>
      <w:color w:val="000000"/>
      <w:kern w:val="0"/>
      <w:sz w:val="21"/>
      <w:szCs w:val="21"/>
      <w:u w:val="none"/>
      <w:lang w:eastAsia="en-US"/>
    </w:rPr>
  </w:style>
  <w:style w:type="character" w:customStyle="1" w:styleId="108">
    <w:name w:val="font01"/>
    <w:qFormat/>
    <w:uiPriority w:val="0"/>
    <w:rPr>
      <w:rFonts w:hint="eastAsia" w:ascii="宋体" w:hAnsi="宋体" w:eastAsia="宋体" w:cs="宋体"/>
      <w:b/>
      <w:color w:val="000000"/>
      <w:kern w:val="0"/>
      <w:sz w:val="20"/>
      <w:szCs w:val="20"/>
      <w:u w:val="none"/>
      <w:lang w:eastAsia="en-US"/>
    </w:rPr>
  </w:style>
  <w:style w:type="character" w:customStyle="1" w:styleId="109">
    <w:name w:val="font81"/>
    <w:qFormat/>
    <w:uiPriority w:val="0"/>
    <w:rPr>
      <w:rFonts w:hint="eastAsia" w:ascii="宋体" w:hAnsi="宋体" w:eastAsia="宋体" w:cs="宋体"/>
      <w:color w:val="000000"/>
      <w:kern w:val="0"/>
      <w:sz w:val="21"/>
      <w:szCs w:val="21"/>
      <w:u w:val="none"/>
      <w:lang w:eastAsia="en-US"/>
    </w:rPr>
  </w:style>
  <w:style w:type="character" w:customStyle="1" w:styleId="110">
    <w:name w:val="font91"/>
    <w:qFormat/>
    <w:uiPriority w:val="0"/>
    <w:rPr>
      <w:rFonts w:hint="eastAsia" w:ascii="宋体" w:hAnsi="宋体" w:eastAsia="宋体" w:cs="宋体"/>
      <w:color w:val="000000"/>
      <w:kern w:val="0"/>
      <w:sz w:val="21"/>
      <w:szCs w:val="21"/>
      <w:u w:val="none"/>
      <w:vertAlign w:val="superscript"/>
      <w:lang w:eastAsia="en-US"/>
    </w:rPr>
  </w:style>
  <w:style w:type="character" w:customStyle="1" w:styleId="111">
    <w:name w:val="font11"/>
    <w:qFormat/>
    <w:uiPriority w:val="0"/>
    <w:rPr>
      <w:rFonts w:hint="default" w:ascii="Times New Roman" w:hAnsi="Times New Roman" w:eastAsia="仿宋_GB2312" w:cs="Times New Roman"/>
      <w:b/>
      <w:color w:val="000000"/>
      <w:kern w:val="0"/>
      <w:sz w:val="21"/>
      <w:szCs w:val="21"/>
      <w:u w:val="none"/>
      <w:vertAlign w:val="superscript"/>
      <w:lang w:eastAsia="en-US"/>
    </w:rPr>
  </w:style>
  <w:style w:type="character" w:customStyle="1" w:styleId="112">
    <w:name w:val="govicon"/>
    <w:qFormat/>
    <w:uiPriority w:val="0"/>
  </w:style>
  <w:style w:type="paragraph" w:customStyle="1" w:styleId="113">
    <w:name w:val="表内容"/>
    <w:basedOn w:val="1"/>
    <w:link w:val="114"/>
    <w:qFormat/>
    <w:uiPriority w:val="0"/>
    <w:pPr>
      <w:jc w:val="center"/>
    </w:pPr>
    <w:rPr>
      <w:rFonts w:eastAsia="仿宋"/>
      <w:szCs w:val="22"/>
    </w:rPr>
  </w:style>
  <w:style w:type="character" w:customStyle="1" w:styleId="114">
    <w:name w:val="表内容 Char"/>
    <w:link w:val="113"/>
    <w:qFormat/>
    <w:uiPriority w:val="0"/>
    <w:rPr>
      <w:rFonts w:eastAsia="仿宋"/>
      <w:kern w:val="2"/>
      <w:sz w:val="21"/>
      <w:szCs w:val="22"/>
    </w:rPr>
  </w:style>
  <w:style w:type="character" w:customStyle="1" w:styleId="115">
    <w:name w:val="NormalCharacter"/>
    <w:qFormat/>
    <w:uiPriority w:val="0"/>
  </w:style>
  <w:style w:type="character" w:customStyle="1" w:styleId="116">
    <w:name w:val="trumbowyg-msg-error"/>
    <w:qFormat/>
    <w:uiPriority w:val="0"/>
    <w:rPr>
      <w:color w:val="E74C3C"/>
    </w:rPr>
  </w:style>
  <w:style w:type="character" w:customStyle="1" w:styleId="117">
    <w:name w:val="trumbowyg-msg-error1"/>
    <w:qFormat/>
    <w:uiPriority w:val="0"/>
    <w:rPr>
      <w:color w:val="E74C3C"/>
    </w:rPr>
  </w:style>
  <w:style w:type="character" w:customStyle="1" w:styleId="118">
    <w:name w:val="fontstrikethrough"/>
    <w:qFormat/>
    <w:uiPriority w:val="0"/>
    <w:rPr>
      <w:strike/>
    </w:rPr>
  </w:style>
  <w:style w:type="character" w:customStyle="1" w:styleId="119">
    <w:name w:val="hidden"/>
    <w:qFormat/>
    <w:uiPriority w:val="0"/>
    <w:rPr>
      <w:vanish/>
    </w:rPr>
  </w:style>
  <w:style w:type="character" w:customStyle="1" w:styleId="120">
    <w:name w:val="fontborder"/>
    <w:qFormat/>
    <w:uiPriority w:val="0"/>
    <w:rPr>
      <w:bdr w:val="single" w:color="000000" w:sz="6" w:space="0"/>
    </w:rPr>
  </w:style>
  <w:style w:type="character" w:customStyle="1" w:styleId="121">
    <w:name w:val="two-lines"/>
    <w:qFormat/>
    <w:uiPriority w:val="0"/>
  </w:style>
  <w:style w:type="character" w:customStyle="1" w:styleId="122">
    <w:name w:val="one-lines"/>
    <w:qFormat/>
    <w:uiPriority w:val="0"/>
  </w:style>
  <w:style w:type="character" w:customStyle="1" w:styleId="123">
    <w:name w:val="hidden3"/>
    <w:qFormat/>
    <w:uiPriority w:val="0"/>
    <w:rPr>
      <w:vanish/>
    </w:rPr>
  </w:style>
  <w:style w:type="character" w:customStyle="1" w:styleId="124">
    <w:name w:val="正文文本 Char1"/>
    <w:qFormat/>
    <w:uiPriority w:val="0"/>
    <w:rPr>
      <w:rFonts w:eastAsia="宋体"/>
      <w:kern w:val="2"/>
      <w:sz w:val="28"/>
      <w:szCs w:val="24"/>
      <w:lang w:val="en-US" w:eastAsia="zh-CN" w:bidi="ar-SA"/>
    </w:rPr>
  </w:style>
  <w:style w:type="paragraph" w:customStyle="1" w:styleId="125">
    <w:name w:val="11"/>
    <w:basedOn w:val="17"/>
    <w:qFormat/>
    <w:uiPriority w:val="0"/>
    <w:pPr>
      <w:widowControl w:val="0"/>
      <w:autoSpaceDE w:val="0"/>
      <w:autoSpaceDN w:val="0"/>
      <w:adjustRightInd w:val="0"/>
      <w:snapToGrid/>
      <w:spacing w:before="0" w:after="0" w:line="360" w:lineRule="auto"/>
      <w:ind w:right="0" w:firstLine="1320" w:firstLineChars="550"/>
      <w:textAlignment w:val="baseline"/>
    </w:pPr>
    <w:rPr>
      <w:kern w:val="2"/>
      <w:sz w:val="24"/>
      <w:szCs w:val="24"/>
    </w:rPr>
  </w:style>
  <w:style w:type="character" w:customStyle="1" w:styleId="126">
    <w:name w:val="ggzbt011"/>
    <w:qFormat/>
    <w:uiPriority w:val="0"/>
  </w:style>
  <w:style w:type="paragraph" w:customStyle="1" w:styleId="127">
    <w:name w:val="z表格"/>
    <w:basedOn w:val="1"/>
    <w:qFormat/>
    <w:uiPriority w:val="0"/>
    <w:pPr>
      <w:widowControl/>
      <w:spacing w:line="360" w:lineRule="exact"/>
      <w:jc w:val="center"/>
    </w:pPr>
    <w:rPr>
      <w:szCs w:val="21"/>
    </w:rPr>
  </w:style>
  <w:style w:type="paragraph" w:customStyle="1" w:styleId="128">
    <w:name w:val="制表格"/>
    <w:basedOn w:val="1"/>
    <w:qFormat/>
    <w:uiPriority w:val="0"/>
    <w:pPr>
      <w:jc w:val="center"/>
    </w:pPr>
    <w:rPr>
      <w:snapToGrid w:val="0"/>
      <w:szCs w:val="28"/>
    </w:rPr>
  </w:style>
  <w:style w:type="character" w:customStyle="1" w:styleId="129">
    <w:name w:val="正文文本 字符"/>
    <w:qFormat/>
    <w:uiPriority w:val="0"/>
    <w:rPr>
      <w:sz w:val="18"/>
    </w:rPr>
  </w:style>
  <w:style w:type="paragraph" w:customStyle="1" w:styleId="130">
    <w:name w:val="Char Char Char1 Char"/>
    <w:basedOn w:val="1"/>
    <w:qFormat/>
    <w:uiPriority w:val="99"/>
    <w:pPr>
      <w:widowControl/>
      <w:jc w:val="left"/>
    </w:pPr>
  </w:style>
  <w:style w:type="paragraph" w:customStyle="1" w:styleId="131">
    <w:name w:val="Char Char Char Char Char Char Char Char Char Char Char Char Char Char Char Char Char Char Char"/>
    <w:basedOn w:val="1"/>
    <w:semiHidden/>
    <w:qFormat/>
    <w:uiPriority w:val="0"/>
    <w:rPr>
      <w:snapToGrid w:val="0"/>
    </w:rPr>
  </w:style>
  <w:style w:type="paragraph" w:customStyle="1" w:styleId="132">
    <w:name w:val="样式 1正文 + (中文) 宋体 小四 黑色 首行缩进:  1.96 字符 行距: 1.5 倍行距"/>
    <w:basedOn w:val="1"/>
    <w:qFormat/>
    <w:uiPriority w:val="0"/>
    <w:pPr>
      <w:spacing w:line="360" w:lineRule="auto"/>
      <w:ind w:firstLine="196" w:firstLineChars="196"/>
    </w:pPr>
    <w:rPr>
      <w:rFonts w:cs="宋体"/>
      <w:snapToGrid w:val="0"/>
      <w:color w:val="000000"/>
      <w:kern w:val="28"/>
      <w:sz w:val="24"/>
    </w:rPr>
  </w:style>
  <w:style w:type="paragraph" w:customStyle="1" w:styleId="133">
    <w:name w:val="样式 标题 4款标题1.1.1.1标题 4XW Char标题 4XW Char Char标题 4 Char标题 4XW..."/>
    <w:basedOn w:val="6"/>
    <w:link w:val="134"/>
    <w:qFormat/>
    <w:uiPriority w:val="0"/>
    <w:pPr>
      <w:spacing w:before="31" w:beforeLines="10" w:after="31" w:afterLines="10" w:line="360" w:lineRule="auto"/>
      <w:ind w:right="238"/>
      <w:jc w:val="left"/>
    </w:pPr>
    <w:rPr>
      <w:rFonts w:ascii="Times New Roman" w:hAnsi="Times New Roman" w:cs="宋体"/>
      <w:bCs w:val="0"/>
      <w:snapToGrid w:val="0"/>
      <w:sz w:val="24"/>
      <w:szCs w:val="20"/>
    </w:rPr>
  </w:style>
  <w:style w:type="character" w:customStyle="1" w:styleId="134">
    <w:name w:val="样式 标题 4款标题1.1.1.1标题 4XW Char标题 4XW Char Char标题 4 Char标题 4XW... Char"/>
    <w:link w:val="133"/>
    <w:qFormat/>
    <w:uiPriority w:val="0"/>
    <w:rPr>
      <w:rFonts w:cs="宋体"/>
      <w:b/>
      <w:snapToGrid/>
      <w:sz w:val="24"/>
    </w:rPr>
  </w:style>
  <w:style w:type="character" w:customStyle="1" w:styleId="135">
    <w:name w:val="正文缩进 字符"/>
    <w:qFormat/>
    <w:uiPriority w:val="0"/>
    <w:rPr>
      <w:kern w:val="24"/>
      <w:sz w:val="28"/>
      <w:szCs w:val="24"/>
    </w:rPr>
  </w:style>
  <w:style w:type="character" w:customStyle="1" w:styleId="136">
    <w:name w:val="无间隔 字符"/>
    <w:link w:val="137"/>
    <w:qFormat/>
    <w:uiPriority w:val="1"/>
    <w:rPr>
      <w:color w:val="000000"/>
      <w:kern w:val="2"/>
      <w:sz w:val="24"/>
      <w:szCs w:val="24"/>
    </w:rPr>
  </w:style>
  <w:style w:type="paragraph" w:styleId="137">
    <w:name w:val="No Spacing"/>
    <w:basedOn w:val="1"/>
    <w:link w:val="136"/>
    <w:qFormat/>
    <w:uiPriority w:val="1"/>
    <w:pPr>
      <w:spacing w:line="500" w:lineRule="exact"/>
      <w:ind w:firstLine="200" w:firstLineChars="200"/>
    </w:pPr>
    <w:rPr>
      <w:color w:val="000000"/>
      <w:sz w:val="24"/>
    </w:rPr>
  </w:style>
  <w:style w:type="paragraph" w:customStyle="1" w:styleId="138">
    <w:name w:val="Char Char Char1 Char1"/>
    <w:basedOn w:val="1"/>
    <w:qFormat/>
    <w:uiPriority w:val="0"/>
    <w:pPr>
      <w:widowControl/>
      <w:jc w:val="left"/>
    </w:pPr>
  </w:style>
  <w:style w:type="character" w:customStyle="1" w:styleId="139">
    <w:name w:val="普通(网站) 字符"/>
    <w:qFormat/>
    <w:uiPriority w:val="0"/>
    <w:rPr>
      <w:rFonts w:ascii="宋体" w:hAnsi="宋体"/>
      <w:sz w:val="24"/>
      <w:lang w:val="zh-CN" w:eastAsia="zh-CN"/>
    </w:rPr>
  </w:style>
  <w:style w:type="character" w:customStyle="1" w:styleId="140">
    <w:name w:val="文 Char"/>
    <w:link w:val="141"/>
    <w:qFormat/>
    <w:uiPriority w:val="0"/>
    <w:rPr>
      <w:kern w:val="2"/>
      <w:sz w:val="28"/>
      <w:szCs w:val="28"/>
    </w:rPr>
  </w:style>
  <w:style w:type="paragraph" w:customStyle="1" w:styleId="141">
    <w:name w:val="文"/>
    <w:basedOn w:val="1"/>
    <w:link w:val="140"/>
    <w:qFormat/>
    <w:uiPriority w:val="0"/>
    <w:pPr>
      <w:tabs>
        <w:tab w:val="left" w:pos="142"/>
      </w:tabs>
      <w:spacing w:line="360" w:lineRule="auto"/>
      <w:ind w:right="-2" w:firstLine="560" w:firstLineChars="200"/>
    </w:pPr>
    <w:rPr>
      <w:sz w:val="28"/>
      <w:szCs w:val="28"/>
    </w:rPr>
  </w:style>
  <w:style w:type="character" w:customStyle="1" w:styleId="142">
    <w:name w:val="批注文字 字符"/>
    <w:qFormat/>
    <w:uiPriority w:val="0"/>
    <w:rPr>
      <w:sz w:val="24"/>
      <w:lang w:val="zh-CN" w:eastAsia="zh-CN"/>
    </w:rPr>
  </w:style>
  <w:style w:type="character" w:customStyle="1" w:styleId="143">
    <w:name w:val="标题 2 字符"/>
    <w:basedOn w:val="46"/>
    <w:link w:val="3"/>
    <w:qFormat/>
    <w:uiPriority w:val="9"/>
    <w:rPr>
      <w:rFonts w:asciiTheme="majorHAnsi" w:hAnsiTheme="majorHAnsi" w:eastAsiaTheme="majorEastAsia" w:cstheme="majorBidi"/>
      <w:b/>
      <w:bCs/>
      <w:kern w:val="2"/>
      <w:sz w:val="32"/>
      <w:szCs w:val="32"/>
    </w:rPr>
  </w:style>
  <w:style w:type="character" w:customStyle="1" w:styleId="144">
    <w:name w:val="标题 1 字符"/>
    <w:basedOn w:val="46"/>
    <w:link w:val="2"/>
    <w:qFormat/>
    <w:uiPriority w:val="0"/>
    <w:rPr>
      <w:rFonts w:eastAsia="黑体"/>
      <w:b/>
      <w:bCs/>
      <w:color w:val="000000"/>
      <w:kern w:val="44"/>
      <w:sz w:val="30"/>
      <w:szCs w:val="30"/>
    </w:rPr>
  </w:style>
  <w:style w:type="paragraph" w:customStyle="1" w:styleId="145">
    <w:name w:val="Char Char Char1 Char2"/>
    <w:basedOn w:val="1"/>
    <w:qFormat/>
    <w:uiPriority w:val="0"/>
    <w:pPr>
      <w:widowControl/>
      <w:jc w:val="left"/>
    </w:pPr>
    <w:rPr>
      <w:kern w:val="2"/>
      <w:sz w:val="21"/>
    </w:rPr>
  </w:style>
  <w:style w:type="paragraph" w:customStyle="1" w:styleId="146">
    <w:name w:val="表内文字"/>
    <w:basedOn w:val="1"/>
    <w:link w:val="147"/>
    <w:qFormat/>
    <w:uiPriority w:val="0"/>
    <w:pPr>
      <w:adjustRightInd w:val="0"/>
      <w:snapToGrid w:val="0"/>
      <w:spacing w:line="320" w:lineRule="exact"/>
      <w:jc w:val="center"/>
    </w:pPr>
    <w:rPr>
      <w:kern w:val="2"/>
      <w:sz w:val="21"/>
    </w:rPr>
  </w:style>
  <w:style w:type="character" w:customStyle="1" w:styleId="147">
    <w:name w:val="表内文字 Char"/>
    <w:link w:val="146"/>
    <w:qFormat/>
    <w:uiPriority w:val="0"/>
    <w:rPr>
      <w:kern w:val="2"/>
      <w:sz w:val="21"/>
    </w:rPr>
  </w:style>
  <w:style w:type="character" w:customStyle="1" w:styleId="148">
    <w:name w:val="无间隔 字符1"/>
    <w:qFormat/>
    <w:uiPriority w:val="1"/>
    <w:rPr>
      <w:color w:val="000000"/>
      <w:kern w:val="2"/>
      <w:sz w:val="24"/>
      <w:szCs w:val="24"/>
    </w:rPr>
  </w:style>
  <w:style w:type="character" w:customStyle="1" w:styleId="149">
    <w:name w:val="纯文本 字符"/>
    <w:qFormat/>
    <w:uiPriority w:val="0"/>
    <w:rPr>
      <w:rFonts w:ascii="宋体" w:hAnsi="Courier New"/>
      <w:kern w:val="2"/>
      <w:sz w:val="21"/>
      <w:szCs w:val="21"/>
    </w:rPr>
  </w:style>
  <w:style w:type="paragraph" w:customStyle="1" w:styleId="150">
    <w:name w:val="正文 二院"/>
    <w:basedOn w:val="1"/>
    <w:qFormat/>
    <w:uiPriority w:val="0"/>
    <w:pPr>
      <w:spacing w:line="360" w:lineRule="auto"/>
      <w:ind w:firstLine="200" w:firstLineChars="200"/>
    </w:pPr>
    <w:rPr>
      <w:color w:val="000000"/>
      <w:kern w:val="2"/>
      <w:sz w:val="24"/>
      <w:szCs w:val="22"/>
    </w:rPr>
  </w:style>
  <w:style w:type="paragraph" w:customStyle="1" w:styleId="151">
    <w:name w:val="_Style 5"/>
    <w:qFormat/>
    <w:uiPriority w:val="0"/>
    <w:pPr>
      <w:widowControl w:val="0"/>
      <w:jc w:val="center"/>
    </w:pPr>
    <w:rPr>
      <w:rFonts w:ascii="Calibri" w:hAnsi="Calibri" w:eastAsia="宋体" w:cs="Times New Roman"/>
      <w:kern w:val="2"/>
      <w:sz w:val="21"/>
      <w:szCs w:val="22"/>
      <w:lang w:val="en-US" w:eastAsia="zh-CN" w:bidi="ar-SA"/>
    </w:rPr>
  </w:style>
  <w:style w:type="paragraph" w:customStyle="1" w:styleId="152">
    <w:name w:val="Char Char Char1 Char3"/>
    <w:basedOn w:val="1"/>
    <w:qFormat/>
    <w:uiPriority w:val="0"/>
    <w:pPr>
      <w:widowControl/>
      <w:jc w:val="left"/>
    </w:pPr>
    <w:rPr>
      <w:kern w:val="2"/>
      <w:sz w:val="21"/>
    </w:rPr>
  </w:style>
  <w:style w:type="character" w:customStyle="1" w:styleId="153">
    <w:name w:val="正文首行缩进1 Char"/>
    <w:link w:val="154"/>
    <w:qFormat/>
    <w:uiPriority w:val="0"/>
  </w:style>
  <w:style w:type="paragraph" w:customStyle="1" w:styleId="154">
    <w:name w:val="正文首行缩进1"/>
    <w:basedOn w:val="1"/>
    <w:link w:val="153"/>
    <w:qFormat/>
    <w:uiPriority w:val="0"/>
    <w:pPr>
      <w:spacing w:line="360" w:lineRule="auto"/>
      <w:ind w:firstLine="480" w:firstLineChars="200"/>
    </w:pPr>
  </w:style>
  <w:style w:type="character" w:customStyle="1" w:styleId="155">
    <w:name w:val="标准正文 Char"/>
    <w:link w:val="156"/>
    <w:qFormat/>
    <w:uiPriority w:val="0"/>
    <w:rPr>
      <w:rFonts w:ascii="Tahoma" w:hAnsi="宋体" w:eastAsia="黑体" w:cs="Tahoma"/>
      <w:color w:val="FF0000"/>
      <w:sz w:val="24"/>
      <w:szCs w:val="24"/>
    </w:rPr>
  </w:style>
  <w:style w:type="paragraph" w:customStyle="1" w:styleId="156">
    <w:name w:val="标准正文"/>
    <w:basedOn w:val="1"/>
    <w:link w:val="155"/>
    <w:qFormat/>
    <w:uiPriority w:val="0"/>
    <w:pPr>
      <w:autoSpaceDE w:val="0"/>
      <w:autoSpaceDN w:val="0"/>
      <w:adjustRightInd w:val="0"/>
      <w:snapToGrid w:val="0"/>
      <w:spacing w:line="360" w:lineRule="auto"/>
      <w:ind w:firstLine="480" w:firstLineChars="200"/>
      <w:contextualSpacing/>
      <w:jc w:val="left"/>
    </w:pPr>
    <w:rPr>
      <w:rFonts w:ascii="Tahoma" w:hAnsi="宋体" w:eastAsia="黑体" w:cs="Tahoma"/>
      <w:color w:val="FF0000"/>
      <w:sz w:val="24"/>
      <w:szCs w:val="24"/>
    </w:rPr>
  </w:style>
  <w:style w:type="character" w:customStyle="1" w:styleId="157">
    <w:name w:val="正文缩进 Char1"/>
    <w:qFormat/>
    <w:uiPriority w:val="0"/>
    <w:rPr>
      <w:rFonts w:ascii="宋体" w:eastAsia="宋体"/>
      <w:kern w:val="2"/>
      <w:sz w:val="24"/>
      <w:lang w:val="en-US" w:eastAsia="zh-CN" w:bidi="ar-SA"/>
    </w:rPr>
  </w:style>
  <w:style w:type="character" w:customStyle="1" w:styleId="158">
    <w:name w:val="ca-1"/>
    <w:basedOn w:val="46"/>
    <w:qFormat/>
    <w:uiPriority w:val="0"/>
    <w:rPr>
      <w:sz w:val="21"/>
    </w:rPr>
  </w:style>
  <w:style w:type="character" w:customStyle="1" w:styleId="159">
    <w:name w:val="网格型c Char Char"/>
    <w:basedOn w:val="46"/>
    <w:qFormat/>
    <w:uiPriority w:val="0"/>
    <w:rPr>
      <w:rFonts w:eastAsia="宋体"/>
      <w:kern w:val="2"/>
      <w:sz w:val="21"/>
      <w:szCs w:val="21"/>
      <w:lang w:val="en-US" w:eastAsia="zh-CN" w:bidi="ar-SA"/>
    </w:rPr>
  </w:style>
  <w:style w:type="character" w:customStyle="1" w:styleId="160">
    <w:name w:val="font101"/>
    <w:basedOn w:val="46"/>
    <w:qFormat/>
    <w:uiPriority w:val="0"/>
    <w:rPr>
      <w:rFonts w:hint="default" w:ascii="Times New Roman" w:hAnsi="Times New Roman" w:cs="Times New Roman"/>
      <w:color w:val="800000"/>
      <w:sz w:val="21"/>
      <w:szCs w:val="21"/>
      <w:u w:val="none"/>
      <w:vertAlign w:val="subscript"/>
    </w:rPr>
  </w:style>
  <w:style w:type="character" w:customStyle="1" w:styleId="161">
    <w:name w:val="ENFI表体 Char Char"/>
    <w:link w:val="162"/>
    <w:qFormat/>
    <w:uiPriority w:val="0"/>
    <w:rPr>
      <w:rFonts w:eastAsia="仿宋_GB2312"/>
      <w:sz w:val="24"/>
    </w:rPr>
  </w:style>
  <w:style w:type="paragraph" w:customStyle="1" w:styleId="162">
    <w:name w:val="ENFI表体"/>
    <w:basedOn w:val="1"/>
    <w:link w:val="161"/>
    <w:qFormat/>
    <w:uiPriority w:val="0"/>
    <w:pPr>
      <w:widowControl/>
      <w:adjustRightInd w:val="0"/>
      <w:snapToGrid w:val="0"/>
      <w:spacing w:line="240" w:lineRule="atLeast"/>
      <w:ind w:firstLine="200" w:firstLineChars="200"/>
      <w:jc w:val="center"/>
    </w:pPr>
    <w:rPr>
      <w:rFonts w:eastAsia="仿宋_GB2312"/>
      <w:sz w:val="24"/>
    </w:rPr>
  </w:style>
  <w:style w:type="character" w:customStyle="1" w:styleId="163">
    <w:name w:val="不明显强调1"/>
    <w:qFormat/>
    <w:uiPriority w:val="19"/>
    <w:rPr>
      <w:i/>
      <w:iCs/>
      <w:color w:val="404040"/>
    </w:rPr>
  </w:style>
  <w:style w:type="character" w:customStyle="1" w:styleId="164">
    <w:name w:val="正文文字 Char Char"/>
    <w:link w:val="165"/>
    <w:qFormat/>
    <w:uiPriority w:val="0"/>
    <w:rPr>
      <w:rFonts w:ascii="仿宋_GB2312" w:eastAsia="仿宋_GB2312"/>
      <w:color w:val="000000"/>
      <w:kern w:val="2"/>
      <w:sz w:val="24"/>
      <w:szCs w:val="24"/>
    </w:rPr>
  </w:style>
  <w:style w:type="paragraph" w:customStyle="1" w:styleId="165">
    <w:name w:val="正文文字"/>
    <w:basedOn w:val="1"/>
    <w:link w:val="164"/>
    <w:qFormat/>
    <w:uiPriority w:val="0"/>
    <w:pPr>
      <w:spacing w:line="460" w:lineRule="exact"/>
      <w:ind w:firstLine="480" w:firstLineChars="200"/>
    </w:pPr>
    <w:rPr>
      <w:rFonts w:ascii="仿宋_GB2312" w:eastAsia="仿宋_GB2312"/>
      <w:color w:val="000000"/>
      <w:kern w:val="2"/>
      <w:sz w:val="24"/>
      <w:szCs w:val="24"/>
    </w:rPr>
  </w:style>
  <w:style w:type="character" w:customStyle="1" w:styleId="166">
    <w:name w:val="manage_name"/>
    <w:basedOn w:val="46"/>
    <w:qFormat/>
    <w:uiPriority w:val="0"/>
    <w:rPr>
      <w:sz w:val="21"/>
    </w:rPr>
  </w:style>
  <w:style w:type="character" w:customStyle="1" w:styleId="167">
    <w:name w:val="尾注文本 字符"/>
    <w:basedOn w:val="46"/>
    <w:link w:val="26"/>
    <w:qFormat/>
    <w:uiPriority w:val="99"/>
    <w:rPr>
      <w:kern w:val="2"/>
      <w:sz w:val="24"/>
      <w:szCs w:val="24"/>
    </w:rPr>
  </w:style>
  <w:style w:type="character" w:customStyle="1" w:styleId="168">
    <w:name w:val="postbody1"/>
    <w:basedOn w:val="46"/>
    <w:qFormat/>
    <w:uiPriority w:val="0"/>
    <w:rPr>
      <w:sz w:val="18"/>
      <w:szCs w:val="18"/>
    </w:rPr>
  </w:style>
  <w:style w:type="character" w:customStyle="1" w:styleId="169">
    <w:name w:val="标题1"/>
    <w:basedOn w:val="46"/>
    <w:qFormat/>
    <w:uiPriority w:val="0"/>
    <w:rPr>
      <w:sz w:val="21"/>
    </w:rPr>
  </w:style>
  <w:style w:type="character" w:customStyle="1" w:styleId="170">
    <w:name w:val="报告 Char"/>
    <w:link w:val="171"/>
    <w:qFormat/>
    <w:uiPriority w:val="0"/>
  </w:style>
  <w:style w:type="paragraph" w:customStyle="1" w:styleId="171">
    <w:name w:val="报告"/>
    <w:basedOn w:val="1"/>
    <w:link w:val="170"/>
    <w:qFormat/>
    <w:uiPriority w:val="0"/>
    <w:pPr>
      <w:spacing w:line="500" w:lineRule="exact"/>
      <w:ind w:firstLine="480" w:firstLineChars="200"/>
    </w:pPr>
  </w:style>
  <w:style w:type="character" w:customStyle="1" w:styleId="172">
    <w:name w:val="三甲正文 Char"/>
    <w:link w:val="173"/>
    <w:qFormat/>
    <w:uiPriority w:val="0"/>
    <w:rPr>
      <w:rFonts w:ascii="宋体" w:hAnsi="宋体"/>
      <w:color w:val="000000"/>
      <w:kern w:val="2"/>
      <w:sz w:val="24"/>
      <w:szCs w:val="24"/>
    </w:rPr>
  </w:style>
  <w:style w:type="paragraph" w:customStyle="1" w:styleId="173">
    <w:name w:val="三甲正文"/>
    <w:basedOn w:val="1"/>
    <w:link w:val="172"/>
    <w:qFormat/>
    <w:uiPriority w:val="0"/>
    <w:pPr>
      <w:spacing w:line="360" w:lineRule="auto"/>
      <w:ind w:firstLine="480" w:firstLineChars="200"/>
    </w:pPr>
    <w:rPr>
      <w:rFonts w:ascii="宋体" w:hAnsi="宋体"/>
      <w:color w:val="000000"/>
      <w:kern w:val="2"/>
      <w:sz w:val="24"/>
      <w:szCs w:val="24"/>
    </w:rPr>
  </w:style>
  <w:style w:type="character" w:customStyle="1" w:styleId="174">
    <w:name w:val="正文文本缩进 2 字符"/>
    <w:basedOn w:val="46"/>
    <w:link w:val="25"/>
    <w:qFormat/>
    <w:uiPriority w:val="99"/>
    <w:rPr>
      <w:sz w:val="28"/>
    </w:rPr>
  </w:style>
  <w:style w:type="character" w:customStyle="1" w:styleId="175">
    <w:name w:val="font21"/>
    <w:qFormat/>
    <w:uiPriority w:val="0"/>
    <w:rPr>
      <w:rFonts w:hint="default" w:ascii="Times New Roman" w:hAnsi="Times New Roman" w:cs="Times New Roman"/>
      <w:color w:val="000000"/>
      <w:sz w:val="21"/>
      <w:szCs w:val="21"/>
    </w:rPr>
  </w:style>
  <w:style w:type="character" w:customStyle="1" w:styleId="176">
    <w:name w:val="font31"/>
    <w:qFormat/>
    <w:uiPriority w:val="0"/>
    <w:rPr>
      <w:rFonts w:hint="default" w:ascii="Times New Roman" w:hAnsi="Times New Roman" w:cs="Times New Roman"/>
      <w:color w:val="000000"/>
      <w:sz w:val="21"/>
      <w:szCs w:val="21"/>
      <w:vertAlign w:val="superscript"/>
    </w:rPr>
  </w:style>
  <w:style w:type="character" w:customStyle="1" w:styleId="177">
    <w:name w:val="纯文本 Char1"/>
    <w:qFormat/>
    <w:uiPriority w:val="0"/>
    <w:rPr>
      <w:rFonts w:hint="eastAsia" w:ascii="宋体" w:hAnsi="Courier New" w:eastAsia="宋体" w:cs="Courier New"/>
      <w:kern w:val="2"/>
      <w:sz w:val="21"/>
      <w:szCs w:val="21"/>
    </w:rPr>
  </w:style>
  <w:style w:type="character" w:customStyle="1" w:styleId="178">
    <w:name w:val="font51"/>
    <w:qFormat/>
    <w:uiPriority w:val="0"/>
    <w:rPr>
      <w:rFonts w:hint="default" w:ascii="Times New Roman" w:hAnsi="Times New Roman" w:cs="Times New Roman"/>
      <w:color w:val="000000"/>
      <w:sz w:val="21"/>
      <w:szCs w:val="21"/>
      <w:u w:val="none"/>
    </w:rPr>
  </w:style>
  <w:style w:type="character" w:customStyle="1" w:styleId="179">
    <w:name w:val="页眉 Char1"/>
    <w:basedOn w:val="46"/>
    <w:semiHidden/>
    <w:qFormat/>
    <w:uiPriority w:val="99"/>
    <w:rPr>
      <w:rFonts w:ascii="Times New Roman" w:hAnsi="Times New Roman"/>
      <w:kern w:val="2"/>
      <w:sz w:val="18"/>
      <w:szCs w:val="18"/>
    </w:rPr>
  </w:style>
  <w:style w:type="character" w:customStyle="1" w:styleId="180">
    <w:name w:val="批注文字 Char1"/>
    <w:basedOn w:val="46"/>
    <w:semiHidden/>
    <w:qFormat/>
    <w:uiPriority w:val="99"/>
    <w:rPr>
      <w:rFonts w:ascii="Times New Roman" w:hAnsi="Times New Roman"/>
      <w:kern w:val="2"/>
      <w:sz w:val="24"/>
    </w:rPr>
  </w:style>
  <w:style w:type="character" w:customStyle="1" w:styleId="181">
    <w:name w:val="纯文本 Char2"/>
    <w:basedOn w:val="46"/>
    <w:semiHidden/>
    <w:qFormat/>
    <w:uiPriority w:val="99"/>
    <w:rPr>
      <w:rFonts w:ascii="宋体" w:hAnsi="Courier New" w:cs="Courier New"/>
      <w:kern w:val="2"/>
      <w:sz w:val="21"/>
      <w:szCs w:val="21"/>
    </w:rPr>
  </w:style>
  <w:style w:type="character" w:customStyle="1" w:styleId="182">
    <w:name w:val="正文文本缩进 Char1"/>
    <w:basedOn w:val="46"/>
    <w:semiHidden/>
    <w:qFormat/>
    <w:uiPriority w:val="99"/>
    <w:rPr>
      <w:rFonts w:ascii="Times New Roman" w:hAnsi="Times New Roman"/>
      <w:kern w:val="2"/>
      <w:sz w:val="24"/>
    </w:rPr>
  </w:style>
  <w:style w:type="character" w:customStyle="1" w:styleId="183">
    <w:name w:val="文档结构图 Char1"/>
    <w:basedOn w:val="46"/>
    <w:semiHidden/>
    <w:qFormat/>
    <w:uiPriority w:val="99"/>
    <w:rPr>
      <w:rFonts w:ascii="宋体" w:hAnsi="Times New Roman"/>
      <w:kern w:val="2"/>
      <w:sz w:val="18"/>
      <w:szCs w:val="18"/>
    </w:rPr>
  </w:style>
  <w:style w:type="character" w:customStyle="1" w:styleId="184">
    <w:name w:val="正文文本缩进 2 Char1"/>
    <w:basedOn w:val="46"/>
    <w:semiHidden/>
    <w:qFormat/>
    <w:uiPriority w:val="99"/>
    <w:rPr>
      <w:rFonts w:ascii="Times New Roman" w:hAnsi="Times New Roman"/>
      <w:kern w:val="2"/>
      <w:sz w:val="24"/>
    </w:rPr>
  </w:style>
  <w:style w:type="character" w:customStyle="1" w:styleId="185">
    <w:name w:val="批注框文本 Char1"/>
    <w:basedOn w:val="46"/>
    <w:semiHidden/>
    <w:qFormat/>
    <w:uiPriority w:val="99"/>
    <w:rPr>
      <w:rFonts w:ascii="Times New Roman" w:hAnsi="Times New Roman"/>
      <w:kern w:val="2"/>
      <w:sz w:val="18"/>
      <w:szCs w:val="18"/>
    </w:rPr>
  </w:style>
  <w:style w:type="character" w:customStyle="1" w:styleId="186">
    <w:name w:val="正文文本缩进 3 字符"/>
    <w:basedOn w:val="46"/>
    <w:link w:val="37"/>
    <w:qFormat/>
    <w:uiPriority w:val="0"/>
    <w:rPr>
      <w:kern w:val="2"/>
      <w:sz w:val="24"/>
      <w:szCs w:val="24"/>
    </w:rPr>
  </w:style>
  <w:style w:type="character" w:customStyle="1" w:styleId="187">
    <w:name w:val="尾注文本 Char1"/>
    <w:basedOn w:val="46"/>
    <w:semiHidden/>
    <w:qFormat/>
    <w:uiPriority w:val="99"/>
  </w:style>
  <w:style w:type="character" w:customStyle="1" w:styleId="188">
    <w:name w:val="副标题 字符"/>
    <w:basedOn w:val="46"/>
    <w:link w:val="34"/>
    <w:qFormat/>
    <w:uiPriority w:val="11"/>
    <w:rPr>
      <w:rFonts w:ascii="Calibri" w:hAnsi="Calibri"/>
      <w:bCs/>
      <w:kern w:val="28"/>
      <w:sz w:val="21"/>
      <w:szCs w:val="32"/>
    </w:rPr>
  </w:style>
  <w:style w:type="paragraph" w:customStyle="1" w:styleId="189">
    <w:name w:val="123"/>
    <w:basedOn w:val="1"/>
    <w:qFormat/>
    <w:uiPriority w:val="0"/>
    <w:pPr>
      <w:spacing w:line="420" w:lineRule="exact"/>
      <w:ind w:firstLine="200" w:firstLineChars="200"/>
    </w:pPr>
    <w:rPr>
      <w:rFonts w:eastAsia="仿宋_GB2312"/>
      <w:kern w:val="2"/>
      <w:sz w:val="24"/>
      <w:szCs w:val="24"/>
    </w:rPr>
  </w:style>
  <w:style w:type="paragraph" w:customStyle="1" w:styleId="190">
    <w:name w:val="正文部分"/>
    <w:basedOn w:val="1"/>
    <w:semiHidden/>
    <w:qFormat/>
    <w:uiPriority w:val="0"/>
    <w:pPr>
      <w:spacing w:line="360" w:lineRule="auto"/>
      <w:ind w:firstLine="200" w:firstLineChars="200"/>
    </w:pPr>
    <w:rPr>
      <w:rFonts w:ascii="宋体" w:hAnsi="宋体"/>
      <w:snapToGrid w:val="0"/>
      <w:kern w:val="2"/>
      <w:sz w:val="28"/>
      <w:szCs w:val="28"/>
    </w:rPr>
  </w:style>
  <w:style w:type="paragraph" w:customStyle="1" w:styleId="191">
    <w:name w:val="表"/>
    <w:basedOn w:val="1"/>
    <w:next w:val="1"/>
    <w:qFormat/>
    <w:uiPriority w:val="0"/>
    <w:pPr>
      <w:adjustRightInd w:val="0"/>
      <w:spacing w:before="120" w:line="360" w:lineRule="auto"/>
      <w:ind w:firstLine="200" w:firstLineChars="200"/>
      <w:jc w:val="center"/>
      <w:textAlignment w:val="baseline"/>
    </w:pPr>
    <w:rPr>
      <w:sz w:val="24"/>
    </w:rPr>
  </w:style>
  <w:style w:type="character" w:customStyle="1" w:styleId="192">
    <w:name w:val="页脚 Char1"/>
    <w:basedOn w:val="46"/>
    <w:semiHidden/>
    <w:qFormat/>
    <w:uiPriority w:val="99"/>
    <w:rPr>
      <w:rFonts w:ascii="Times New Roman" w:hAnsi="Times New Roman"/>
      <w:kern w:val="2"/>
      <w:sz w:val="18"/>
      <w:szCs w:val="18"/>
    </w:rPr>
  </w:style>
  <w:style w:type="character" w:customStyle="1" w:styleId="193">
    <w:name w:val="日期 Char1"/>
    <w:basedOn w:val="46"/>
    <w:semiHidden/>
    <w:qFormat/>
    <w:uiPriority w:val="99"/>
    <w:rPr>
      <w:rFonts w:ascii="Times New Roman" w:hAnsi="Times New Roman"/>
      <w:kern w:val="2"/>
      <w:sz w:val="24"/>
    </w:rPr>
  </w:style>
  <w:style w:type="paragraph" w:customStyle="1" w:styleId="194">
    <w:name w:val="正文文本缩进 22"/>
    <w:basedOn w:val="1"/>
    <w:qFormat/>
    <w:uiPriority w:val="0"/>
    <w:pPr>
      <w:spacing w:line="360" w:lineRule="auto"/>
      <w:ind w:firstLine="480" w:firstLineChars="200"/>
    </w:pPr>
    <w:rPr>
      <w:kern w:val="2"/>
      <w:sz w:val="24"/>
      <w:szCs w:val="24"/>
    </w:rPr>
  </w:style>
  <w:style w:type="paragraph" w:customStyle="1" w:styleId="195">
    <w:name w:val="正文缩进1"/>
    <w:basedOn w:val="1"/>
    <w:qFormat/>
    <w:uiPriority w:val="0"/>
    <w:pPr>
      <w:spacing w:line="360" w:lineRule="auto"/>
      <w:ind w:firstLine="420" w:firstLineChars="200"/>
    </w:pPr>
    <w:rPr>
      <w:kern w:val="2"/>
      <w:sz w:val="24"/>
      <w:szCs w:val="24"/>
    </w:rPr>
  </w:style>
  <w:style w:type="paragraph" w:customStyle="1" w:styleId="196">
    <w:name w:val="标书正文"/>
    <w:basedOn w:val="1"/>
    <w:qFormat/>
    <w:uiPriority w:val="0"/>
    <w:pPr>
      <w:spacing w:line="360" w:lineRule="auto"/>
      <w:ind w:firstLine="480" w:firstLineChars="200"/>
    </w:pPr>
    <w:rPr>
      <w:kern w:val="2"/>
      <w:sz w:val="24"/>
      <w:szCs w:val="24"/>
    </w:rPr>
  </w:style>
  <w:style w:type="paragraph" w:customStyle="1" w:styleId="197">
    <w:name w:val="小四21"/>
    <w:basedOn w:val="1"/>
    <w:qFormat/>
    <w:uiPriority w:val="0"/>
    <w:pPr>
      <w:spacing w:line="440" w:lineRule="exact"/>
      <w:ind w:firstLine="200" w:firstLineChars="200"/>
    </w:pPr>
    <w:rPr>
      <w:rFonts w:eastAsia="仿宋_GB2312"/>
      <w:kern w:val="2"/>
      <w:sz w:val="24"/>
      <w:szCs w:val="24"/>
    </w:rPr>
  </w:style>
  <w:style w:type="paragraph" w:customStyle="1" w:styleId="198">
    <w:name w:val="表题"/>
    <w:basedOn w:val="1"/>
    <w:qFormat/>
    <w:uiPriority w:val="0"/>
    <w:pPr>
      <w:snapToGrid w:val="0"/>
      <w:spacing w:before="156" w:beforeLines="50" w:line="360" w:lineRule="auto"/>
      <w:ind w:firstLine="200" w:firstLineChars="200"/>
      <w:jc w:val="center"/>
    </w:pPr>
    <w:rPr>
      <w:b/>
      <w:color w:val="000000"/>
      <w:kern w:val="2"/>
      <w:sz w:val="24"/>
    </w:rPr>
  </w:style>
  <w:style w:type="paragraph" w:customStyle="1" w:styleId="199">
    <w:name w:val="报告书表格"/>
    <w:basedOn w:val="1"/>
    <w:qFormat/>
    <w:uiPriority w:val="99"/>
    <w:pPr>
      <w:adjustRightInd w:val="0"/>
      <w:spacing w:before="60" w:after="60" w:line="240" w:lineRule="atLeast"/>
      <w:ind w:firstLine="200" w:firstLineChars="200"/>
      <w:jc w:val="center"/>
    </w:pPr>
    <w:rPr>
      <w:sz w:val="24"/>
    </w:rPr>
  </w:style>
  <w:style w:type="paragraph" w:customStyle="1" w:styleId="200">
    <w:name w:val="中文报告书样式"/>
    <w:basedOn w:val="1"/>
    <w:qFormat/>
    <w:uiPriority w:val="99"/>
    <w:pPr>
      <w:adjustRightInd w:val="0"/>
      <w:spacing w:line="480" w:lineRule="atLeast"/>
      <w:ind w:firstLine="482" w:firstLineChars="200"/>
      <w:textAlignment w:val="baseline"/>
    </w:pPr>
    <w:rPr>
      <w:kern w:val="24"/>
      <w:sz w:val="24"/>
    </w:rPr>
  </w:style>
  <w:style w:type="paragraph" w:customStyle="1" w:styleId="201">
    <w:name w:val="正文缩"/>
    <w:basedOn w:val="1"/>
    <w:qFormat/>
    <w:uiPriority w:val="0"/>
    <w:pPr>
      <w:adjustRightInd w:val="0"/>
      <w:snapToGrid w:val="0"/>
      <w:spacing w:line="480" w:lineRule="atLeast"/>
      <w:ind w:firstLine="567" w:firstLineChars="200"/>
    </w:pPr>
    <w:rPr>
      <w:rFonts w:hint="eastAsia" w:ascii="宋体"/>
      <w:spacing w:val="6"/>
      <w:sz w:val="28"/>
    </w:rPr>
  </w:style>
  <w:style w:type="paragraph" w:customStyle="1" w:styleId="202">
    <w:name w:val="填表内容"/>
    <w:basedOn w:val="1"/>
    <w:qFormat/>
    <w:uiPriority w:val="0"/>
    <w:pPr>
      <w:adjustRightInd w:val="0"/>
      <w:spacing w:line="480" w:lineRule="exact"/>
      <w:ind w:firstLine="560" w:firstLineChars="200"/>
      <w:jc w:val="left"/>
      <w:textAlignment w:val="baseline"/>
    </w:pPr>
    <w:rPr>
      <w:rFonts w:ascii="楷体_GB2312" w:eastAsia="楷体_GB2312"/>
      <w:kern w:val="2"/>
      <w:sz w:val="28"/>
    </w:rPr>
  </w:style>
  <w:style w:type="paragraph" w:customStyle="1" w:styleId="203">
    <w:name w:val="列出段落1"/>
    <w:basedOn w:val="1"/>
    <w:qFormat/>
    <w:uiPriority w:val="34"/>
    <w:pPr>
      <w:spacing w:line="360" w:lineRule="auto"/>
      <w:ind w:firstLine="420" w:firstLineChars="200"/>
    </w:pPr>
    <w:rPr>
      <w:kern w:val="2"/>
      <w:sz w:val="24"/>
    </w:rPr>
  </w:style>
  <w:style w:type="paragraph" w:customStyle="1" w:styleId="204">
    <w:name w:val="样式 小四 行距: 1.5 倍行距"/>
    <w:basedOn w:val="1"/>
    <w:qFormat/>
    <w:uiPriority w:val="0"/>
    <w:pPr>
      <w:spacing w:line="360" w:lineRule="auto"/>
      <w:ind w:firstLine="200" w:firstLineChars="200"/>
    </w:pPr>
    <w:rPr>
      <w:rFonts w:cs="宋体"/>
      <w:kern w:val="2"/>
      <w:sz w:val="24"/>
    </w:rPr>
  </w:style>
  <w:style w:type="paragraph" w:customStyle="1" w:styleId="205">
    <w:name w:val="正文首行缩进2"/>
    <w:basedOn w:val="17"/>
    <w:qFormat/>
    <w:uiPriority w:val="0"/>
    <w:pPr>
      <w:widowControl w:val="0"/>
      <w:snapToGrid/>
      <w:spacing w:before="0" w:after="0" w:line="360" w:lineRule="auto"/>
      <w:ind w:right="0" w:firstLine="420" w:firstLineChars="100"/>
      <w:jc w:val="center"/>
    </w:pPr>
    <w:rPr>
      <w:kern w:val="2"/>
      <w:sz w:val="21"/>
      <w:szCs w:val="24"/>
    </w:rPr>
  </w:style>
  <w:style w:type="paragraph" w:customStyle="1" w:styleId="206">
    <w:name w:val="5文章(治)"/>
    <w:basedOn w:val="1"/>
    <w:qFormat/>
    <w:uiPriority w:val="99"/>
    <w:pPr>
      <w:spacing w:line="360" w:lineRule="auto"/>
      <w:ind w:firstLine="560" w:firstLineChars="200"/>
    </w:pPr>
    <w:rPr>
      <w:rFonts w:eastAsia="楷体_GB2312"/>
      <w:kern w:val="2"/>
      <w:sz w:val="28"/>
    </w:rPr>
  </w:style>
  <w:style w:type="paragraph" w:customStyle="1" w:styleId="207">
    <w:name w:val="正文11111"/>
    <w:basedOn w:val="1"/>
    <w:qFormat/>
    <w:uiPriority w:val="0"/>
    <w:pPr>
      <w:adjustRightInd w:val="0"/>
      <w:snapToGrid w:val="0"/>
      <w:spacing w:line="360" w:lineRule="auto"/>
      <w:ind w:firstLine="200" w:firstLineChars="200"/>
    </w:pPr>
    <w:rPr>
      <w:rFonts w:hAnsi="宋体" w:cs="宋体"/>
      <w:kern w:val="2"/>
      <w:sz w:val="24"/>
    </w:rPr>
  </w:style>
  <w:style w:type="paragraph" w:customStyle="1" w:styleId="208">
    <w:name w:val="正文样式 宋体 四号"/>
    <w:basedOn w:val="1"/>
    <w:qFormat/>
    <w:uiPriority w:val="0"/>
    <w:pPr>
      <w:adjustRightInd w:val="0"/>
      <w:snapToGrid w:val="0"/>
      <w:spacing w:before="31" w:after="31" w:line="360" w:lineRule="auto"/>
      <w:ind w:firstLine="200" w:firstLineChars="200"/>
    </w:pPr>
    <w:rPr>
      <w:rFonts w:ascii="宋体" w:hAnsi="宋体"/>
      <w:bCs/>
      <w:kern w:val="2"/>
      <w:sz w:val="24"/>
      <w:szCs w:val="21"/>
    </w:rPr>
  </w:style>
  <w:style w:type="paragraph" w:customStyle="1" w:styleId="209">
    <w:name w:val="Char Char2 Char Char Char Char"/>
    <w:basedOn w:val="1"/>
    <w:qFormat/>
    <w:uiPriority w:val="99"/>
    <w:rPr>
      <w:kern w:val="2"/>
      <w:sz w:val="21"/>
      <w:szCs w:val="21"/>
    </w:rPr>
  </w:style>
  <w:style w:type="paragraph" w:customStyle="1" w:styleId="210">
    <w:name w:val="文章正文"/>
    <w:basedOn w:val="1"/>
    <w:qFormat/>
    <w:uiPriority w:val="0"/>
    <w:pPr>
      <w:spacing w:line="360" w:lineRule="auto"/>
      <w:ind w:firstLine="480" w:firstLineChars="200"/>
    </w:pPr>
    <w:rPr>
      <w:kern w:val="2"/>
      <w:sz w:val="24"/>
    </w:rPr>
  </w:style>
  <w:style w:type="paragraph" w:customStyle="1" w:styleId="211">
    <w:name w:val="报告书正文"/>
    <w:basedOn w:val="1"/>
    <w:qFormat/>
    <w:uiPriority w:val="0"/>
    <w:pPr>
      <w:spacing w:line="360" w:lineRule="auto"/>
      <w:ind w:firstLine="480" w:firstLineChars="200"/>
    </w:pPr>
    <w:rPr>
      <w:sz w:val="24"/>
      <w:szCs w:val="24"/>
    </w:rPr>
  </w:style>
  <w:style w:type="paragraph" w:customStyle="1" w:styleId="212">
    <w:name w:val="Char Char Char Char Char Char Char Char Char Char"/>
    <w:basedOn w:val="1"/>
    <w:qFormat/>
    <w:uiPriority w:val="0"/>
    <w:pPr>
      <w:spacing w:line="240" w:lineRule="exact"/>
      <w:ind w:firstLine="200" w:firstLineChars="200"/>
    </w:pPr>
    <w:rPr>
      <w:kern w:val="2"/>
      <w:sz w:val="24"/>
    </w:rPr>
  </w:style>
  <w:style w:type="paragraph" w:customStyle="1" w:styleId="213">
    <w:name w:val="文本内容"/>
    <w:basedOn w:val="1"/>
    <w:qFormat/>
    <w:uiPriority w:val="99"/>
    <w:pPr>
      <w:spacing w:line="360" w:lineRule="auto"/>
      <w:ind w:firstLine="480" w:firstLineChars="200"/>
    </w:pPr>
    <w:rPr>
      <w:rFonts w:ascii="Calibri" w:hAnsi="Calibri" w:cs="宋体"/>
      <w:kern w:val="2"/>
      <w:sz w:val="24"/>
      <w:szCs w:val="24"/>
    </w:rPr>
  </w:style>
  <w:style w:type="paragraph" w:customStyle="1" w:styleId="214">
    <w:name w:val="文本"/>
    <w:basedOn w:val="1"/>
    <w:qFormat/>
    <w:uiPriority w:val="0"/>
    <w:pPr>
      <w:adjustRightInd w:val="0"/>
      <w:snapToGrid w:val="0"/>
      <w:spacing w:before="10" w:beforeLines="10" w:after="10" w:afterLines="10" w:line="360" w:lineRule="auto"/>
      <w:ind w:firstLine="200" w:firstLineChars="200"/>
    </w:pPr>
    <w:rPr>
      <w:kern w:val="2"/>
      <w:sz w:val="24"/>
    </w:rPr>
  </w:style>
  <w:style w:type="paragraph" w:customStyle="1" w:styleId="215">
    <w:name w:val="书正文"/>
    <w:basedOn w:val="1"/>
    <w:qFormat/>
    <w:uiPriority w:val="0"/>
    <w:pPr>
      <w:keepNext/>
      <w:wordWrap w:val="0"/>
      <w:topLinePunct/>
      <w:spacing w:line="360" w:lineRule="auto"/>
      <w:ind w:firstLine="420" w:firstLineChars="200"/>
    </w:pPr>
    <w:rPr>
      <w:kern w:val="2"/>
      <w:sz w:val="24"/>
    </w:rPr>
  </w:style>
  <w:style w:type="paragraph" w:customStyle="1" w:styleId="216">
    <w:name w:val="Char Char2 Char Char Char Char1"/>
    <w:basedOn w:val="1"/>
    <w:qFormat/>
    <w:uiPriority w:val="0"/>
    <w:rPr>
      <w:kern w:val="2"/>
      <w:sz w:val="21"/>
      <w:szCs w:val="21"/>
    </w:rPr>
  </w:style>
  <w:style w:type="paragraph" w:customStyle="1" w:styleId="217">
    <w:name w:val="表头格式"/>
    <w:basedOn w:val="1"/>
    <w:next w:val="1"/>
    <w:qFormat/>
    <w:uiPriority w:val="0"/>
    <w:pPr>
      <w:spacing w:line="360" w:lineRule="auto"/>
      <w:jc w:val="center"/>
    </w:pPr>
    <w:rPr>
      <w:b/>
      <w:kern w:val="2"/>
      <w:sz w:val="24"/>
    </w:rPr>
  </w:style>
  <w:style w:type="paragraph" w:customStyle="1" w:styleId="218">
    <w:name w:val="Normal+2"/>
    <w:basedOn w:val="96"/>
    <w:next w:val="96"/>
    <w:unhideWhenUsed/>
    <w:qFormat/>
    <w:uiPriority w:val="99"/>
    <w:rPr>
      <w:rFonts w:hAnsi="Calibri"/>
    </w:rPr>
  </w:style>
  <w:style w:type="paragraph" w:customStyle="1" w:styleId="219">
    <w:name w:val="Char Char Char Char Char Char Char"/>
    <w:basedOn w:val="1"/>
    <w:semiHidden/>
    <w:qFormat/>
    <w:uiPriority w:val="0"/>
    <w:pPr>
      <w:spacing w:line="360" w:lineRule="auto"/>
      <w:ind w:firstLine="200" w:firstLineChars="200"/>
    </w:pPr>
    <w:rPr>
      <w:kern w:val="2"/>
      <w:sz w:val="21"/>
      <w:szCs w:val="24"/>
    </w:rPr>
  </w:style>
  <w:style w:type="paragraph" w:customStyle="1" w:styleId="220">
    <w:name w:val="样式 正文缩进正文缩进2正文缩进 Char Char正文缩进 Char Char Char Char正文缩进 Char ..."/>
    <w:basedOn w:val="11"/>
    <w:qFormat/>
    <w:uiPriority w:val="0"/>
    <w:pPr>
      <w:adjustRightInd w:val="0"/>
      <w:snapToGrid w:val="0"/>
      <w:spacing w:beforeLines="0"/>
    </w:pPr>
    <w:rPr>
      <w:rFonts w:ascii="宋体" w:hAnsi="Calibri" w:cs="宋体"/>
      <w:kern w:val="2"/>
      <w:szCs w:val="24"/>
    </w:rPr>
  </w:style>
  <w:style w:type="paragraph" w:customStyle="1" w:styleId="221">
    <w:name w:val="Char"/>
    <w:basedOn w:val="1"/>
    <w:qFormat/>
    <w:uiPriority w:val="0"/>
    <w:pPr>
      <w:widowControl/>
      <w:spacing w:line="360" w:lineRule="auto"/>
      <w:ind w:firstLine="200" w:firstLineChars="200"/>
      <w:jc w:val="left"/>
    </w:pPr>
    <w:rPr>
      <w:rFonts w:ascii="宋体" w:hAnsi="宋体" w:cs="宋体"/>
      <w:sz w:val="24"/>
      <w:szCs w:val="24"/>
    </w:rPr>
  </w:style>
  <w:style w:type="paragraph" w:customStyle="1" w:styleId="222">
    <w:name w:val="样式 仿宋_GB2312 四号 行距: 固定值 25 磅"/>
    <w:basedOn w:val="1"/>
    <w:qFormat/>
    <w:uiPriority w:val="0"/>
    <w:pPr>
      <w:spacing w:line="420" w:lineRule="exact"/>
      <w:ind w:firstLine="200" w:firstLineChars="200"/>
    </w:pPr>
    <w:rPr>
      <w:rFonts w:ascii="仿宋_GB2312" w:eastAsia="仿宋_GB2312" w:cs="宋体"/>
      <w:kern w:val="2"/>
      <w:sz w:val="24"/>
    </w:rPr>
  </w:style>
  <w:style w:type="paragraph" w:customStyle="1" w:styleId="223">
    <w:name w:val="报告表正文"/>
    <w:basedOn w:val="1"/>
    <w:qFormat/>
    <w:uiPriority w:val="0"/>
    <w:pPr>
      <w:adjustRightInd w:val="0"/>
      <w:spacing w:line="312" w:lineRule="auto"/>
      <w:ind w:left="113" w:right="113" w:firstLine="482" w:firstLineChars="200"/>
      <w:jc w:val="left"/>
      <w:textAlignment w:val="baseline"/>
    </w:pPr>
    <w:rPr>
      <w:sz w:val="24"/>
    </w:rPr>
  </w:style>
  <w:style w:type="paragraph" w:customStyle="1" w:styleId="224">
    <w:name w:val="4"/>
    <w:basedOn w:val="1"/>
    <w:next w:val="37"/>
    <w:qFormat/>
    <w:uiPriority w:val="0"/>
    <w:pPr>
      <w:spacing w:line="360" w:lineRule="auto"/>
      <w:ind w:firstLine="524" w:firstLineChars="187"/>
    </w:pPr>
    <w:rPr>
      <w:rFonts w:ascii="宋体" w:hAnsi="宋体"/>
      <w:kern w:val="2"/>
      <w:sz w:val="24"/>
      <w:szCs w:val="24"/>
    </w:rPr>
  </w:style>
  <w:style w:type="paragraph" w:customStyle="1" w:styleId="225">
    <w:name w:val="Char1 Char Char Char"/>
    <w:basedOn w:val="1"/>
    <w:qFormat/>
    <w:uiPriority w:val="0"/>
    <w:pPr>
      <w:autoSpaceDE w:val="0"/>
      <w:autoSpaceDN w:val="0"/>
      <w:adjustRightInd w:val="0"/>
      <w:snapToGrid w:val="0"/>
      <w:spacing w:before="50" w:after="50" w:line="360" w:lineRule="auto"/>
      <w:ind w:firstLine="560" w:firstLineChars="200"/>
    </w:pPr>
    <w:rPr>
      <w:kern w:val="2"/>
      <w:sz w:val="24"/>
    </w:rPr>
  </w:style>
  <w:style w:type="paragraph" w:customStyle="1" w:styleId="226">
    <w:name w:val="表内字"/>
    <w:qFormat/>
    <w:uiPriority w:val="0"/>
    <w:pPr>
      <w:spacing w:line="312" w:lineRule="auto"/>
      <w:jc w:val="center"/>
    </w:pPr>
    <w:rPr>
      <w:rFonts w:ascii="Arial" w:hAnsi="Arial" w:eastAsia="宋体" w:cs="Arial"/>
      <w:color w:val="000000"/>
      <w:sz w:val="21"/>
      <w:szCs w:val="22"/>
      <w:lang w:val="en-US" w:eastAsia="zh-CN" w:bidi="ar-SA"/>
    </w:rPr>
  </w:style>
  <w:style w:type="paragraph" w:customStyle="1" w:styleId="227">
    <w:name w:val="表格文字"/>
    <w:basedOn w:val="1"/>
    <w:qFormat/>
    <w:uiPriority w:val="0"/>
    <w:pPr>
      <w:spacing w:line="0" w:lineRule="atLeast"/>
      <w:ind w:firstLine="200" w:firstLineChars="200"/>
      <w:jc w:val="center"/>
      <w:outlineLvl w:val="2"/>
    </w:pPr>
    <w:rPr>
      <w:rFonts w:ascii="宋体" w:hAnsi="宋体"/>
      <w:kern w:val="2"/>
      <w:sz w:val="24"/>
    </w:rPr>
  </w:style>
  <w:style w:type="paragraph" w:customStyle="1" w:styleId="228">
    <w:name w:val="样式标题5"/>
    <w:basedOn w:val="1"/>
    <w:next w:val="211"/>
    <w:qFormat/>
    <w:uiPriority w:val="0"/>
    <w:pPr>
      <w:numPr>
        <w:ilvl w:val="6"/>
        <w:numId w:val="1"/>
      </w:numPr>
      <w:spacing w:line="360" w:lineRule="auto"/>
      <w:ind w:firstLine="200" w:firstLineChars="200"/>
    </w:pPr>
    <w:rPr>
      <w:kern w:val="2"/>
      <w:sz w:val="24"/>
    </w:rPr>
  </w:style>
  <w:style w:type="paragraph" w:customStyle="1" w:styleId="229">
    <w:name w:val="图表"/>
    <w:qFormat/>
    <w:uiPriority w:val="0"/>
    <w:pPr>
      <w:jc w:val="center"/>
    </w:pPr>
    <w:rPr>
      <w:rFonts w:ascii="Calibri" w:hAnsi="Calibri" w:eastAsia="宋体" w:cs="Times New Roman"/>
      <w:sz w:val="21"/>
      <w:lang w:val="en-US" w:eastAsia="zh-CN" w:bidi="ar-SA"/>
    </w:rPr>
  </w:style>
  <w:style w:type="paragraph" w:customStyle="1" w:styleId="230">
    <w:name w:val="cj正文"/>
    <w:basedOn w:val="1"/>
    <w:qFormat/>
    <w:uiPriority w:val="99"/>
    <w:pPr>
      <w:widowControl/>
      <w:spacing w:line="360" w:lineRule="auto"/>
      <w:ind w:firstLine="200" w:firstLineChars="200"/>
    </w:pPr>
    <w:rPr>
      <w:sz w:val="24"/>
      <w:szCs w:val="24"/>
    </w:rPr>
  </w:style>
  <w:style w:type="paragraph" w:customStyle="1" w:styleId="231">
    <w:name w:val="样式7"/>
    <w:basedOn w:val="35"/>
    <w:qFormat/>
    <w:uiPriority w:val="0"/>
    <w:pPr>
      <w:ind w:left="0" w:firstLine="200" w:firstLineChars="200"/>
    </w:pPr>
    <w:rPr>
      <w:rFonts w:eastAsia="黑体"/>
      <w:sz w:val="28"/>
    </w:rPr>
  </w:style>
  <w:style w:type="paragraph" w:customStyle="1" w:styleId="232">
    <w:name w:val="列出段落11"/>
    <w:basedOn w:val="1"/>
    <w:qFormat/>
    <w:uiPriority w:val="0"/>
    <w:pPr>
      <w:spacing w:line="360" w:lineRule="auto"/>
      <w:ind w:firstLine="420" w:firstLineChars="200"/>
    </w:pPr>
    <w:rPr>
      <w:kern w:val="2"/>
      <w:sz w:val="24"/>
    </w:rPr>
  </w:style>
  <w:style w:type="paragraph" w:customStyle="1" w:styleId="233">
    <w:name w:val="正文2"/>
    <w:basedOn w:val="1"/>
    <w:qFormat/>
    <w:uiPriority w:val="99"/>
    <w:pPr>
      <w:adjustRightInd w:val="0"/>
      <w:snapToGrid w:val="0"/>
      <w:spacing w:line="440" w:lineRule="atLeast"/>
      <w:ind w:firstLine="567"/>
    </w:pPr>
    <w:rPr>
      <w:kern w:val="2"/>
      <w:sz w:val="24"/>
    </w:rPr>
  </w:style>
  <w:style w:type="paragraph" w:customStyle="1" w:styleId="234">
    <w:name w:val="文章正文无缩进"/>
    <w:basedOn w:val="210"/>
    <w:qFormat/>
    <w:uiPriority w:val="0"/>
    <w:pPr>
      <w:ind w:firstLine="0" w:firstLineChars="0"/>
    </w:pPr>
  </w:style>
  <w:style w:type="paragraph" w:customStyle="1" w:styleId="235">
    <w:name w:val="xl25"/>
    <w:basedOn w:val="1"/>
    <w:qFormat/>
    <w:uiPriority w:val="0"/>
    <w:pPr>
      <w:widowControl/>
      <w:spacing w:before="100" w:beforeAutospacing="1" w:after="100" w:afterAutospacing="1" w:line="360" w:lineRule="auto"/>
      <w:ind w:firstLine="200" w:firstLineChars="200"/>
      <w:jc w:val="center"/>
    </w:pPr>
    <w:rPr>
      <w:sz w:val="24"/>
      <w:szCs w:val="21"/>
    </w:rPr>
  </w:style>
  <w:style w:type="paragraph" w:customStyle="1" w:styleId="236">
    <w:name w:val="样式2"/>
    <w:basedOn w:val="5"/>
    <w:qFormat/>
    <w:uiPriority w:val="0"/>
    <w:pPr>
      <w:keepNext w:val="0"/>
      <w:adjustRightInd w:val="0"/>
      <w:snapToGrid w:val="0"/>
      <w:spacing w:before="120" w:after="120" w:line="360" w:lineRule="auto"/>
      <w:ind w:firstLine="200" w:firstLineChars="200"/>
      <w:jc w:val="center"/>
      <w:textAlignment w:val="bottom"/>
    </w:pPr>
    <w:rPr>
      <w:rFonts w:ascii="Arial" w:hAnsi="Arial"/>
      <w:spacing w:val="60"/>
      <w:sz w:val="24"/>
      <w:szCs w:val="24"/>
    </w:rPr>
  </w:style>
  <w:style w:type="paragraph" w:customStyle="1" w:styleId="237">
    <w:name w:val="表格内容"/>
    <w:basedOn w:val="11"/>
    <w:next w:val="2"/>
    <w:qFormat/>
    <w:uiPriority w:val="0"/>
    <w:pPr>
      <w:spacing w:beforeLines="0" w:line="320" w:lineRule="exact"/>
      <w:ind w:firstLine="420"/>
      <w:jc w:val="center"/>
    </w:pPr>
    <w:rPr>
      <w:rFonts w:ascii="仿宋_GB2312" w:hAnsi="Calibri" w:eastAsia="仿宋_GB2312"/>
      <w:kern w:val="2"/>
      <w:sz w:val="21"/>
    </w:rPr>
  </w:style>
  <w:style w:type="paragraph" w:customStyle="1" w:styleId="238">
    <w:name w:val="正文文本缩进1"/>
    <w:basedOn w:val="1"/>
    <w:qFormat/>
    <w:uiPriority w:val="0"/>
    <w:pPr>
      <w:spacing w:line="360" w:lineRule="auto"/>
      <w:ind w:firstLine="560" w:firstLineChars="200"/>
    </w:pPr>
    <w:rPr>
      <w:rFonts w:ascii="宋体"/>
      <w:kern w:val="2"/>
      <w:sz w:val="28"/>
      <w:szCs w:val="24"/>
    </w:rPr>
  </w:style>
  <w:style w:type="paragraph" w:customStyle="1" w:styleId="239">
    <w:name w:val="陈正文1"/>
    <w:basedOn w:val="1"/>
    <w:qFormat/>
    <w:uiPriority w:val="0"/>
    <w:pPr>
      <w:spacing w:line="360" w:lineRule="auto"/>
      <w:ind w:firstLine="560" w:firstLineChars="200"/>
    </w:pPr>
    <w:rPr>
      <w:rFonts w:ascii="宋体" w:hAnsi="宋体"/>
      <w:sz w:val="24"/>
      <w:szCs w:val="28"/>
    </w:rPr>
  </w:style>
  <w:style w:type="paragraph" w:customStyle="1" w:styleId="240">
    <w:name w:val="默认段落字体 Para Char Char Char Char Char Char1 Char Char Char Char"/>
    <w:basedOn w:val="1"/>
    <w:qFormat/>
    <w:uiPriority w:val="0"/>
    <w:pPr>
      <w:snapToGrid w:val="0"/>
      <w:spacing w:line="360" w:lineRule="auto"/>
      <w:ind w:firstLine="200" w:firstLineChars="200"/>
    </w:pPr>
    <w:rPr>
      <w:rFonts w:eastAsia="仿宋_GB2312"/>
      <w:kern w:val="2"/>
      <w:sz w:val="24"/>
      <w:szCs w:val="24"/>
    </w:rPr>
  </w:style>
  <w:style w:type="paragraph" w:customStyle="1" w:styleId="241">
    <w:name w:val="无间隔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42">
    <w:name w:val="表标题"/>
    <w:basedOn w:val="11"/>
    <w:next w:val="1"/>
    <w:qFormat/>
    <w:uiPriority w:val="0"/>
    <w:pPr>
      <w:spacing w:beforeLines="0"/>
      <w:ind w:firstLine="480"/>
    </w:pPr>
    <w:rPr>
      <w:bCs/>
      <w:color w:val="FF0000"/>
      <w:kern w:val="44"/>
      <w:szCs w:val="24"/>
    </w:rPr>
  </w:style>
  <w:style w:type="paragraph" w:customStyle="1" w:styleId="243">
    <w:name w:val="p0"/>
    <w:basedOn w:val="1"/>
    <w:qFormat/>
    <w:uiPriority w:val="0"/>
    <w:pPr>
      <w:widowControl/>
      <w:spacing w:line="360" w:lineRule="auto"/>
      <w:ind w:firstLine="200" w:firstLineChars="200"/>
    </w:pPr>
    <w:rPr>
      <w:sz w:val="24"/>
      <w:szCs w:val="21"/>
    </w:rPr>
  </w:style>
  <w:style w:type="paragraph" w:customStyle="1" w:styleId="244">
    <w:name w:val="1"/>
    <w:basedOn w:val="1"/>
    <w:next w:val="11"/>
    <w:qFormat/>
    <w:uiPriority w:val="0"/>
    <w:pPr>
      <w:spacing w:line="360" w:lineRule="auto"/>
      <w:ind w:firstLine="420" w:firstLineChars="200"/>
    </w:pPr>
    <w:rPr>
      <w:kern w:val="2"/>
      <w:sz w:val="24"/>
    </w:rPr>
  </w:style>
  <w:style w:type="paragraph" w:customStyle="1" w:styleId="245">
    <w:name w:val="项目文字"/>
    <w:basedOn w:val="1"/>
    <w:qFormat/>
    <w:uiPriority w:val="0"/>
    <w:pPr>
      <w:numPr>
        <w:ilvl w:val="0"/>
        <w:numId w:val="2"/>
      </w:numPr>
      <w:tabs>
        <w:tab w:val="left" w:pos="900"/>
      </w:tabs>
      <w:spacing w:line="360" w:lineRule="auto"/>
      <w:ind w:firstLine="200" w:firstLineChars="200"/>
    </w:pPr>
    <w:rPr>
      <w:rFonts w:ascii="Calibri" w:hAnsi="Calibri"/>
      <w:kern w:val="2"/>
      <w:sz w:val="24"/>
      <w:szCs w:val="22"/>
    </w:rPr>
  </w:style>
  <w:style w:type="paragraph" w:customStyle="1" w:styleId="246">
    <w:name w:val="样式3"/>
    <w:basedOn w:val="17"/>
    <w:qFormat/>
    <w:uiPriority w:val="99"/>
    <w:pPr>
      <w:widowControl w:val="0"/>
      <w:snapToGrid/>
      <w:spacing w:before="0" w:after="0" w:line="600" w:lineRule="exact"/>
      <w:ind w:right="0" w:firstLine="200" w:firstLineChars="200"/>
    </w:pPr>
    <w:rPr>
      <w:kern w:val="2"/>
      <w:sz w:val="28"/>
      <w:szCs w:val="24"/>
    </w:rPr>
  </w:style>
  <w:style w:type="paragraph" w:customStyle="1" w:styleId="247">
    <w:name w:val="样式1"/>
    <w:basedOn w:val="1"/>
    <w:qFormat/>
    <w:uiPriority w:val="0"/>
    <w:pPr>
      <w:spacing w:line="360" w:lineRule="auto"/>
      <w:ind w:firstLine="200" w:firstLineChars="200"/>
    </w:pPr>
    <w:rPr>
      <w:rFonts w:ascii="Tahoma" w:hAnsi="Tahoma" w:eastAsia="Courier New" w:cs="Tahoma"/>
      <w:kern w:val="2"/>
      <w:sz w:val="24"/>
      <w:szCs w:val="22"/>
    </w:rPr>
  </w:style>
  <w:style w:type="paragraph" w:customStyle="1" w:styleId="248">
    <w:name w:val="1正文段落"/>
    <w:basedOn w:val="1"/>
    <w:qFormat/>
    <w:uiPriority w:val="0"/>
    <w:pPr>
      <w:spacing w:line="360" w:lineRule="auto"/>
      <w:ind w:firstLine="480" w:firstLineChars="200"/>
    </w:pPr>
    <w:rPr>
      <w:snapToGrid w:val="0"/>
      <w:sz w:val="24"/>
    </w:rPr>
  </w:style>
  <w:style w:type="paragraph" w:customStyle="1" w:styleId="249">
    <w:name w:val="3级1"/>
    <w:basedOn w:val="1"/>
    <w:next w:val="1"/>
    <w:qFormat/>
    <w:uiPriority w:val="99"/>
    <w:pPr>
      <w:spacing w:line="360" w:lineRule="auto"/>
      <w:ind w:firstLine="200" w:firstLineChars="200"/>
    </w:pPr>
    <w:rPr>
      <w:rFonts w:eastAsia="黑体"/>
      <w:kern w:val="2"/>
      <w:sz w:val="24"/>
      <w:szCs w:val="21"/>
    </w:rPr>
  </w:style>
  <w:style w:type="paragraph" w:customStyle="1" w:styleId="250">
    <w:name w:val="正文标准样式"/>
    <w:basedOn w:val="1"/>
    <w:qFormat/>
    <w:uiPriority w:val="0"/>
    <w:pPr>
      <w:adjustRightInd w:val="0"/>
      <w:spacing w:line="300" w:lineRule="auto"/>
      <w:ind w:firstLine="482" w:firstLineChars="200"/>
      <w:textAlignment w:val="baseline"/>
    </w:pPr>
    <w:rPr>
      <w:sz w:val="24"/>
    </w:rPr>
  </w:style>
  <w:style w:type="paragraph" w:customStyle="1" w:styleId="251">
    <w:name w:val="bw1"/>
    <w:basedOn w:val="1"/>
    <w:qFormat/>
    <w:uiPriority w:val="0"/>
    <w:pPr>
      <w:adjustRightInd w:val="0"/>
      <w:snapToGrid w:val="0"/>
      <w:spacing w:line="240" w:lineRule="atLeast"/>
      <w:ind w:left="6" w:right="6" w:firstLine="200" w:firstLineChars="200"/>
      <w:jc w:val="center"/>
    </w:pPr>
    <w:rPr>
      <w:rFonts w:ascii="Arial Narrow" w:hAnsi="Arial Narrow" w:eastAsia="楷体_GB2312"/>
      <w:color w:val="000000"/>
      <w:spacing w:val="-2"/>
      <w:w w:val="90"/>
      <w:kern w:val="2"/>
      <w:szCs w:val="18"/>
    </w:rPr>
  </w:style>
  <w:style w:type="paragraph" w:customStyle="1" w:styleId="252">
    <w:name w:val="xl29"/>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Tahoma" w:hAnsi="Tahoma" w:eastAsia="黑体" w:cs="Tahoma"/>
      <w:sz w:val="24"/>
      <w:szCs w:val="24"/>
    </w:rPr>
  </w:style>
  <w:style w:type="paragraph" w:customStyle="1" w:styleId="253">
    <w:name w:val="表格内容2"/>
    <w:basedOn w:val="1"/>
    <w:qFormat/>
    <w:uiPriority w:val="0"/>
    <w:pPr>
      <w:widowControl/>
      <w:spacing w:line="360" w:lineRule="auto"/>
      <w:ind w:firstLine="200" w:firstLineChars="200"/>
      <w:jc w:val="center"/>
    </w:pPr>
    <w:rPr>
      <w:rFonts w:ascii="Calibri" w:hAnsi="Calibri" w:cs="Calibri"/>
      <w:sz w:val="21"/>
      <w:szCs w:val="21"/>
    </w:rPr>
  </w:style>
  <w:style w:type="paragraph" w:customStyle="1" w:styleId="254">
    <w:name w:val="zhang正文"/>
    <w:basedOn w:val="1"/>
    <w:next w:val="1"/>
    <w:qFormat/>
    <w:uiPriority w:val="99"/>
    <w:pPr>
      <w:autoSpaceDE w:val="0"/>
      <w:autoSpaceDN w:val="0"/>
      <w:snapToGrid w:val="0"/>
      <w:spacing w:after="120" w:line="500" w:lineRule="atLeast"/>
      <w:ind w:left="420" w:leftChars="200" w:firstLine="539"/>
    </w:pPr>
    <w:rPr>
      <w:rFonts w:hint="eastAsia" w:eastAsia="楷体_GB2312"/>
      <w:kern w:val="2"/>
      <w:sz w:val="28"/>
      <w:szCs w:val="24"/>
    </w:rPr>
  </w:style>
  <w:style w:type="paragraph" w:customStyle="1" w:styleId="255">
    <w:name w:val="李发荣个人正文"/>
    <w:basedOn w:val="1"/>
    <w:qFormat/>
    <w:uiPriority w:val="0"/>
    <w:pPr>
      <w:widowControl/>
      <w:spacing w:line="360" w:lineRule="auto"/>
      <w:ind w:firstLine="504" w:firstLineChars="200"/>
    </w:pPr>
    <w:rPr>
      <w:rFonts w:hint="eastAsia" w:ascii="宋体" w:hAnsi="宋体" w:cs="宋体"/>
      <w:sz w:val="24"/>
      <w:szCs w:val="24"/>
    </w:rPr>
  </w:style>
  <w:style w:type="table" w:customStyle="1" w:styleId="256">
    <w:name w:val="网格型刘1"/>
    <w:basedOn w:val="44"/>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 Normal"/>
    <w:unhideWhenUsed/>
    <w:qFormat/>
    <w:uiPriority w:val="2"/>
    <w:rPr>
      <w:rFonts w:ascii="Calibri" w:hAnsi="Calibri"/>
    </w:rPr>
    <w:tblPr>
      <w:tblCellMar>
        <w:top w:w="0" w:type="dxa"/>
        <w:left w:w="0" w:type="dxa"/>
        <w:bottom w:w="0" w:type="dxa"/>
        <w:right w:w="0" w:type="dxa"/>
      </w:tblCellMar>
    </w:tblPr>
  </w:style>
  <w:style w:type="table" w:customStyle="1" w:styleId="258">
    <w:name w:val="环评表格"/>
    <w:basedOn w:val="44"/>
    <w:qFormat/>
    <w:uiPriority w:val="99"/>
    <w:pPr>
      <w:jc w:val="center"/>
    </w:pPr>
    <w:rPr>
      <w:rFonts w:cs="Arial"/>
    </w:rPr>
    <w:tblPr>
      <w:jc w:val="center"/>
      <w:tblBorders>
        <w:top w:val="single" w:color="000000" w:sz="12" w:space="0"/>
        <w:bottom w:val="single" w:color="000000" w:sz="12" w:space="0"/>
        <w:insideH w:val="single" w:color="000000" w:sz="4" w:space="0"/>
        <w:insideV w:val="single" w:color="000000" w:sz="4" w:space="0"/>
      </w:tblBorders>
    </w:tblPr>
    <w:trPr>
      <w:jc w:val="center"/>
    </w:trPr>
    <w:tcPr>
      <w:vAlign w:val="center"/>
    </w:tcPr>
  </w:style>
  <w:style w:type="character" w:customStyle="1" w:styleId="259">
    <w:name w:val="标题 5 字符"/>
    <w:basedOn w:val="46"/>
    <w:link w:val="7"/>
    <w:qFormat/>
    <w:uiPriority w:val="9"/>
    <w:rPr>
      <w:rFonts w:ascii="宋体" w:hAnsi="宋体" w:cs="宋体"/>
      <w:b/>
      <w:bCs/>
      <w:sz w:val="28"/>
      <w:szCs w:val="28"/>
      <w:lang w:eastAsia="en-US"/>
    </w:rPr>
  </w:style>
  <w:style w:type="character" w:customStyle="1" w:styleId="260">
    <w:name w:val="标题 6 字符"/>
    <w:basedOn w:val="46"/>
    <w:link w:val="8"/>
    <w:qFormat/>
    <w:uiPriority w:val="9"/>
    <w:rPr>
      <w:rFonts w:asciiTheme="majorHAnsi" w:hAnsiTheme="majorHAnsi" w:eastAsiaTheme="majorEastAsia" w:cstheme="majorBidi"/>
      <w:b/>
      <w:bCs/>
      <w:sz w:val="24"/>
      <w:szCs w:val="24"/>
      <w:lang w:eastAsia="en-US"/>
    </w:rPr>
  </w:style>
  <w:style w:type="paragraph" w:customStyle="1" w:styleId="261">
    <w:name w:val="Heading #2|1"/>
    <w:basedOn w:val="1"/>
    <w:qFormat/>
    <w:uiPriority w:val="0"/>
    <w:pPr>
      <w:autoSpaceDE w:val="0"/>
      <w:autoSpaceDN w:val="0"/>
      <w:spacing w:after="200"/>
      <w:jc w:val="left"/>
      <w:outlineLvl w:val="1"/>
    </w:pPr>
    <w:rPr>
      <w:rFonts w:ascii="宋体" w:hAnsi="宋体" w:cs="宋体"/>
      <w:sz w:val="28"/>
      <w:szCs w:val="28"/>
      <w:lang w:val="zh-TW" w:eastAsia="zh-TW" w:bidi="zh-TW"/>
    </w:rPr>
  </w:style>
  <w:style w:type="paragraph" w:customStyle="1" w:styleId="262">
    <w:name w:val="Body text|1"/>
    <w:basedOn w:val="1"/>
    <w:qFormat/>
    <w:uiPriority w:val="0"/>
    <w:pPr>
      <w:autoSpaceDE w:val="0"/>
      <w:autoSpaceDN w:val="0"/>
      <w:spacing w:after="330" w:line="480" w:lineRule="auto"/>
      <w:ind w:firstLine="400"/>
      <w:jc w:val="left"/>
    </w:pPr>
    <w:rPr>
      <w:rFonts w:ascii="宋体" w:hAnsi="宋体" w:cs="宋体"/>
      <w:lang w:val="zh-TW" w:eastAsia="zh-TW" w:bidi="zh-TW"/>
    </w:rPr>
  </w:style>
  <w:style w:type="paragraph" w:customStyle="1" w:styleId="263">
    <w:name w:val="Table caption|1"/>
    <w:basedOn w:val="1"/>
    <w:qFormat/>
    <w:uiPriority w:val="0"/>
    <w:pPr>
      <w:autoSpaceDE w:val="0"/>
      <w:autoSpaceDN w:val="0"/>
      <w:jc w:val="left"/>
    </w:pPr>
    <w:rPr>
      <w:rFonts w:ascii="宋体" w:hAnsi="宋体" w:cs="宋体"/>
      <w:b/>
      <w:bCs/>
      <w:lang w:val="zh-TW" w:eastAsia="zh-TW" w:bidi="zh-TW"/>
    </w:rPr>
  </w:style>
  <w:style w:type="paragraph" w:customStyle="1" w:styleId="264">
    <w:name w:val="Other|1"/>
    <w:basedOn w:val="1"/>
    <w:qFormat/>
    <w:uiPriority w:val="0"/>
    <w:pPr>
      <w:autoSpaceDE w:val="0"/>
      <w:autoSpaceDN w:val="0"/>
      <w:jc w:val="left"/>
    </w:pPr>
    <w:rPr>
      <w:rFonts w:ascii="宋体" w:hAnsi="宋体" w:cs="宋体"/>
      <w:lang w:val="zh-TW" w:eastAsia="zh-TW" w:bidi="zh-TW"/>
    </w:rPr>
  </w:style>
  <w:style w:type="paragraph" w:customStyle="1" w:styleId="265">
    <w:name w:val="Picture caption|1"/>
    <w:basedOn w:val="1"/>
    <w:qFormat/>
    <w:uiPriority w:val="0"/>
    <w:pPr>
      <w:autoSpaceDE w:val="0"/>
      <w:autoSpaceDN w:val="0"/>
      <w:jc w:val="left"/>
    </w:pPr>
    <w:rPr>
      <w:rFonts w:ascii="宋体" w:hAnsi="宋体" w:cs="宋体"/>
      <w:b/>
      <w:bCs/>
      <w:lang w:val="zh-TW" w:eastAsia="zh-TW" w:bidi="zh-TW"/>
    </w:rPr>
  </w:style>
  <w:style w:type="paragraph" w:customStyle="1" w:styleId="266">
    <w:name w:val="Heading #1|1"/>
    <w:basedOn w:val="1"/>
    <w:qFormat/>
    <w:uiPriority w:val="0"/>
    <w:pPr>
      <w:autoSpaceDE w:val="0"/>
      <w:autoSpaceDN w:val="0"/>
      <w:spacing w:after="300"/>
      <w:jc w:val="left"/>
      <w:outlineLvl w:val="0"/>
    </w:pPr>
    <w:rPr>
      <w:rFonts w:ascii="宋体" w:hAnsi="宋体" w:cs="宋体"/>
      <w:sz w:val="28"/>
      <w:szCs w:val="28"/>
      <w:lang w:val="zh-TW" w:eastAsia="zh-TW" w:bidi="zh-TW"/>
    </w:rPr>
  </w:style>
  <w:style w:type="paragraph" w:customStyle="1" w:styleId="267">
    <w:name w:val="Heading #3|1"/>
    <w:basedOn w:val="1"/>
    <w:qFormat/>
    <w:uiPriority w:val="0"/>
    <w:pPr>
      <w:autoSpaceDE w:val="0"/>
      <w:autoSpaceDN w:val="0"/>
      <w:spacing w:after="200"/>
      <w:jc w:val="left"/>
      <w:outlineLvl w:val="2"/>
    </w:pPr>
    <w:rPr>
      <w:rFonts w:ascii="宋体" w:hAnsi="宋体" w:cs="宋体"/>
      <w:sz w:val="28"/>
      <w:szCs w:val="28"/>
      <w:lang w:val="zh-TW" w:eastAsia="zh-TW" w:bidi="zh-TW"/>
    </w:rPr>
  </w:style>
  <w:style w:type="paragraph" w:customStyle="1" w:styleId="268">
    <w:name w:val="Header or footer|1"/>
    <w:basedOn w:val="1"/>
    <w:qFormat/>
    <w:uiPriority w:val="0"/>
    <w:pPr>
      <w:autoSpaceDE w:val="0"/>
      <w:autoSpaceDN w:val="0"/>
      <w:jc w:val="left"/>
    </w:pPr>
    <w:rPr>
      <w:rFonts w:ascii="宋体" w:hAnsi="宋体" w:cs="宋体"/>
      <w:lang w:val="zh-TW" w:eastAsia="zh-TW" w:bidi="zh-TW"/>
    </w:rPr>
  </w:style>
  <w:style w:type="character" w:customStyle="1" w:styleId="269">
    <w:name w:val="页眉 字符"/>
    <w:basedOn w:val="46"/>
    <w:qFormat/>
    <w:uiPriority w:val="0"/>
    <w:rPr>
      <w:rFonts w:ascii="宋体" w:hAnsi="宋体" w:eastAsia="宋体" w:cs="宋体"/>
      <w:sz w:val="18"/>
      <w:szCs w:val="18"/>
      <w:lang w:eastAsia="en-US"/>
    </w:rPr>
  </w:style>
  <w:style w:type="character" w:customStyle="1" w:styleId="270">
    <w:name w:val="批注框文本 字符"/>
    <w:basedOn w:val="46"/>
    <w:qFormat/>
    <w:uiPriority w:val="0"/>
    <w:rPr>
      <w:rFonts w:ascii="宋体" w:hAnsi="宋体" w:eastAsia="宋体" w:cs="宋体"/>
      <w:sz w:val="18"/>
      <w:szCs w:val="18"/>
      <w:lang w:eastAsia="en-US"/>
    </w:rPr>
  </w:style>
  <w:style w:type="character" w:customStyle="1" w:styleId="271">
    <w:name w:val="title-text"/>
    <w:basedOn w:val="46"/>
    <w:qFormat/>
    <w:uiPriority w:val="0"/>
  </w:style>
  <w:style w:type="paragraph" w:customStyle="1" w:styleId="272">
    <w:name w:val="lh-表格文字-报告书"/>
    <w:qFormat/>
    <w:uiPriority w:val="0"/>
    <w:pPr>
      <w:jc w:val="center"/>
    </w:pPr>
    <w:rPr>
      <w:rFonts w:ascii="Times New Roman" w:hAnsi="Times New Roman" w:eastAsia="宋体" w:cstheme="minorBidi"/>
      <w:snapToGrid w:val="0"/>
      <w:sz w:val="21"/>
      <w:szCs w:val="24"/>
      <w:lang w:val="en-US" w:eastAsia="zh-CN" w:bidi="ar-SA"/>
    </w:rPr>
  </w:style>
  <w:style w:type="paragraph" w:customStyle="1" w:styleId="273">
    <w:name w:val="Table Text"/>
    <w:basedOn w:val="1"/>
    <w:semiHidden/>
    <w:qFormat/>
    <w:uiPriority w:val="0"/>
    <w:rPr>
      <w:rFonts w:ascii="宋体" w:hAnsi="宋体" w:eastAsia="宋体" w:cs="宋体"/>
      <w:sz w:val="24"/>
      <w:szCs w:val="24"/>
      <w:lang w:val="en-US" w:eastAsia="en-US" w:bidi="ar-SA"/>
    </w:rPr>
  </w:style>
  <w:style w:type="paragraph" w:customStyle="1" w:styleId="274">
    <w:name w:val="表文字"/>
    <w:basedOn w:val="227"/>
    <w:next w:val="275"/>
    <w:qFormat/>
    <w:uiPriority w:val="0"/>
    <w:pPr>
      <w:spacing w:line="360" w:lineRule="auto"/>
    </w:pPr>
    <w:rPr>
      <w:rFonts w:ascii="Times New Roman" w:hAnsi="Times New Roman" w:cs="Times New Roman"/>
      <w:sz w:val="21"/>
      <w:szCs w:val="21"/>
    </w:rPr>
  </w:style>
  <w:style w:type="paragraph" w:customStyle="1" w:styleId="275">
    <w:name w:val="B正文"/>
    <w:basedOn w:val="1"/>
    <w:qFormat/>
    <w:uiPriority w:val="0"/>
    <w:pPr>
      <w:jc w:val="both"/>
    </w:pPr>
    <w:rPr>
      <w:rFonts w:eastAsia="仿宋" w:cs="Times New Roman"/>
      <w:szCs w:val="21"/>
    </w:rPr>
  </w:style>
  <w:style w:type="table" w:customStyle="1" w:styleId="276">
    <w:name w:val="网格型21"/>
    <w:qFormat/>
    <w:uiPriority w:val="39"/>
    <w:rPr>
      <w:rFonts w:ascii="Times New Roman" w:hAnsi="Times New Roman" w:eastAsia="仿宋" w:cs="Times New Roman"/>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rPr>
      <w:jc w:val="center"/>
    </w:trPr>
    <w:tcPr>
      <w:vAlign w:val="center"/>
    </w:tcPr>
  </w:style>
  <w:style w:type="paragraph" w:customStyle="1" w:styleId="277">
    <w:name w:val="表中文字-lxd"/>
    <w:next w:val="1"/>
    <w:qFormat/>
    <w:uiPriority w:val="0"/>
    <w:pPr>
      <w:widowControl w:val="0"/>
      <w:tabs>
        <w:tab w:val="center" w:pos="383"/>
      </w:tabs>
      <w:jc w:val="center"/>
    </w:pPr>
    <w:rPr>
      <w:rFonts w:ascii="Times New Roman" w:hAnsi="Times New Roman" w:eastAsia="宋体" w:cs="Arial"/>
      <w:kern w:val="2"/>
      <w:sz w:val="21"/>
      <w:szCs w:val="24"/>
      <w:lang w:val="en-US" w:eastAsia="zh-CN" w:bidi="ar-SA"/>
    </w:rPr>
  </w:style>
  <w:style w:type="paragraph" w:customStyle="1" w:styleId="278">
    <w:name w:val="表格中的内容"/>
    <w:basedOn w:val="1"/>
    <w:qFormat/>
    <w:uiPriority w:val="0"/>
    <w:pPr>
      <w:jc w:val="center"/>
    </w:pPr>
  </w:style>
  <w:style w:type="paragraph" w:customStyle="1" w:styleId="279">
    <w:name w:val="正文样"/>
    <w:basedOn w:val="1"/>
    <w:qFormat/>
    <w:uiPriority w:val="0"/>
    <w:pPr>
      <w:spacing w:line="360" w:lineRule="auto"/>
      <w:ind w:firstLine="480" w:firstLineChars="200"/>
    </w:pPr>
    <w:rPr>
      <w:rFonts w:ascii="仿宋" w:hAnsi="仿宋" w:eastAsia="仿宋" w:cs="Times New Roman"/>
      <w:color w:val="FF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emf"/><Relationship Id="rId21" Type="http://schemas.openxmlformats.org/officeDocument/2006/relationships/oleObject" Target="embeddings/oleObject4.bin"/><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3.bin"/><Relationship Id="rId17" Type="http://schemas.openxmlformats.org/officeDocument/2006/relationships/image" Target="media/image4.emf"/><Relationship Id="rId16" Type="http://schemas.openxmlformats.org/officeDocument/2006/relationships/oleObject" Target="embeddings/oleObject2.bin"/><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6d93c514-316d-44e3-b4c7-6f015fae2ee2</errorID>
      <errorWord>经</errorWord>
      <group>L1_Word</group>
      <groupName>字词问题</groupName>
      <ability>L2_Typo</ability>
      <abilityName>字词错误</abilityName>
      <candidateList>
        <item>中</item>
      </candidateList>
      <explain>〈动〉❶正对上；恰好合上：～选｜猜～了｜三枪都打～了目标。❷受到；遭受：～毒｜～暑｜胳膊上～了一枪。</explain>
      <paraID>188A4C35</paraID>
      <start>6</start>
      <end>7</end>
      <status>ignored</status>
      <modifiedWord/>
      <trackRevisions>false</trackRevisions>
    </reviewItem>
    <reviewItem>
      <errorID>12b90049-2264-4240-9aa6-2de05943436d</errorID>
      <errorWord>~</errorWord>
      <group>L1_Format</group>
      <groupName>格式问题</groupName>
      <ability>L2_HalfPunc_CN</ability>
      <abilityName>全半角问题</abilityName>
      <candidateList>
        <item>～</item>
      </candidateList>
      <explain>文本全半角错误。</explain>
      <paraID>7148BE70</paraID>
      <start>88</start>
      <end>89</end>
      <status>unmodified</status>
      <modifiedWord/>
      <trackRevisions>false</trackRevisions>
    </reviewItem>
    <reviewItem>
      <errorID>0e74e80e-33bd-406b-9aec-4775e5be815a</errorID>
      <errorWord>~</errorWord>
      <group>L1_Format</group>
      <groupName>格式问题</groupName>
      <ability>L2_HalfPunc_CN</ability>
      <abilityName>全半角问题</abilityName>
      <candidateList>
        <item>～</item>
      </candidateList>
      <explain>文本全半角错误。</explain>
      <paraID>7148BE70</paraID>
      <start>105</start>
      <end>106</end>
      <status>unmodified</status>
      <modifiedWord/>
      <trackRevisions>false</trackRevisions>
    </reviewItem>
    <reviewItem>
      <errorID>8ae3a384-47f4-44bc-8fd1-cf6f13c9f3cc</errorID>
      <errorWord>pH变化</errorWord>
      <group>L1_Word</group>
      <groupName>字词问题</groupName>
      <ability>L2_Typo</ability>
      <abilityName>字词错误</abilityName>
      <candidateList>
        <item>pH值变化</item>
      </candidateList>
      <explain/>
      <paraID>79741E24</paraID>
      <start>28</start>
      <end>32</end>
      <status>ignored</status>
      <modifiedWord/>
      <trackRevisions>false</trackRevisions>
    </reviewItem>
    <reviewItem>
      <errorID>05bdb78d-6b63-4cf6-b83e-b5cef257752a</errorID>
      <errorWord>~</errorWord>
      <group>L1_Format</group>
      <groupName>格式问题</groupName>
      <ability>L2_HalfPunc_CN</ability>
      <abilityName>全半角问题</abilityName>
      <candidateList>
        <item>～</item>
      </candidateList>
      <explain>文本全半角错误。</explain>
      <paraID>1E4F0B08</paraID>
      <start>31</start>
      <end>32</end>
      <status>ignored</status>
      <modifiedWord/>
      <trackRevisions>false</trackRevisions>
    </reviewItem>
    <reviewItem>
      <errorID>3ca84d27-b082-45c6-8013-67ab6a76e421</errorID>
      <errorWord>成</errorWord>
      <group>L1_Word</group>
      <groupName>字词问题</groupName>
      <ability>L2_Typo</ability>
      <abilityName>字词错误</abilityName>
      <candidateList>
        <item>成后</item>
      </candidateList>
      <explain/>
      <paraID>54A8085B</paraID>
      <start>58</start>
      <end>59</end>
      <status>unmodified</status>
      <modifiedWord/>
      <trackRevisions>false</trackRevisions>
    </reviewItem>
    <reviewItem>
      <errorID>c0d7c07f-cf1e-4eb2-81af-1db6b2e9f97d</errorID>
      <errorWord>沉砂池</errorWord>
      <group>L1_Word</group>
      <groupName>字词问题</groupName>
      <ability>L2_Typo</ability>
      <abilityName>字词错误</abilityName>
      <candidateList>
        <item>沉沙池</item>
      </candidateList>
      <explain>存在发音相同字词的误用。</explain>
      <paraID>2BD3FB59</paraID>
      <start>43</start>
      <end>46</end>
      <status>ignored</status>
      <modifiedWord/>
      <trackRevisions>false</trackRevisions>
    </reviewItem>
    <reviewItem>
      <errorID>8d4e3986-5246-465f-a00a-dcadf73ff164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658CCA5E</paraID>
      <start>122</start>
      <end>123</end>
      <status>ignored</status>
      <modifiedWord/>
      <trackRevisions>false</trackRevisions>
    </reviewItem>
    <reviewItem>
      <errorID>b9db6ed0-7acf-42d8-9cab-e2025ed8b13c</errorID>
      <errorWord>沉砂池</errorWord>
      <group>L1_Word</group>
      <groupName>字词问题</groupName>
      <ability>L2_Typo</ability>
      <abilityName>字词错误</abilityName>
      <candidateList>
        <item>沉沙池</item>
      </candidateList>
      <explain>存在发音相同字词的误用。</explain>
      <paraID> D48B690</paraID>
      <start>39</start>
      <end>42</end>
      <status>unmodified</status>
      <modifiedWord/>
      <trackRevisions>false</trackRevisions>
    </reviewItem>
    <reviewItem>
      <errorID>0539a64b-c090-417f-819f-0f4385a581c1</errorID>
      <errorWord>设置设置</errorWord>
      <group>L1_Word</group>
      <groupName>字词问题</groupName>
      <ability>L2_Typo</ability>
      <abilityName>字词错误</abilityName>
      <candidateList>
        <item>设置</item>
      </candidateList>
      <explain>〈动〉❶设立：这座剧院是为儿童～的。❷安放；安装：～障碍。</explain>
      <paraID>6D728167</paraID>
      <start>128</start>
      <end>132</end>
      <status>unmodified</status>
      <modifiedWord/>
      <trackRevisions>false</trackRevisions>
    </reviewItem>
    <reviewItem>
      <errorID>eb705b18-6650-4410-a1e0-a872c52e3891</errorID>
      <errorWord>来自于</errorWord>
      <group>L1_Grammar</group>
      <groupName>语法问题</groupName>
      <ability>L2_Grammar</ability>
      <abilityName>语法错误</abilityName>
      <candidateList>
        <item>来自</item>
      </candidateList>
      <explain>该表达中的“来自于”存在语义重复。【词汇解析】来自：表示“来源于”。包含了“于”的意思。</explain>
      <paraID>1EF59776</paraID>
      <start>21</start>
      <end>24</end>
      <status>ignored</status>
      <modifiedWord/>
      <trackRevisions>false</trackRevisions>
    </reviewItem>
    <reviewItem>
      <errorID>8904b863-b001-47e5-af94-cd32a98e69cb</errorID>
      <errorWord>年</errorWord>
      <group>L1_Word</group>
      <groupName>字词问题</groupName>
      <ability>L2_Typo</ability>
      <abilityName>字词错误</abilityName>
      <candidateList>
        <item>年第</item>
      </candidateList>
      <explain/>
      <paraID> 56B0714</paraID>
      <start>4</start>
      <end>5</end>
      <status>ignored</status>
      <modifiedWord/>
      <trackRevisions>false</trackRevisions>
    </reviewItem>
    <reviewItem>
      <errorID>a8ad7a58-a1ca-470c-96fd-3f17fd8469e1</errorID>
      <errorWord>年</errorWord>
      <group>L1_Word</group>
      <groupName>字词问题</groupName>
      <ability>L2_Typo</ability>
      <abilityName>字词错误</abilityName>
      <candidateList>
        <item>年第</item>
      </candidateList>
      <explain/>
      <paraID>41FA396D</paraID>
      <start>4</start>
      <end>5</end>
      <status>ignored</status>
      <modifiedWord/>
      <trackRevisions>false</trackRevisions>
    </reviewItem>
    <reviewItem>
      <errorID>6fbc07bc-74b7-4c56-843c-106cc05390d3</errorID>
      <errorWord>~</errorWord>
      <group>L1_Format</group>
      <groupName>格式问题</groupName>
      <ability>L2_HalfPunc_CN</ability>
      <abilityName>全半角问题</abilityName>
      <candidateList>
        <item>～</item>
      </candidateList>
      <explain>文本全半角错误。</explain>
      <paraID>51FD4B2F</paraID>
      <start>31</start>
      <end>32</end>
      <status>ignored</status>
      <modifiedWord/>
      <trackRevisions>false</trackRevisions>
    </reviewItem>
    <reviewItem>
      <errorID>cf397b7b-5b96-4674-9164-cb4ba1f978fb</errorID>
      <errorWord>场</errorWord>
      <group>L1_Word</group>
      <groupName>字词问题</groupName>
      <ability>L2_Typo</ability>
      <abilityName>字词错误</abilityName>
      <candidateList>
        <item>厂</item>
      </candidateList>
      <explain>存在发音相同字词的误用。</explain>
      <paraID>5152EB1B</paraID>
      <start>0</start>
      <end>1</end>
      <status>unmodified</status>
      <modifiedWord/>
      <trackRevisions>false</trackRevisions>
    </reviewItem>
    <reviewItem>
      <errorID>9bc6215a-8df0-438b-9614-6e48b9582146</errorID>
      <errorWord>IV</errorWord>
      <group>L1_Knowledge</group>
      <groupName>知识性问题</groupName>
      <ability>L2_Knowledge</ability>
      <abilityName>其他知识</abilityName>
      <candidateList>
        <item>Ⅳ</item>
      </candidateList>
      <explain>中文环境下罗马数字格式错误。</explain>
      <paraID>7271FA8F</paraID>
      <start>3</start>
      <end>5</end>
      <status>unmodified</status>
      <modifiedWord/>
      <trackRevisions>false</trackRevisions>
    </reviewItem>
  </reviewItems>
  <config/>
</contractReview>
</file>

<file path=customXml/itemProps1.xml><?xml version="1.0" encoding="utf-8"?>
<ds:datastoreItem xmlns:ds="http://schemas.openxmlformats.org/officeDocument/2006/customXml" ds:itemID="{7207cf84-b9b6-4e98-92d6-6e93116d866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98</Pages>
  <Words>171</Words>
  <Characters>183</Characters>
  <Lines>728</Lines>
  <Paragraphs>205</Paragraphs>
  <TotalTime>12</TotalTime>
  <ScaleCrop>false</ScaleCrop>
  <LinksUpToDate>false</LinksUpToDate>
  <CharactersWithSpaces>248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2023-06-20T16:30:00Z</dcterms:created>
  <dc:creator>lhj</dc:creator>
  <cp:lastModifiedBy>陈宝萍</cp:lastModifiedBy>
  <cp:lastPrinted>2023-05-26T03:27:00Z</cp:lastPrinted>
  <dcterms:modified xsi:type="dcterms:W3CDTF">2026-06-17T08:41:03Z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AFF98399593D403FB6C90740073022A9_13</vt:lpwstr>
  </property>
  <property fmtid="{D5CDD505-2E9C-101B-9397-08002B2CF9AE}" pid="4" name="KSOTemplateDocerSaveRecord">
    <vt:lpwstr>eyJoZGlkIjoiMzUwNmQxM2NjZjU1NjU0MjdmODIwYjYzOGQ4NGU3NmYiLCJ1c2VySWQiOiIxNTE5MTM1NzgwIn0=</vt:lpwstr>
  </property>
</Properties>
</file>